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REQUEST FOR PROPOSAL – Episodic Migraine Disease Insights &amp; Patient Journey</w:t>
      </w:r>
    </w:p>
    <w:p/>
    <w:tbl>
      <w:tblPr>
        <w:tblStyle w:val="TableGrid"/>
        <w:tblW w:type="auto" w:w="0"/>
        <w:tblLook w:firstColumn="1" w:firstRow="1" w:lastColumn="0" w:lastRow="0" w:noHBand="0" w:noVBand="1" w:val="04A0"/>
      </w:tblPr>
      <w:tblGrid>
        <w:gridCol w:w="4320"/>
        <w:gridCol w:w="4320"/>
      </w:tblGrid>
      <w:tr>
        <w:tc>
          <w:tcPr>
            <w:tcW w:type="dxa" w:w="4320"/>
          </w:tcPr>
          <w:p>
            <w:r>
              <w:t>BACKGROUND</w:t>
              <w:br/>
              <w:t>&amp; CURRENT TREATMENT PARADIGM</w:t>
            </w:r>
          </w:p>
        </w:tc>
        <w:tc>
          <w:tcPr>
            <w:tcW w:type="dxa" w:w="4320"/>
          </w:tcPr>
          <w:p>
            <w:r>
              <w:t>[ASSET_CODE], due to launch in H1 [YEAR], would be the first subcutaneous injectable therapy specifically designed for prophylaxis of migraine in a potential breakthrough class targeting the CGRP² receptor pathway. [ASSET_CODE] will offer the change for long term migraine free living so migraineurs can feel an unprecedented sense of optimism and empowerment as they reclaim their lives. [ASSET_CODE] will most likely positioned for adult patients with 4 or more episodes of migraine per month, with prior failure of SoC The current migraine market is divided into acute and prophylactic treatment. The acute treatment market consists of triptans with [BRAND] ([CLIENT_ORG]) and [BRAND] ([PHARMA_COMPANY]) accounting for over 50% of that market and several non-specific pain killers such as NSAID’s. Current standard of care (SoC) for migraine prophylaxis consists of various oral non-Migraine specific drug classes of which several are Generic. Of these betablockers, topiramate and [BRAND] are licensed – anti depressants, other treatments against epilepsy as well as [BRAND] are used off-label.</w:t>
            </w:r>
          </w:p>
        </w:tc>
      </w:tr>
      <w:tr>
        <w:tc>
          <w:tcPr>
            <w:tcW w:type="dxa" w:w="4320"/>
          </w:tcPr>
          <w:p>
            <w:r>
              <w:t>BUSINESS OBJECTIVE</w:t>
            </w:r>
          </w:p>
        </w:tc>
        <w:tc>
          <w:tcPr>
            <w:tcW w:type="dxa" w:w="4320"/>
          </w:tcPr>
          <w:p>
            <w:r>
              <w:t>Support the [ASSET_CODE] launch preparations in the Swiss market, with a clear understanding of the migraine patient journey and needs as well as the perception and management of the disease in the Swiss market</w:t>
            </w:r>
          </w:p>
        </w:tc>
      </w:tr>
      <w:tr>
        <w:tc>
          <w:tcPr>
            <w:tcW w:type="dxa" w:w="4320"/>
          </w:tcPr>
          <w:p>
            <w:r>
              <w:t>RESEARCH OBJECTIVES</w:t>
            </w:r>
          </w:p>
        </w:tc>
        <w:tc>
          <w:tcPr>
            <w:tcW w:type="dxa" w:w="4320"/>
          </w:tcPr>
          <w:p>
            <w:r>
              <w:t>Research Objectives will include :</w:t>
              <w:br/>
              <w:t>Gain qualitative and quantitative insights from HCPs (large practice GPs and Neurologists) and Patients into the migraine patient journey and identify all relevant stakeholders which influence the journey to position AMG as a breakthrough and valuable therapeutic alternative to current products. Understand the profiles, disease burden and needs of episodic and chronic migraine patients Get the insights on numbers – how many patients with episodic migraine and chronic migraine are seen and treated and by whom Explore the full range of current therapeutic options for migraine treatment in Switzerland and their advantages and disadvantages Gain first insights into acceptance of preliminary positioning concept of [ASSET_CODE] and differentiation vs key competitors</w:t>
            </w:r>
          </w:p>
        </w:tc>
      </w:tr>
      <w:tr>
        <w:tc>
          <w:tcPr>
            <w:tcW w:type="dxa" w:w="4320"/>
          </w:tcPr>
          <w:p>
            <w:r>
              <w:t>MARKET</w:t>
            </w:r>
          </w:p>
        </w:tc>
        <w:tc>
          <w:tcPr>
            <w:tcW w:type="dxa" w:w="4320"/>
          </w:tcPr>
          <w:p>
            <w:r>
              <w:t>Switzerland</w:t>
            </w:r>
          </w:p>
        </w:tc>
      </w:tr>
      <w:tr>
        <w:tc>
          <w:tcPr>
            <w:tcW w:type="dxa" w:w="4320"/>
          </w:tcPr>
          <w:p>
            <w:r>
              <w:t>TARGET AUDIENCE</w:t>
            </w:r>
          </w:p>
        </w:tc>
        <w:tc>
          <w:tcPr>
            <w:tcW w:type="dxa" w:w="4320"/>
          </w:tcPr>
          <w:p>
            <w:r>
              <w:t>HCPs: Neurologists and large practice GPs treating patients in Episodic Migraine.</w:t>
              <w:br/>
              <w:t>Patients: with 4 or more episodes of Migraine a month (incl episode and chronic migraine) Include German and French Speaking Switzerland</w:t>
              <w:br/>
              <w:t>Include central location as part of the research design</w:t>
            </w:r>
          </w:p>
        </w:tc>
      </w:tr>
      <w:tr>
        <w:tc>
          <w:tcPr>
            <w:tcW w:type="dxa" w:w="4320"/>
          </w:tcPr>
          <w:p>
            <w:r>
              <w:t>METHODOLOGY &amp; SAMPLE SIZES</w:t>
            </w:r>
          </w:p>
        </w:tc>
        <w:tc>
          <w:tcPr>
            <w:tcW w:type="dxa" w:w="4320"/>
          </w:tcPr>
          <w:p>
            <w:r>
              <w:t>Please recommend. Please note that it will be mandatory to have a Swiss moderator for qual phase</w:t>
            </w:r>
          </w:p>
        </w:tc>
      </w:tr>
      <w:tr>
        <w:tc>
          <w:tcPr>
            <w:tcW w:type="dxa" w:w="4320"/>
          </w:tcPr>
          <w:p>
            <w:r>
              <w:t>DG &amp; QUESTIONNAIRE LENGTH</w:t>
            </w:r>
          </w:p>
        </w:tc>
        <w:tc>
          <w:tcPr>
            <w:tcW w:type="dxa" w:w="4320"/>
          </w:tcPr>
          <w:p>
            <w:r>
              <w:t>Please recommend</w:t>
            </w:r>
          </w:p>
        </w:tc>
      </w:tr>
      <w:tr>
        <w:tc>
          <w:tcPr>
            <w:tcW w:type="dxa" w:w="4320"/>
          </w:tcPr>
          <w:p>
            <w:r>
              <w:t>ANALYSIS /DELIVERY</w:t>
            </w:r>
          </w:p>
        </w:tc>
        <w:tc>
          <w:tcPr>
            <w:tcW w:type="dxa" w:w="4320"/>
          </w:tcPr>
          <w:p>
            <w:r>
              <w:t>PowerPoint report comparing and contrasting the different target respondents</w:t>
            </w:r>
          </w:p>
        </w:tc>
      </w:tr>
      <w:tr>
        <w:tc>
          <w:tcPr>
            <w:tcW w:type="dxa" w:w="4320"/>
          </w:tcPr>
          <w:p>
            <w:r>
              <w:t>TIMINGS</w:t>
            </w:r>
          </w:p>
        </w:tc>
        <w:tc>
          <w:tcPr>
            <w:tcW w:type="dxa" w:w="4320"/>
          </w:tcPr>
          <w:p>
            <w:r>
              <w:t>The research will start mid - November</w:t>
            </w:r>
          </w:p>
        </w:tc>
      </w:tr>
      <w:tr>
        <w:tc>
          <w:tcPr>
            <w:tcW w:type="dxa" w:w="4320"/>
          </w:tcPr>
          <w:p>
            <w:r>
              <w:t>PROPOSAL/CURRENTLY REQUIRED /CURRENCY</w:t>
            </w:r>
          </w:p>
        </w:tc>
        <w:tc>
          <w:tcPr>
            <w:tcW w:type="dxa" w:w="4320"/>
          </w:tcPr>
          <w:p>
            <w:r>
              <w:t>Please provide your proposal by 7th November. Please provide costs in EURO</w:t>
            </w:r>
          </w:p>
        </w:tc>
      </w:tr>
      <w:tr>
        <w:tc>
          <w:tcPr>
            <w:tcW w:type="dxa" w:w="4320"/>
          </w:tcPr>
          <w:p>
            <w:r/>
          </w:p>
        </w:tc>
        <w:tc>
          <w:tcPr>
            <w:tcW w:type="dxa" w:w="4320"/>
          </w:tcPr>
          <w:p>
            <w:r>
              <w:t>Please let us have your expertise in this area</w:t>
            </w:r>
          </w:p>
        </w:tc>
      </w:tr>
      <w:tr>
        <w:tc>
          <w:tcPr>
            <w:tcW w:type="dxa" w:w="4320"/>
          </w:tcPr>
          <w:p>
            <w:r>
              <w:t>EXPERTISE</w:t>
            </w:r>
          </w:p>
        </w:tc>
        <w:tc>
          <w:tcPr>
            <w:tcW w:type="dxa" w:w="4320"/>
          </w:tcPr>
          <w:p>
            <w:r/>
          </w:p>
        </w:tc>
      </w:tr>
      <w:tr>
        <w:tc>
          <w:tcPr>
            <w:tcW w:type="dxa" w:w="4320"/>
          </w:tcPr>
          <w:p>
            <w:r/>
          </w:p>
        </w:tc>
        <w:tc>
          <w:tcPr>
            <w:tcW w:type="dxa" w:w="4320"/>
          </w:tcPr>
          <w:p>
            <w:r/>
          </w:p>
        </w:tc>
      </w:tr>
    </w:tbl>
    <w:p/>
    <w:p>
      <w:r>
        <w:t>PLS PMR - [DATE]</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