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Qualitative RFP Template Sherif Ebeid</w:t>
      </w:r>
    </w:p>
    <w:p>
      <w:r>
        <w:t>[PHONE]</w:t>
      </w:r>
    </w:p>
    <w:p>
      <w:r>
        <w:t>[DATE]</w:t>
      </w:r>
    </w:p>
    <w:p/>
    <w:p>
      <w:r>
        <w:t>BACKGROUND:</w:t>
      </w:r>
    </w:p>
    <w:p>
      <w:r>
        <w:t>[CLIENT_ORG] retail Portfolio (Mainly Viadex) can capture more business if customers behavior is examined carefully to know their motives and what strategies works better for them to perceive [CLIENT_ORG] and its products, customers here are specifically Pharmacists.</w:t>
      </w:r>
    </w:p>
    <w:p/>
    <w:p>
      <w:r>
        <w:t>PROJECT OBJECTIVES:</w:t>
      </w:r>
    </w:p>
    <w:p/>
    <w:p>
      <w:pPr>
        <w:pStyle w:val="ListBullet"/>
      </w:pPr>
      <w:r>
        <w:t>Understanding the role of the Pharmacist in the treatment decision making process on real life experience</w:t>
      </w:r>
    </w:p>
    <w:p>
      <w:pPr>
        <w:pStyle w:val="ListBullet"/>
      </w:pPr>
      <w:r>
        <w:t>Identifying Pharmacists’ unmet needs and gaps</w:t>
      </w:r>
    </w:p>
    <w:p>
      <w:pPr>
        <w:pStyle w:val="ListBullet"/>
      </w:pPr>
      <w:r>
        <w:t>Capturing opportunities to build up strategy for improving the relations with Pharmacists for maximizing the brands market share</w:t>
      </w:r>
    </w:p>
    <w:p/>
    <w:p>
      <w:r>
        <w:t>GEOGRAPHIC SCOPE:</w:t>
      </w:r>
    </w:p>
    <w:p>
      <w:r>
        <w:t>Focus on UAE</w:t>
      </w:r>
    </w:p>
    <w:p/>
    <w:p>
      <w:r>
        <w:t>METHODOLOGY:</w:t>
      </w:r>
    </w:p>
    <w:p>
      <w:pPr>
        <w:pStyle w:val="ListBullet"/>
      </w:pPr>
      <w:r>
        <w:t>This is a qualitative PMR, [CLIENT_ORG] will examine your suggestions of methodology as part of Proposal assessment.</w:t>
      </w:r>
    </w:p>
    <w:p>
      <w:pPr>
        <w:pStyle w:val="ListBullet"/>
      </w:pPr>
      <w:r>
        <w:t>You can suggest different methodologies in your proposal each with its cost, sample size, and deliverables.</w:t>
      </w:r>
    </w:p>
    <w:p/>
    <w:p>
      <w:r>
        <w:t>DELIVERABLES:</w:t>
      </w:r>
    </w:p>
    <w:p>
      <w:r>
        <w:t>Project deliverables must be in PPT format, with a careful examination of the collected data, structured in a way that generates insights for the reader, and must have suggested directions form vendor side.</w:t>
      </w:r>
    </w:p>
    <w:p>
      <w:r>
        <w:t>Adding benchmark to the analysis is a must.</w:t>
      </w:r>
    </w:p>
    <w:p/>
    <w:p>
      <w:r>
        <w:t>TIMING:</w:t>
      </w:r>
    </w:p>
    <w:p/>
    <w:p>
      <w:r>
        <w:t>It will be the supplier’s responsibility to outline a specific schedule and make all attempts to keep the project on the agreed timetable. Basic requirements for this project are as follows:</w:t>
      </w:r>
    </w:p>
    <w:p/>
    <w:p>
      <w:pPr>
        <w:pStyle w:val="ListBullet"/>
      </w:pPr>
      <w:r>
        <w:t>The proposal is due on August,21st , and the project will be commissioned end of August (subject to final management approval).</w:t>
      </w:r>
    </w:p>
    <w:p>
      <w:pPr>
        <w:pStyle w:val="ListBullet"/>
      </w:pPr>
      <w:r>
        <w:t>There will be a kick-off meeting at [CLIENT_ORG] – the exact date will be confirmed after the work has been commissioned.</w:t>
      </w:r>
    </w:p>
    <w:p>
      <w:pPr>
        <w:pStyle w:val="ListBullet"/>
      </w:pPr>
      <w:r>
        <w:t>Initial draft of the screening questions and the discussion guide is due by First Week of September</w:t>
      </w:r>
    </w:p>
    <w:p>
      <w:pPr>
        <w:pStyle w:val="ListBullet"/>
      </w:pPr>
      <w:r>
        <w:t>Actual fielding of the project should commence around third week of September.</w:t>
      </w:r>
    </w:p>
    <w:p>
      <w:pPr>
        <w:pStyle w:val="ListBullet"/>
      </w:pPr>
      <w:r>
        <w:t>Topline reports are due by third end of October.</w:t>
      </w:r>
    </w:p>
    <w:p>
      <w:pPr>
        <w:pStyle w:val="ListBullet"/>
      </w:pPr>
      <w:r>
        <w:t>We will need the final reports by first week of November.</w:t>
      </w:r>
    </w:p>
    <w:p/>
    <w:p>
      <w:r>
        <w:t>PROPOSAL REQUIREMENTS:</w:t>
      </w:r>
    </w:p>
    <w:p>
      <w:pPr>
        <w:pStyle w:val="ListBullet"/>
      </w:pPr>
      <w:r>
        <w:t>The LENGTH of the interview (in terms of time) that you anticipate based upon the research objectives outlined above, and on which you have based costs.</w:t>
      </w:r>
    </w:p>
    <w:p/>
    <w:p/>
    <w:p>
      <w:r>
        <w:t>ADDITIONAL REQUIREMENTS</w:t>
      </w:r>
    </w:p>
    <w:p>
      <w:pPr>
        <w:pStyle w:val="ListBullet"/>
      </w:pPr>
      <w:r>
        <w:t>Approval to be sought, in writing, for any increase to the costs set out in the original proposal, whether due to changes in the study design, or other reason, before any such costs are incurred.</w:t>
      </w:r>
    </w:p>
    <w:p>
      <w:pPr>
        <w:pStyle w:val="ListBullet"/>
      </w:pPr>
      <w:r>
        <w:t>Vendors must have completed a Foreign Corruption Practices Act (FCPA) Due Diligence Questionnaire (DDQ) in order to be able to conduct any ex-US research. In addition, if invoices will be paid to an ex-US address, the vendor must have a completed FCPA DDQ on file with [CLIENT_ORG], even if the project is only conducted in the US.</w:t>
      </w:r>
    </w:p>
    <w:p>
      <w:pPr>
        <w:pStyle w:val="ListBullet"/>
      </w:pPr>
      <w:r>
        <w:t>To ensure compliance with FCPA regulations, vendor must list all subcontractors in the DDQ who will work on the project when conducting ex-US research.</w:t>
      </w:r>
    </w:p>
    <w:p>
      <w:pPr>
        <w:pStyle w:val="ListBullet"/>
      </w:pPr>
      <w:r>
        <w:t>Vendors must have a signed Master Service Agreement prior to conducting the research.</w:t>
      </w:r>
    </w:p>
    <w:p>
      <w:pPr>
        <w:pStyle w:val="ListBullet"/>
      </w:pPr>
      <w:r>
        <w:t>Vendor must include a statement in the proposal confirming that they comply with CASRO and/or ESOMAR Guidelines.</w:t>
      </w:r>
    </w:p>
    <w:p>
      <w:pPr>
        <w:pStyle w:val="ListBullet"/>
      </w:pPr>
      <w:r>
        <w:t>Please note: [CLIENT_ORG] payment terms are net unless otherwise negotiated with [CLIENT_ORG] Procurement. Please ensure your proposal and invoices do not reflect different payment terms.</w:t>
      </w:r>
    </w:p>
    <w:p/>
    <w:p>
      <w:r>
        <w:t>Compliance with [CLIENT_ORG] Customer Engagement Program (CEP) Processes</w:t>
      </w:r>
    </w:p>
    <w:p/>
    <w:p>
      <w:r>
        <w:t>Vendor agrees to report all Adverse Events related to [CLIENT_ORG] products to the appropriate [CLIENT_ORG] Drug Safety Unit (DSU) by the next business day or 3 calendar days, whichever is shorter. Business days are defined as Monday through Friday. This eliminates the need for you to monitor digital information sources over the typical 2 day weekend. On long weekends or holidays, the next business day can be more than 3 calendar days from the time an adverse event is mentioned. In these situations, arrangements must be made to ensure that monitoring of digital information sources is performed over the weekend or holiday period so that reporting to the [CLIENT_ORG] DSU is always done within the required time frame. In addition, vendor agrees to include the CEP project number, supplied by the [CLIENT_ORG] BAI project manager, on all reports submitted to the DSU. Finally, as screening is now considered part of a CEP, vendor agrees to furnish external recruiting agencies with the [YEAR] Your Reporting Responsibilities and [YEAR] Supplemental CEP Training, and instruct them to ensure that anyone who recruits for a [CLIENT_ORG] research project to complete the training. Vendor will provide recruiting agencies with a Certification of AE training form to be completed and returned to the vendor together with copies of the training certificates. Vendor will retail those training certificates for 10 years.</w:t>
      </w:r>
    </w:p>
    <w:p/>
    <w:p>
      <w:r>
        <w:t>Vendor agrees to provide BAI with the following:</w:t>
      </w:r>
    </w:p>
    <w:p>
      <w:pPr>
        <w:pStyle w:val="ListBullet"/>
      </w:pPr>
      <w:r>
        <w:t>Certification of AE training document that lists every member of the vendor team (including subcontractors) and the date of their most recent AE training. This includes (but is not limited to): project managers, moderators, simultaneous translators, analysts, persons who review open-ended questions and/or paper-based surveys, persons who prepare and/or review written transcripts of qualitative projects.</w:t>
      </w:r>
    </w:p>
    <w:p>
      <w:pPr>
        <w:pStyle w:val="ListBullet"/>
      </w:pPr>
      <w:r>
        <w:t>Certification of AE training document for all personnel from recruiting agencies.</w:t>
      </w:r>
    </w:p>
    <w:p>
      <w:pPr>
        <w:pStyle w:val="ListBullet"/>
      </w:pPr>
      <w:r>
        <w:t>Certification of actual start and end dates for the qualitative project. Vendor should be aware that the actual start date is the date on which recruiting respondents for the qualitative interviews begins. BAI will provide the certification forms to the vendor.</w:t>
      </w:r>
    </w:p>
    <w:p>
      <w:pPr>
        <w:pStyle w:val="ListBullet"/>
      </w:pPr>
      <w:r>
        <w:t>During fielding of this research project, the vendor will submit, every business day, a summary of the number completed interviews within that 24 hour period and the number of adverse events that were reported, by brand, and by city/country to the BAI project manager. The vendor must submit this report, even if there were no adverse events reported during that 24 hour period. The daily summary of adverse event reports is due, however, only on those days that actual fielding is taking place. This notification should indicate the nature of the AE reported, but would not include the actual submission, so as to ensure respondent confidentiality. BAI will provide the daily report template to the vendor.</w:t>
      </w:r>
    </w:p>
    <w:p/>
    <w:p>
      <w:r>
        <w:t>When using video-streaming, the vendor will place-mark any reportable Adverse Event mentions so that others viewing the archives will know that the reportable mention was identified and submitted. The vendor will also indicate all reportable mentions on any transcripts.</w:t>
      </w:r>
    </w:p>
    <w:p/>
    <w:p>
      <w:r>
        <w:t>Further, at the beginning of each interview, the moderator will inform the respondent of his/her responsibility to report adverse event mentions to the appropriate government agency. An example of the advisory is shown below:</w:t>
      </w:r>
    </w:p>
    <w:p/>
    <w:p>
      <w:r>
        <w:t>“We are obligated to disclose to the company sponsoring this study any adverse events that are reported about a product they make (e.g., undesirable change of health, side effects during treatment, lack of effectiveness, etc.) so that they can report this to (insert appropriate government agency for your country/region). We ask for only the minimum amount of information needed to satisfy the (insert appropriate government agency for your country/region) reporting requirements. If you do mention a drug-related adverse event, we will request to disclose your name and contact information to the research sponsor who would use it only for the purpose of complying with their obligations to the (insert appropriate government agency for your country/region); no personally-identifying information about a patient will be solicited or reported if disclosed. You also have the right to “opt out” of sharing your contact information without consequence.”</w:t>
      </w:r>
    </w:p>
    <w:p/>
    <w:p/>
    <w:p/>
    <w:p/>
    <w:p>
      <w:r>
        <w:t>[CLIENT_ORG] Contacts:</w:t>
      </w:r>
    </w:p>
    <w:p/>
    <w:p/>
    <w:p/>
    <w:sectPr w:rsidR="00FC693F" w:rsidRPr="0006063C" w:rsidSect="00034616">
      <w:headerReference w:type="default" r:id="rId9"/>
      <w:headerReference w:type="first" r:id="rId10"/>
      <w:headerReference w:type="even" r:id="rId11"/>
      <w:footerReference w:type="default" r:id="rId12"/>
      <w:footerReference w:type="first" r:id="rId13"/>
      <w:footerReference w:type="even" r:id="rId1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ASSET_CODE]"/>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ASSET_CODE]"/>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ASSET_CODE]"/>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ASSET_CODE]"/>
    <w:multiLevelType w:val="singleLevel"/>
    <w:tmpl w:val="D0A62B40"/>
    <w:lvl w:ilvl="0">
      <w:start w:val="1"/>
      <w:numFmt w:val="decimal"/>
      <w:pStyle w:val="ListNumber"/>
      <w:lvlText w:val="%1."/>
      <w:lvlJc w:val="left"/>
      <w:pPr>
        <w:tabs>
          <w:tab w:val="num" w:pos="360"/>
        </w:tabs>
        <w:ind w:left="360" w:hanging="360"/>
      </w:pPr>
    </w:lvl>
  </w:abstractNum>
  <w:abstractNum w:abstractNumId="8">
    <w:nsid w:val="[ASSET_CODE]"/>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
  <Pages>1</Pages>
  <Words>0</Words>
  <Characters>0</Characters>
  <Application/>
  <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[YEAR]-12-23T23:15:00Z</dcterms:created>
  <dcterms:modified xsi:type="dcterms:W3CDTF">[YEAR]-12-23T23:15:00Z</dcterms:modified>
  <cp:category/>
  <cp:contentStatus/>
  <dc:identifier/>
  <dc:language/>
  <cp:version/>
</cp:coreProperties>
</file>