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t>Arden Laboratories, Inc.</w:t>
      </w:r>
    </w:p>
    <w:p/>
    <w:p>
      <w:r>
        <w:t>Request for Proposal</w:t>
      </w:r>
    </w:p>
    <w:p/>
    <w:p>
      <w:r>
        <w:t>OTC Eye Drop</w:t>
      </w:r>
    </w:p>
    <w:p>
      <w:r>
        <w:t>Global Consumer Segmentation</w:t>
      </w:r>
    </w:p>
    <w:p/>
    <w:p/>
    <w:p/>
    <w:p/>
    <w:p/>
    <w:p/>
    <w:p/>
    <w:p/>
    <w:p/>
    <w:p/>
    <w:p/>
    <w:p/>
    <w:p>
      <w:r>
        <w:t>The Dry Eye Commercial Team recognizes that the business is shifting to OTC and seeks to gain a better understanding of the consumer eye care landscape. The team also seeks to establish consumer segments to be able to align the Arden OTC businesses (dry eye, allergy) against. With Arden’s broad OTC portfolio there is a unique opportunity to synergize efforts across the divisions to cohesively message to consumers, as well as to understand physician/pharmacist influence on these consumer segments. The Commercial team will utilize the output of this segmentation to more effectively message specific Arden OTC brands to key consumer targets, based on their behaviors and attitudes.</w:t>
      </w:r>
    </w:p>
    <w:p/>
    <w:p/>
    <w:p/>
    <w:p>
      <w:r>
        <w:t>Research Title: OTC Eye Drop Global Consumer Segmentation</w:t>
      </w:r>
    </w:p>
    <w:p/>
    <w:p/>
    <w:p/>
    <w:p>
      <w:r>
        <w:t>Description: OTC eye drop patient journey/path to purchase and a behavioral/ attitudinal segmentation analysis to identify key consumer segments that Arden can focus marketing efforts against more efficiently.</w:t>
      </w:r>
    </w:p>
    <w:p/>
    <w:p/>
    <w:p/>
    <w:p>
      <w:r>
        <w:t>Research Objectives:</w:t>
      </w:r>
    </w:p>
    <w:p>
      <w:pPr>
        <w:pStyle w:val="ListBullet"/>
      </w:pPr>
      <w:r>
        <w:t>Understand patient’s path to purchase OTC eye drops, specifically through:</w:t>
      </w:r>
    </w:p>
    <w:p>
      <w:pPr>
        <w:pStyle w:val="ListBullet"/>
      </w:pPr>
      <w:r>
        <w:t>End to end mapping of the patient moving from symptom awareness &gt; self-diagnosis &gt; OTC treatment &gt; physician diagnosis &gt; Rx treatment &gt; follow up</w:t>
      </w:r>
    </w:p>
    <w:p>
      <w:pPr>
        <w:pStyle w:val="ListBullet"/>
      </w:pPr>
      <w:r>
        <w:t>View of stakeholders involved in that journey (OPH, OD, Pharm) with current role/behavior mapping in treatment paradigm</w:t>
      </w:r>
    </w:p>
    <w:p>
      <w:pPr>
        <w:pStyle w:val="ListBullet"/>
      </w:pPr>
      <w:r>
        <w:t>Identify levers in the journey where Arden can influence stakeholder behavior and drive strategies and tactics</w:t>
      </w:r>
    </w:p>
    <w:p>
      <w:pPr>
        <w:pStyle w:val="ListBullet"/>
      </w:pPr>
      <w:r>
        <w:t>Understand and identify consumer behaviors attitudinally/behaviorally that drive consumer choices to define relevant and actionable consumer segments. Quantify the size of the segments and characterize consumer segments by:</w:t>
      </w:r>
    </w:p>
    <w:p>
      <w:pPr>
        <w:pStyle w:val="ListBullet"/>
      </w:pPr>
      <w:r>
        <w:t>Demographics</w:t>
      </w:r>
    </w:p>
    <w:p>
      <w:pPr>
        <w:pStyle w:val="ListBullet"/>
      </w:pPr>
      <w:r>
        <w:t>Needs</w:t>
      </w:r>
    </w:p>
    <w:p>
      <w:pPr>
        <w:pStyle w:val="ListBullet"/>
      </w:pPr>
      <w:r>
        <w:t>Symptoms</w:t>
      </w:r>
    </w:p>
    <w:p>
      <w:pPr>
        <w:pStyle w:val="ListBullet"/>
      </w:pPr>
      <w:r>
        <w:t>Awareness</w:t>
      </w:r>
    </w:p>
    <w:p>
      <w:pPr>
        <w:pStyle w:val="ListBullet"/>
      </w:pPr>
      <w:r>
        <w:t>Motivators/barriers to treatment</w:t>
      </w:r>
    </w:p>
    <w:p>
      <w:pPr>
        <w:pStyle w:val="ListBullet"/>
      </w:pPr>
      <w:r>
        <w:t>OTC drop usage/frequency of use</w:t>
      </w:r>
    </w:p>
    <w:p>
      <w:pPr>
        <w:pStyle w:val="ListBullet"/>
      </w:pPr>
      <w:r>
        <w:t>OTC eye drop annual spend</w:t>
      </w:r>
    </w:p>
    <w:p>
      <w:pPr>
        <w:pStyle w:val="ListBullet"/>
      </w:pPr>
      <w:r>
        <w:t>Usage of Rx products in addition to OTC (Rx Allergy, Rx Dry Eye)</w:t>
      </w:r>
    </w:p>
    <w:p>
      <w:pPr>
        <w:pStyle w:val="ListBullet"/>
      </w:pPr>
      <w:r>
        <w:t>Physician/pharmacist influence on OTC treatment</w:t>
      </w:r>
    </w:p>
    <w:p>
      <w:pPr>
        <w:pStyle w:val="ListBullet"/>
      </w:pPr>
      <w:r>
        <w:t>Understand where the following key groups lie within the segments: post-menopausal women, post-surgical dry eye (laser, cataract, etc), contact lens induced dry eye, and meibomian gland dysfunction patients.</w:t>
      </w:r>
    </w:p>
    <w:p>
      <w:pPr>
        <w:pStyle w:val="ListBullet"/>
      </w:pPr>
      <w:r>
        <w:t>Concept evaluation scores (2-3 product concepts): standard measures such as believability, uniqueness, motivation to purchase, etc</w:t>
      </w:r>
    </w:p>
    <w:p>
      <w:r/>
    </w:p>
    <w:p/>
    <w:p>
      <w:r>
        <w:t>Markets:</w:t>
      </w:r>
    </w:p>
    <w:p>
      <w:r>
        <w:t>Global in scope with a need to understand nuances between regions. Countries to include: US, China, Japan, Germany, Italy, Brazil, Russia, UK</w:t>
      </w:r>
    </w:p>
    <w:p/>
    <w:p/>
    <w:p/>
    <w:p>
      <w:r>
        <w:t>Target:</w:t>
      </w:r>
    </w:p>
    <w:p>
      <w:r>
        <w:t>Target population should be based on consumers/patients that use OTC eye drops (artificial tears, lubricants, redness relievers, gels/sprays/ointments, rewetting drops) and are ages 21+. Suggested sample sizes are included below but welcome recommended minimum sample sizes needed to ensure a robust segmentation.</w:t>
      </w:r>
    </w:p>
    <w:p/>
    <w:p/>
    <w:p/>
    <w:tbl>
      <w:tblPr>
        <w:tblStyle w:val="TableGrid"/>
        <w:tblW w:type="auto" w:w="0"/>
        <w:tblLook w:firstColumn="1" w:firstRow="1" w:lastColumn="0" w:lastRow="0" w:noHBand="0" w:noVBand="1" w:val="04A0"/>
      </w:tblPr>
      <w:tblGrid>
        <w:gridCol w:w="2880"/>
        <w:gridCol w:w="2880"/>
        <w:gridCol w:w="2880"/>
      </w:tblGrid>
      <w:tr>
        <w:tc>
          <w:tcPr>
            <w:tcW w:type="dxa" w:w="2880"/>
          </w:tcPr>
          <w:p>
            <w:r>
              <w:t>Prevalence</w:t>
            </w:r>
          </w:p>
        </w:tc>
        <w:tc>
          <w:tcPr>
            <w:tcW w:type="dxa" w:w="2880"/>
          </w:tcPr>
          <w:p>
            <w:r>
              <w:t>Dry Eye</w:t>
              <w:br/>
              <w:t>(among 40+)</w:t>
            </w:r>
          </w:p>
        </w:tc>
        <w:tc>
          <w:tcPr>
            <w:tcW w:type="dxa" w:w="2880"/>
          </w:tcPr>
          <w:p>
            <w:r>
              <w:t>Ocular Allergy (Total Population)</w:t>
            </w:r>
          </w:p>
        </w:tc>
      </w:tr>
      <w:tr>
        <w:tc>
          <w:tcPr>
            <w:tcW w:type="dxa" w:w="2880"/>
          </w:tcPr>
          <w:p>
            <w:r>
              <w:t>US</w:t>
            </w:r>
          </w:p>
        </w:tc>
        <w:tc>
          <w:tcPr>
            <w:tcW w:type="dxa" w:w="2880"/>
          </w:tcPr>
          <w:p>
            <w:r>
              <w:t>10.7%</w:t>
            </w:r>
          </w:p>
        </w:tc>
        <w:tc>
          <w:tcPr>
            <w:tcW w:type="dxa" w:w="2880"/>
          </w:tcPr>
          <w:p>
            <w:r>
              <w:t>22.1%</w:t>
            </w:r>
          </w:p>
        </w:tc>
      </w:tr>
      <w:tr>
        <w:tc>
          <w:tcPr>
            <w:tcW w:type="dxa" w:w="2880"/>
          </w:tcPr>
          <w:p>
            <w:r>
              <w:t>China</w:t>
            </w:r>
          </w:p>
        </w:tc>
        <w:tc>
          <w:tcPr>
            <w:tcW w:type="dxa" w:w="2880"/>
          </w:tcPr>
          <w:p>
            <w:r>
              <w:t>22.7%</w:t>
            </w:r>
          </w:p>
        </w:tc>
        <w:tc>
          <w:tcPr>
            <w:tcW w:type="dxa" w:w="2880"/>
          </w:tcPr>
          <w:p>
            <w:r>
              <w:t>9.7%</w:t>
            </w:r>
          </w:p>
        </w:tc>
      </w:tr>
      <w:tr>
        <w:tc>
          <w:tcPr>
            <w:tcW w:type="dxa" w:w="2880"/>
          </w:tcPr>
          <w:p>
            <w:r>
              <w:t>Germany</w:t>
            </w:r>
          </w:p>
        </w:tc>
        <w:tc>
          <w:tcPr>
            <w:tcW w:type="dxa" w:w="2880"/>
          </w:tcPr>
          <w:p>
            <w:r>
              <w:t>16.8%</w:t>
            </w:r>
          </w:p>
        </w:tc>
        <w:tc>
          <w:tcPr>
            <w:tcW w:type="dxa" w:w="2880"/>
          </w:tcPr>
          <w:p>
            <w:r>
              <w:t>13.6%</w:t>
            </w:r>
          </w:p>
        </w:tc>
      </w:tr>
      <w:tr>
        <w:tc>
          <w:tcPr>
            <w:tcW w:type="dxa" w:w="2880"/>
          </w:tcPr>
          <w:p>
            <w:r>
              <w:t>UK</w:t>
            </w:r>
          </w:p>
        </w:tc>
        <w:tc>
          <w:tcPr>
            <w:tcW w:type="dxa" w:w="2880"/>
          </w:tcPr>
          <w:p>
            <w:r>
              <w:t>16.9%</w:t>
            </w:r>
          </w:p>
        </w:tc>
        <w:tc>
          <w:tcPr>
            <w:tcW w:type="dxa" w:w="2880"/>
          </w:tcPr>
          <w:p>
            <w:r>
              <w:t>16.7%</w:t>
            </w:r>
          </w:p>
        </w:tc>
      </w:tr>
      <w:tr>
        <w:tc>
          <w:tcPr>
            <w:tcW w:type="dxa" w:w="2880"/>
          </w:tcPr>
          <w:p>
            <w:r>
              <w:t>Brazil</w:t>
            </w:r>
          </w:p>
        </w:tc>
        <w:tc>
          <w:tcPr>
            <w:tcW w:type="dxa" w:w="2880"/>
          </w:tcPr>
          <w:p>
            <w:r>
              <w:t>12.6%</w:t>
            </w:r>
          </w:p>
        </w:tc>
        <w:tc>
          <w:tcPr>
            <w:tcW w:type="dxa" w:w="2880"/>
          </w:tcPr>
          <w:p>
            <w:r>
              <w:t>17.9%</w:t>
            </w:r>
          </w:p>
        </w:tc>
      </w:tr>
      <w:tr>
        <w:tc>
          <w:tcPr>
            <w:tcW w:type="dxa" w:w="2880"/>
          </w:tcPr>
          <w:p>
            <w:r>
              <w:t>Japan</w:t>
            </w:r>
          </w:p>
        </w:tc>
        <w:tc>
          <w:tcPr>
            <w:tcW w:type="dxa" w:w="2880"/>
          </w:tcPr>
          <w:p>
            <w:r>
              <w:t>23.1%</w:t>
            </w:r>
          </w:p>
        </w:tc>
        <w:tc>
          <w:tcPr>
            <w:tcW w:type="dxa" w:w="2880"/>
          </w:tcPr>
          <w:p>
            <w:r>
              <w:t>23.9%</w:t>
            </w:r>
          </w:p>
        </w:tc>
      </w:tr>
      <w:tr>
        <w:tc>
          <w:tcPr>
            <w:tcW w:type="dxa" w:w="2880"/>
          </w:tcPr>
          <w:p>
            <w:r>
              <w:t>Russia</w:t>
            </w:r>
          </w:p>
        </w:tc>
        <w:tc>
          <w:tcPr>
            <w:tcW w:type="dxa" w:w="2880"/>
          </w:tcPr>
          <w:p>
            <w:r>
              <w:t>16.2%</w:t>
            </w:r>
          </w:p>
        </w:tc>
        <w:tc>
          <w:tcPr>
            <w:tcW w:type="dxa" w:w="2880"/>
          </w:tcPr>
          <w:p>
            <w:r>
              <w:t>8.6%</w:t>
            </w:r>
          </w:p>
        </w:tc>
      </w:tr>
      <w:tr>
        <w:tc>
          <w:tcPr>
            <w:tcW w:type="dxa" w:w="2880"/>
          </w:tcPr>
          <w:p>
            <w:r>
              <w:t>Italy</w:t>
            </w:r>
          </w:p>
        </w:tc>
        <w:tc>
          <w:tcPr>
            <w:tcW w:type="dxa" w:w="2880"/>
          </w:tcPr>
          <w:p>
            <w:r>
              <w:t>17.3%</w:t>
            </w:r>
          </w:p>
        </w:tc>
        <w:tc>
          <w:tcPr>
            <w:tcW w:type="dxa" w:w="2880"/>
          </w:tcPr>
          <w:p>
            <w:r>
              <w:t>11.0%</w:t>
            </w:r>
          </w:p>
        </w:tc>
      </w:tr>
    </w:tbl>
    <w:p>
      <w:r>
        <w:t>*Kantar Health Epi Database. Accessed 7/16/15.</w:t>
      </w:r>
    </w:p>
    <w:p/>
    <w:p>
      <w:r>
        <w:t>**Approximately 85% seek OTC treatment.</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Suggested Sample Sizes</w:t>
            </w:r>
          </w:p>
        </w:tc>
        <w:tc>
          <w:tcPr>
            <w:tcW w:type="dxa" w:w="1728"/>
          </w:tcPr>
          <w:p>
            <w:r>
              <w:t>Qualitative Research</w:t>
            </w:r>
          </w:p>
        </w:tc>
        <w:tc>
          <w:tcPr>
            <w:tcW w:type="dxa" w:w="1728"/>
          </w:tcPr>
          <w:p>
            <w:r>
              <w:t>Quantitative Segmentation Research</w:t>
            </w:r>
          </w:p>
        </w:tc>
        <w:tc>
          <w:tcPr>
            <w:tcW w:type="dxa" w:w="1728"/>
          </w:tcPr>
          <w:p>
            <w:r>
              <w:t>Quantitative Segmentation Research</w:t>
            </w:r>
          </w:p>
        </w:tc>
        <w:tc>
          <w:tcPr>
            <w:tcW w:type="dxa" w:w="1728"/>
          </w:tcPr>
          <w:p>
            <w:r>
              <w:t>Quantitative Path to Purchase Research</w:t>
            </w:r>
          </w:p>
        </w:tc>
      </w:tr>
      <w:tr>
        <w:tc>
          <w:tcPr>
            <w:tcW w:type="dxa" w:w="1728"/>
          </w:tcPr>
          <w:p>
            <w:r/>
          </w:p>
        </w:tc>
        <w:tc>
          <w:tcPr>
            <w:tcW w:type="dxa" w:w="1728"/>
          </w:tcPr>
          <w:p>
            <w:r/>
          </w:p>
        </w:tc>
        <w:tc>
          <w:tcPr>
            <w:tcW w:type="dxa" w:w="1728"/>
          </w:tcPr>
          <w:p>
            <w:r>
              <w:t>Round 1</w:t>
            </w:r>
          </w:p>
        </w:tc>
        <w:tc>
          <w:tcPr>
            <w:tcW w:type="dxa" w:w="1728"/>
          </w:tcPr>
          <w:p>
            <w:r>
              <w:t>Round 2</w:t>
            </w:r>
          </w:p>
        </w:tc>
        <w:tc>
          <w:tcPr>
            <w:tcW w:type="dxa" w:w="1728"/>
          </w:tcPr>
          <w:p>
            <w:r/>
          </w:p>
        </w:tc>
      </w:tr>
      <w:tr>
        <w:tc>
          <w:tcPr>
            <w:tcW w:type="dxa" w:w="1728"/>
          </w:tcPr>
          <w:p>
            <w:r>
              <w:t>US</w:t>
            </w:r>
          </w:p>
        </w:tc>
        <w:tc>
          <w:tcPr>
            <w:tcW w:type="dxa" w:w="1728"/>
          </w:tcPr>
          <w:p>
            <w:r>
              <w:t>30</w:t>
            </w:r>
          </w:p>
        </w:tc>
        <w:tc>
          <w:tcPr>
            <w:tcW w:type="dxa" w:w="1728"/>
          </w:tcPr>
          <w:p>
            <w:r>
              <w:t>1200</w:t>
            </w:r>
          </w:p>
        </w:tc>
        <w:tc>
          <w:tcPr>
            <w:tcW w:type="dxa" w:w="1728"/>
          </w:tcPr>
          <w:p>
            <w:r/>
          </w:p>
        </w:tc>
        <w:tc>
          <w:tcPr>
            <w:tcW w:type="dxa" w:w="1728"/>
          </w:tcPr>
          <w:p>
            <w:r>
              <w:t>300</w:t>
            </w:r>
          </w:p>
        </w:tc>
      </w:tr>
      <w:tr>
        <w:tc>
          <w:tcPr>
            <w:tcW w:type="dxa" w:w="1728"/>
          </w:tcPr>
          <w:p>
            <w:r>
              <w:t>Japan</w:t>
            </w:r>
          </w:p>
        </w:tc>
        <w:tc>
          <w:tcPr>
            <w:tcW w:type="dxa" w:w="1728"/>
          </w:tcPr>
          <w:p>
            <w:r>
              <w:t>12</w:t>
            </w:r>
          </w:p>
        </w:tc>
        <w:tc>
          <w:tcPr>
            <w:tcW w:type="dxa" w:w="1728"/>
          </w:tcPr>
          <w:p>
            <w:r/>
          </w:p>
        </w:tc>
        <w:tc>
          <w:tcPr>
            <w:tcW w:type="dxa" w:w="1728"/>
          </w:tcPr>
          <w:p>
            <w:r>
              <w:t>375</w:t>
            </w:r>
          </w:p>
        </w:tc>
        <w:tc>
          <w:tcPr>
            <w:tcW w:type="dxa" w:w="1728"/>
          </w:tcPr>
          <w:p>
            <w:r>
              <w:t>125</w:t>
            </w:r>
          </w:p>
        </w:tc>
      </w:tr>
      <w:tr>
        <w:tc>
          <w:tcPr>
            <w:tcW w:type="dxa" w:w="1728"/>
          </w:tcPr>
          <w:p>
            <w:r>
              <w:t>China</w:t>
            </w:r>
          </w:p>
        </w:tc>
        <w:tc>
          <w:tcPr>
            <w:tcW w:type="dxa" w:w="1728"/>
          </w:tcPr>
          <w:p>
            <w:r>
              <w:t>12</w:t>
            </w:r>
          </w:p>
        </w:tc>
        <w:tc>
          <w:tcPr>
            <w:tcW w:type="dxa" w:w="1728"/>
          </w:tcPr>
          <w:p>
            <w:r>
              <w:t>375</w:t>
            </w:r>
          </w:p>
        </w:tc>
        <w:tc>
          <w:tcPr>
            <w:tcW w:type="dxa" w:w="1728"/>
          </w:tcPr>
          <w:p>
            <w:r/>
          </w:p>
        </w:tc>
        <w:tc>
          <w:tcPr>
            <w:tcW w:type="dxa" w:w="1728"/>
          </w:tcPr>
          <w:p>
            <w:r>
              <w:t>125</w:t>
            </w:r>
          </w:p>
        </w:tc>
      </w:tr>
      <w:tr>
        <w:tc>
          <w:tcPr>
            <w:tcW w:type="dxa" w:w="1728"/>
          </w:tcPr>
          <w:p>
            <w:r>
              <w:t>Russia</w:t>
            </w:r>
          </w:p>
        </w:tc>
        <w:tc>
          <w:tcPr>
            <w:tcW w:type="dxa" w:w="1728"/>
          </w:tcPr>
          <w:p>
            <w:r/>
          </w:p>
        </w:tc>
        <w:tc>
          <w:tcPr>
            <w:tcW w:type="dxa" w:w="1728"/>
          </w:tcPr>
          <w:p>
            <w:r/>
          </w:p>
        </w:tc>
        <w:tc>
          <w:tcPr>
            <w:tcW w:type="dxa" w:w="1728"/>
          </w:tcPr>
          <w:p>
            <w:r>
              <w:t>300</w:t>
            </w:r>
          </w:p>
        </w:tc>
        <w:tc>
          <w:tcPr>
            <w:tcW w:type="dxa" w:w="1728"/>
          </w:tcPr>
          <w:p>
            <w:r/>
          </w:p>
        </w:tc>
      </w:tr>
      <w:tr>
        <w:tc>
          <w:tcPr>
            <w:tcW w:type="dxa" w:w="1728"/>
          </w:tcPr>
          <w:p>
            <w:r>
              <w:t>Germany</w:t>
            </w:r>
          </w:p>
        </w:tc>
        <w:tc>
          <w:tcPr>
            <w:tcW w:type="dxa" w:w="1728"/>
          </w:tcPr>
          <w:p>
            <w:r>
              <w:t>12</w:t>
            </w:r>
          </w:p>
        </w:tc>
        <w:tc>
          <w:tcPr>
            <w:tcW w:type="dxa" w:w="1728"/>
          </w:tcPr>
          <w:p>
            <w:r>
              <w:t>300</w:t>
            </w:r>
          </w:p>
        </w:tc>
        <w:tc>
          <w:tcPr>
            <w:tcW w:type="dxa" w:w="1728"/>
          </w:tcPr>
          <w:p>
            <w:r/>
          </w:p>
        </w:tc>
        <w:tc>
          <w:tcPr>
            <w:tcW w:type="dxa" w:w="1728"/>
          </w:tcPr>
          <w:p>
            <w:r>
              <w:t>125</w:t>
            </w:r>
          </w:p>
        </w:tc>
      </w:tr>
      <w:tr>
        <w:tc>
          <w:tcPr>
            <w:tcW w:type="dxa" w:w="1728"/>
          </w:tcPr>
          <w:p>
            <w:r>
              <w:t>Italy</w:t>
            </w:r>
          </w:p>
        </w:tc>
        <w:tc>
          <w:tcPr>
            <w:tcW w:type="dxa" w:w="1728"/>
          </w:tcPr>
          <w:p>
            <w:r>
              <w:t>12</w:t>
            </w:r>
          </w:p>
        </w:tc>
        <w:tc>
          <w:tcPr>
            <w:tcW w:type="dxa" w:w="1728"/>
          </w:tcPr>
          <w:p>
            <w:r/>
          </w:p>
        </w:tc>
        <w:tc>
          <w:tcPr>
            <w:tcW w:type="dxa" w:w="1728"/>
          </w:tcPr>
          <w:p>
            <w:r>
              <w:t>300</w:t>
            </w:r>
          </w:p>
        </w:tc>
        <w:tc>
          <w:tcPr>
            <w:tcW w:type="dxa" w:w="1728"/>
          </w:tcPr>
          <w:p>
            <w:r>
              <w:t>125</w:t>
            </w:r>
          </w:p>
        </w:tc>
      </w:tr>
      <w:tr>
        <w:tc>
          <w:tcPr>
            <w:tcW w:type="dxa" w:w="1728"/>
          </w:tcPr>
          <w:p>
            <w:r>
              <w:t>UK</w:t>
            </w:r>
          </w:p>
        </w:tc>
        <w:tc>
          <w:tcPr>
            <w:tcW w:type="dxa" w:w="1728"/>
          </w:tcPr>
          <w:p>
            <w:r/>
          </w:p>
        </w:tc>
        <w:tc>
          <w:tcPr>
            <w:tcW w:type="dxa" w:w="1728"/>
          </w:tcPr>
          <w:p>
            <w:r/>
          </w:p>
        </w:tc>
        <w:tc>
          <w:tcPr>
            <w:tcW w:type="dxa" w:w="1728"/>
          </w:tcPr>
          <w:p>
            <w:r>
              <w:t>300</w:t>
            </w:r>
          </w:p>
        </w:tc>
        <w:tc>
          <w:tcPr>
            <w:tcW w:type="dxa" w:w="1728"/>
          </w:tcPr>
          <w:p>
            <w:r/>
          </w:p>
        </w:tc>
      </w:tr>
      <w:tr>
        <w:tc>
          <w:tcPr>
            <w:tcW w:type="dxa" w:w="1728"/>
          </w:tcPr>
          <w:p>
            <w:r>
              <w:t>Brazil</w:t>
            </w:r>
          </w:p>
        </w:tc>
        <w:tc>
          <w:tcPr>
            <w:tcW w:type="dxa" w:w="1728"/>
          </w:tcPr>
          <w:p>
            <w:r>
              <w:t>12</w:t>
            </w:r>
          </w:p>
        </w:tc>
        <w:tc>
          <w:tcPr>
            <w:tcW w:type="dxa" w:w="1728"/>
          </w:tcPr>
          <w:p>
            <w:r>
              <w:t>375</w:t>
            </w:r>
          </w:p>
        </w:tc>
        <w:tc>
          <w:tcPr>
            <w:tcW w:type="dxa" w:w="1728"/>
          </w:tcPr>
          <w:p>
            <w:r/>
          </w:p>
        </w:tc>
        <w:tc>
          <w:tcPr>
            <w:tcW w:type="dxa" w:w="1728"/>
          </w:tcPr>
          <w:p>
            <w:r>
              <w:t>125</w:t>
            </w:r>
          </w:p>
        </w:tc>
      </w:tr>
      <w:tr>
        <w:tc>
          <w:tcPr>
            <w:tcW w:type="dxa" w:w="1728"/>
          </w:tcPr>
          <w:p>
            <w:r>
              <w:t>Total</w:t>
            </w:r>
          </w:p>
        </w:tc>
        <w:tc>
          <w:tcPr>
            <w:tcW w:type="dxa" w:w="1728"/>
          </w:tcPr>
          <w:p>
            <w:r>
              <w:t>90</w:t>
            </w:r>
          </w:p>
        </w:tc>
        <w:tc>
          <w:tcPr>
            <w:tcW w:type="dxa" w:w="1728"/>
          </w:tcPr>
          <w:p>
            <w:r>
              <w:t>2250</w:t>
            </w:r>
          </w:p>
        </w:tc>
        <w:tc>
          <w:tcPr>
            <w:tcW w:type="dxa" w:w="1728"/>
          </w:tcPr>
          <w:p>
            <w:r>
              <w:t>1275</w:t>
            </w:r>
          </w:p>
        </w:tc>
        <w:tc>
          <w:tcPr>
            <w:tcW w:type="dxa" w:w="1728"/>
          </w:tcPr>
          <w:p>
            <w:r>
              <w:t>925</w:t>
            </w:r>
          </w:p>
        </w:tc>
      </w:tr>
    </w:tbl>
    <w:p/>
    <w:p>
      <w:r>
        <w:t>Methodology: (Proposed methodology, but welcome alternate methodologies)</w:t>
      </w:r>
    </w:p>
    <w:p/>
    <w:p>
      <w:r>
        <w:t>Phase 1 – RESEARCH COMPLETE ALREADY</w:t>
      </w:r>
    </w:p>
    <w:p>
      <w:pPr>
        <w:pStyle w:val="ListBullet"/>
      </w:pPr>
      <w:r>
        <w:t>Qualitative Research (2US, China, Japan, Germany, Italy, Brazil): Qualitative triad interviews (90 minutes) with patients to map out the path to purchase and to identify key factors/parameters to frame quantitative segmentation research.</w:t>
      </w:r>
    </w:p>
    <w:p/>
    <w:p>
      <w:pPr>
        <w:pStyle w:val="ListBullet"/>
      </w:pPr>
      <w:r>
        <w:t>Alignment Meeting 1: Participation at a workshop to gain alignment on the factors with key internal stakeholders. Participation can be via teleconference.</w:t>
      </w:r>
    </w:p>
    <w:p/>
    <w:p>
      <w:r>
        <w:t>Phase 2</w:t>
      </w:r>
    </w:p>
    <w:p>
      <w:pPr>
        <w:pStyle w:val="ListBullet"/>
      </w:pPr>
      <w:r>
        <w:t>Quantitative Research: Both studies to run concurrently</w:t>
      </w:r>
    </w:p>
    <w:p/>
    <w:p>
      <w:pPr>
        <w:pStyle w:val="ListBullet"/>
      </w:pPr>
      <w:r>
        <w:t>Online quantitative segmentation research (40 minutes) in the Round 1 countries (US, China, Germany, Brazil) to flush out segments in these markets.</w:t>
      </w:r>
    </w:p>
    <w:p>
      <w:pPr>
        <w:pStyle w:val="ListBullet"/>
      </w:pPr>
      <w:r>
        <w:t>Online quantitative path to purchase research (30 minutes) to quantify each stage of the OTC eye drop journey.</w:t>
      </w:r>
    </w:p>
    <w:p/>
    <w:p>
      <w:pPr>
        <w:pStyle w:val="ListBullet"/>
      </w:pPr>
      <w:r>
        <w:t>Alignment Meeting 2: Participation in a second workshop to ensure the Phase 1 segments are actionable and to develop implementation plan.</w:t>
      </w:r>
    </w:p>
    <w:p/>
    <w:p>
      <w:r>
        <w:t>Phase 3</w:t>
      </w:r>
    </w:p>
    <w:p>
      <w:pPr>
        <w:pStyle w:val="ListBullet"/>
      </w:pPr>
      <w:r>
        <w:t>Quantitative Research: Online quantitative segmentation research (40 minutes) in the Round 2 countries (Japan, Russia, Italy, UK) to flush out segments in these markets.</w:t>
      </w:r>
    </w:p>
    <w:p/>
    <w:p>
      <w:pPr>
        <w:pStyle w:val="ListBullet"/>
      </w:pPr>
      <w:r>
        <w:t>Alignment Meeting 3: Participation in a third workshop to ensure segments from Phase 2 are actionable and to develop implementation plan.</w:t>
      </w:r>
    </w:p>
    <w:p/>
    <w:p/>
    <w:p>
      <w:r>
        <w:t>Please provide pricing broken out by country and phase. Phase 1 to include steps 1-2 above, Phase 2 to include steps 3-4 above, and Phase 3 to include steps 5-6.</w:t>
      </w:r>
    </w:p>
    <w:p/>
    <w:p>
      <w:r>
        <w:t>Deliverables:</w:t>
      </w:r>
    </w:p>
    <w:p>
      <w:pPr>
        <w:pStyle w:val="ListBullet"/>
      </w:pPr>
      <w:r>
        <w:t>Kickoff meeting with project team</w:t>
      </w:r>
    </w:p>
    <w:p>
      <w:pPr>
        <w:pStyle w:val="ListBullet"/>
      </w:pPr>
      <w:r>
        <w:t>Topline qualitative ppt report of factors to determine segments</w:t>
      </w:r>
    </w:p>
    <w:p>
      <w:pPr>
        <w:pStyle w:val="ListBullet"/>
      </w:pPr>
      <w:r>
        <w:t>Storyline presentation of quantitative segmentation results with detailed supporting appendix. Will need to provide a training deck that will include a summary slide of each segment describing key characteristics and insights. This will need to be able to describe the segment beyond just the behaviors so that the reader can understand what kind of consumer this segment represents.</w:t>
      </w:r>
    </w:p>
    <w:p>
      <w:pPr>
        <w:pStyle w:val="ListBullet"/>
      </w:pPr>
      <w:r>
        <w:t>Participation in 2 workshops</w:t>
      </w:r>
    </w:p>
    <w:p>
      <w:pPr>
        <w:pStyle w:val="ListBullet"/>
      </w:pPr>
      <w:r>
        <w:t>Typing tool to provide to identify segments</w:t>
      </w:r>
    </w:p>
    <w:p/>
    <w:p/>
    <w:p>
      <w:r>
        <w:t>Proposal Requirements:</w:t>
      </w:r>
    </w:p>
    <w:p/>
    <w:p>
      <w:r>
        <w:t>Format: Proposal should be concise and comprehensive. Evaluation is based on a thorough response.</w:t>
      </w:r>
    </w:p>
    <w:p/>
    <w:p>
      <w:r>
        <w:t>Selection Criteria: Submitting the lowest bid does not guarantee an award as other criteria are considered impactful. Analysis and total score of the RFP will be based on the following selection criteria. NOTE: Items not listed in any particular order or level of importance.</w:t>
      </w:r>
    </w:p>
    <w:p>
      <w:r>
        <w:t>•</w:t>
        <w:tab/>
        <w:t>Assurance of Supply – Resources, capacity, delivery/lead-time, financial strength, corporate vision and philosophy, corporate culture, implementation.</w:t>
      </w:r>
    </w:p>
    <w:p>
      <w:r>
        <w:t>•</w:t>
        <w:tab/>
        <w:t>Quality – Industry experience, performance, resources, qualification, supplier relationship and status, suppliers channel, technical solutions, quality assurance. Specific experience related to OTC eye drops will be important.</w:t>
      </w:r>
    </w:p>
    <w:p>
      <w:r>
        <w:t>•</w:t>
        <w:tab/>
        <w:t>Service – General service, customer service methodology, resources, account management, geographical presence.</w:t>
      </w:r>
    </w:p>
    <w:p>
      <w:r>
        <w:t>•</w:t>
        <w:tab/>
        <w:t>Cost – Price competitiveness, billing schedule, payment terms which are net 60 and demonstration of cost containment with other clients, rebate programs, willingness to offer value added and additional components to requested program, at minimal or no additional cost.</w:t>
      </w:r>
    </w:p>
    <w:p>
      <w:r>
        <w:t>•</w:t>
        <w:tab/>
        <w:t>Innovation, Technology, Flexibility – Unique concepts/approach/process, offerings, ability to meet schedule and project manager competence.</w:t>
      </w:r>
    </w:p>
    <w:p>
      <w:r>
        <w:t>•</w:t>
        <w:tab/>
        <w:t>Regulatory – All regulatory, industry, and privacy required laws are addressed.</w:t>
      </w:r>
    </w:p>
    <w:p/>
    <w:p>
      <w:r>
        <w:t>Submittal Guidelines: Submit an e-mailed electronic copy of your proposal, and any supporting documentation to Susan Cassidy [CONTACT_EMAIL]</w:t>
      </w:r>
    </w:p>
    <w:p/>
    <w:p>
      <w:r>
        <w:t>Timing:</w:t>
      </w:r>
    </w:p>
    <w:p>
      <w:pPr>
        <w:pStyle w:val="ListBullet"/>
      </w:pPr>
      <w:r>
        <w:t>Immediate start. Segments identified will be used in the OTC Quantitative Packaging Research.</w:t>
      </w:r>
    </w:p>
    <w:p>
      <w:pPr>
        <w:pStyle w:val="ListBullet"/>
      </w:pPr>
      <w:r>
        <w:t>Final segments and report by early August.</w:t>
      </w:r>
    </w:p>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ASSET_CODE]"/>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ASSET_CODE]"/>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SSET_CODE]"/>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SSET_CODE]"/>
    <w:multiLevelType w:val="singleLevel"/>
    <w:tmpl w:val="D0A62B40"/>
    <w:lvl w:ilvl="0">
      <w:start w:val="1"/>
      <w:numFmt w:val="decimal"/>
      <w:pStyle w:val="ListNumber"/>
      <w:lvlText w:val="%1."/>
      <w:lvlJc w:val="left"/>
      <w:pPr>
        <w:tabs>
          <w:tab w:val="num" w:pos="360"/>
        </w:tabs>
        <w:ind w:left="360" w:hanging="360"/>
      </w:pPr>
    </w:lvl>
  </w:abstractNum>
  <w:abstractNum w:abstractNumId="8">
    <w:nsid w:val="[ASSET_COD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[YEAR]-12-23T23:15:00Z</dcterms:created>
  <dcterms:modified xsi:type="dcterms:W3CDTF">[YEAR]-12-23T23:15:00Z</dcterms:modified>
  <cp:category/>
  <cp:contentStatus/>
  <dc:identifier/>
  <dc:language/>
  <cp:version/>
</cp:coreProperties>
</file>