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Inter" w:hAnsi="Inter"/>
          <w:b/>
          <w:color w:val="DA365C"/>
          <w:sz w:val="48"/>
        </w:rPr>
        <w:t>REQUEST FOR PROPOSAL</w:t>
      </w:r>
    </w:p>
    <w:p>
      <w:pPr>
        <w:jc w:val="center"/>
      </w:pPr>
      <w:r>
        <w:rPr>
          <w:rFonts w:ascii="Inter" w:hAnsi="Inter"/>
          <w:b/>
          <w:color w:val="1F2937"/>
          <w:sz w:val="36"/>
        </w:rPr>
        <w:t>OTC Eye Drop Global Consumer Segmentation</w:t>
      </w:r>
    </w:p>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Pr>
        <w:jc w:val="center"/>
      </w:pPr>
      <w:r>
        <w:rPr>
          <w:rFonts w:ascii="Inter" w:hAnsi="Inter"/>
          <w:b/>
          <w:sz w:val="22"/>
        </w:rPr>
        <w:t xml:space="preserve">Methodology Type: </w:t>
      </w:r>
      <w:r>
        <w:rPr>
          <w:rFonts w:ascii="Inter" w:hAnsi="Inter"/>
          <w:b w:val="0"/>
          <w:sz w:val="22"/>
        </w:rPr>
        <w:t>Mixed Methods Research</w:t>
      </w:r>
    </w:p>
    <w:p>
      <w:pPr>
        <w:jc w:val="center"/>
      </w:pPr>
      <w:r>
        <w:rPr>
          <w:rFonts w:ascii="Inter" w:hAnsi="Inter"/>
          <w:b/>
          <w:sz w:val="22"/>
        </w:rPr>
        <w:t xml:space="preserve">Issue Date: </w:t>
      </w:r>
      <w:r>
        <w:rPr>
          <w:rFonts w:ascii="Inter" w:hAnsi="Inter"/>
          <w:b w:val="0"/>
          <w:sz w:val="22"/>
        </w:rPr>
        <w:t>March 12, 2026</w:t>
      </w:r>
    </w:p>
    <w:p>
      <w:pPr>
        <w:jc w:val="center"/>
      </w:pPr>
      <w:r>
        <w:rPr>
          <w:rFonts w:ascii="Inter" w:hAnsi="Inter"/>
          <w:b/>
          <w:sz w:val="22"/>
        </w:rPr>
        <w:t xml:space="preserve">Response Deadline: </w:t>
      </w:r>
      <w:r>
        <w:rPr>
          <w:rFonts w:ascii="Inter" w:hAnsi="Inter"/>
          <w:b w:val="0"/>
          <w:sz w:val="22"/>
        </w:rPr>
        <w:t>April 02, 2026</w:t>
      </w:r>
    </w:p>
    <w:p>
      <w:pPr>
        <w:jc w:val="center"/>
      </w:pPr>
      <w:r>
        <w:rPr>
          <w:rFonts w:ascii="Inter" w:hAnsi="Inter"/>
          <w:b/>
          <w:sz w:val="22"/>
        </w:rPr>
        <w:t xml:space="preserve">Confidentiality: </w:t>
      </w:r>
      <w:r>
        <w:rPr>
          <w:rFonts w:ascii="Inter" w:hAnsi="Inter"/>
          <w:b w:val="0"/>
          <w:sz w:val="22"/>
        </w:rPr>
        <w:t>CONFIDENTIAL &amp; PROPRIETARY</w:t>
      </w:r>
    </w:p>
    <w:p>
      <w:r>
        <w:br w:type="page"/>
      </w:r>
    </w:p>
    <w:p>
      <w:pPr>
        <w:pStyle w:val="Heading1"/>
      </w:pPr>
      <w:r>
        <w:t>Contact &amp; Issuer Information</w:t>
      </w:r>
    </w:p>
    <w:p>
      <w:r>
        <w:rPr>
          <w:rFonts w:ascii="Inter" w:hAnsi="Inter"/>
          <w:b/>
          <w:sz w:val="22"/>
        </w:rPr>
        <w:t xml:space="preserve">Client Company: </w:t>
      </w:r>
      <w:r>
        <w:rPr>
          <w:rFonts w:ascii="Inter" w:hAnsi="Inter"/>
          <w:b w:val="0"/>
          <w:sz w:val="22"/>
        </w:rPr>
        <w:t>Arden Laboratories, Inc.</w:t>
      </w:r>
    </w:p>
    <w:p>
      <w:r>
        <w:rPr>
          <w:rFonts w:ascii="Inter" w:hAnsi="Inter"/>
          <w:b/>
          <w:sz w:val="22"/>
        </w:rPr>
        <w:t xml:space="preserve">Project Contact: </w:t>
      </w:r>
      <w:r>
        <w:rPr>
          <w:rFonts w:ascii="Inter" w:hAnsi="Inter"/>
          <w:b w:val="0"/>
          <w:sz w:val="22"/>
        </w:rPr>
        <w:t>Susan Cassidy</w:t>
      </w:r>
    </w:p>
    <w:p>
      <w:r>
        <w:rPr>
          <w:rFonts w:ascii="Inter" w:hAnsi="Inter"/>
          <w:b/>
          <w:sz w:val="22"/>
        </w:rPr>
        <w:t xml:space="preserve">Email: </w:t>
      </w:r>
      <w:r>
        <w:rPr>
          <w:rFonts w:ascii="Inter" w:hAnsi="Inter"/>
          <w:b w:val="0"/>
          <w:sz w:val="22"/>
        </w:rPr>
        <w:t>[CONTACT_EMAIL]</w:t>
      </w:r>
    </w:p>
    <w:p>
      <w:r>
        <w:rPr>
          <w:rFonts w:ascii="Inter" w:hAnsi="Inter"/>
          <w:b/>
          <w:sz w:val="22"/>
        </w:rPr>
        <w:t xml:space="preserve">Research Title: </w:t>
      </w:r>
      <w:r>
        <w:rPr>
          <w:rFonts w:ascii="Inter" w:hAnsi="Inter"/>
          <w:b w:val="0"/>
          <w:sz w:val="22"/>
        </w:rPr>
        <w:t>OTC Eye Drop Global Consumer Segmentation</w:t>
      </w:r>
    </w:p>
    <w:p>
      <w:r>
        <w:rPr>
          <w:rFonts w:ascii="Inter" w:hAnsi="Inter"/>
          <w:b/>
          <w:sz w:val="22"/>
        </w:rPr>
        <w:t xml:space="preserve">Therapeutic Area: </w:t>
      </w:r>
      <w:r>
        <w:rPr>
          <w:rFonts w:ascii="Inter" w:hAnsi="Inter"/>
          <w:b w:val="0"/>
          <w:sz w:val="22"/>
        </w:rPr>
        <w:t>Consumer Healthcare (OTC)</w:t>
      </w:r>
    </w:p>
    <w:p>
      <w:r>
        <w:rPr>
          <w:rFonts w:ascii="Inter" w:hAnsi="Inter"/>
          <w:b/>
          <w:sz w:val="22"/>
        </w:rPr>
        <w:t xml:space="preserve">Lifecycle Stage: </w:t>
      </w:r>
      <w:r>
        <w:rPr>
          <w:rFonts w:ascii="Inter" w:hAnsi="Inter"/>
          <w:b w:val="0"/>
          <w:sz w:val="22"/>
        </w:rPr>
        <w:t>Growth / Established</w:t>
      </w:r>
    </w:p>
    <w:p>
      <w:pPr>
        <w:pStyle w:val="Heading1"/>
      </w:pPr>
      <w:r>
        <w:t>Introduction &amp; Company Overview</w:t>
      </w:r>
    </w:p>
    <w:p>
      <w:r>
        <w:rPr>
          <w:rFonts w:ascii="Inter" w:hAnsi="Inter"/>
          <w:b w:val="0"/>
          <w:sz w:val="22"/>
        </w:rPr>
        <w:t>Arden Laboratories, Inc. is a leading pharmaceutical company with a comprehensive portfolio of ophthalmic products. Our Dry Eye Commercial Team is strategically positioned to capitalize on the growing OTC market opportunity and seeks to establish consumer segments to align Arden OTC businesses across dry eye and allergy indications.</w:t>
        <w:br/>
        <w:t xml:space="preserve">    </w:t>
        <w:br/>
        <w:t xml:space="preserve">    With Arden's broad OTC portfolio, there is a unique opportunity to synergize efforts across divisions to cohesively message to consumers and understand physician/pharmacist influence on consumer segments. This research initiative will enable more effective messaging of specific Arden OTC brands to key consumer targets.</w:t>
      </w:r>
    </w:p>
    <w:p>
      <w:pPr>
        <w:pStyle w:val="Heading1"/>
      </w:pPr>
      <w:r>
        <w:t>Project Background &amp; Context</w:t>
      </w:r>
    </w:p>
    <w:p>
      <w:r>
        <w:rPr>
          <w:rFonts w:ascii="Inter" w:hAnsi="Inter"/>
          <w:b w:val="0"/>
          <w:sz w:val="22"/>
        </w:rPr>
        <w:t>The Dry Eye Commercial Team recognizes that the business is shifting to OTC and seeks to gain a better understanding of the consumer eye care landscape. The team seeks to establish consumer segments to align Arden OTC businesses (dry eye, allergy).</w:t>
        <w:br/>
        <w:t xml:space="preserve">    </w:t>
        <w:br/>
        <w:t xml:space="preserve">    Output from this research will be used to more effectively message specific Arden OTC brands to key consumer targets, with particular focus on understanding the complete patient journey from symptom awareness through treatment decisions.</w:t>
      </w:r>
    </w:p>
    <w:p>
      <w:pPr>
        <w:pStyle w:val="Heading1"/>
      </w:pPr>
      <w:r>
        <w:t>Business &amp; Research Objectives</w:t>
      </w:r>
    </w:p>
    <w:p>
      <w:pPr>
        <w:pStyle w:val="ListBullet"/>
      </w:pPr>
      <w:r>
        <w:rPr>
          <w:rFonts w:ascii="Inter" w:hAnsi="Inter"/>
          <w:b w:val="0"/>
          <w:sz w:val="22"/>
        </w:rPr>
        <w:t>Understand patient's path to purchase OTC eye drops: end-to-end mapping from symptom awareness &gt; self-diagnosis &gt; OTC treatment &gt; physician diagnosis &gt; Rx treatment &gt; follow up</w:t>
      </w:r>
    </w:p>
    <w:p>
      <w:pPr>
        <w:pStyle w:val="ListBullet"/>
      </w:pPr>
      <w:r>
        <w:rPr>
          <w:rFonts w:ascii="Inter" w:hAnsi="Inter"/>
          <w:b w:val="0"/>
          <w:sz w:val="22"/>
        </w:rPr>
        <w:t>View of stakeholders (OPH, OD, Pharm) with current role/behavior mapping</w:t>
      </w:r>
    </w:p>
    <w:p>
      <w:pPr>
        <w:pStyle w:val="ListBullet"/>
      </w:pPr>
      <w:r>
        <w:rPr>
          <w:rFonts w:ascii="Inter" w:hAnsi="Inter"/>
          <w:b w:val="0"/>
          <w:sz w:val="22"/>
        </w:rPr>
        <w:t>Identify levers where Arden can influence stakeholder behavior</w:t>
      </w:r>
    </w:p>
    <w:p>
      <w:pPr>
        <w:pStyle w:val="ListBullet"/>
      </w:pPr>
      <w:r>
        <w:rPr>
          <w:rFonts w:ascii="Inter" w:hAnsi="Inter"/>
          <w:b w:val="0"/>
          <w:sz w:val="22"/>
        </w:rPr>
        <w:t>Understand and identify consumer behaviors attitudinally/behaviorally to define relevant actionable segments</w:t>
      </w:r>
    </w:p>
    <w:p>
      <w:pPr>
        <w:pStyle w:val="ListBullet"/>
      </w:pPr>
      <w:r>
        <w:rPr>
          <w:rFonts w:ascii="Inter" w:hAnsi="Inter"/>
          <w:b w:val="0"/>
          <w:sz w:val="22"/>
        </w:rPr>
        <w:t>Quantify segment sizes and characterize by: Demographics, Needs, Symptoms, Awareness, Motivators/barriers, OTC drop usage/frequency, Annual spend, Rx product usage, Physician/pharmacist influence</w:t>
      </w:r>
    </w:p>
    <w:p>
      <w:pPr>
        <w:pStyle w:val="ListBullet"/>
      </w:pPr>
      <w:r>
        <w:t>Understand where the following key groups lie within the segments: post-menopausal women, post-surgical dry eye (laser, cataract, etc), contact lens induced dry eye, and meibomian gland dysfunction patients</w:t>
      </w:r>
    </w:p>
    <w:p>
      <w:pPr>
        <w:pStyle w:val="ListBullet"/>
      </w:pPr>
      <w:r>
        <w:t>Concept evaluation scores (2-3 product concepts): standard measures such as believability, uniqueness, motivation to purchase, etc.</w:t>
      </w:r>
    </w:p>
    <w:p>
      <w:pPr>
        <w:pStyle w:val="Heading1"/>
      </w:pPr>
      <w:r>
        <w:t>Methodology &amp; Scope</w:t>
      </w:r>
    </w:p>
    <w:p>
      <w:r>
        <w:rPr>
          <w:rFonts w:ascii="Inter" w:hAnsi="Inter"/>
          <w:b w:val="0"/>
          <w:sz w:val="22"/>
        </w:rPr>
        <w:t>This research employs a comprehensive three-phase mixed-methods approach combining qualitative and quantitative methodologies to deliver robust consumer segmentation insights.</w:t>
      </w:r>
    </w:p>
    <w:p>
      <w:pPr>
        <w:pStyle w:val="Heading2"/>
      </w:pPr>
      <w:r>
        <w:t>Research Phases:</w:t>
      </w:r>
    </w:p>
    <w:p>
      <w:r>
        <w:t>Phase 1 - COMPLETED: Qualitative triad interviews (90 minutes) with patients in 2US, China, Japan, Germany, Italy, Brazil to map path to purchase and identify key segmentation factors. Alignment Meeting 1: Workshop to gain alignment on factors with key internal stakeholders (participation via teleconference available).</w:t>
      </w:r>
    </w:p>
    <w:p>
      <w:r>
        <w:t>Phase 2: Online quantitative segmentation research (40 min) in Round 1 countries (US, China, Germany, Brazil) + online quantitative path to purchase research (30 min). Alignment Meeting 2: Workshop to ensure Phase 1 segments are actionable and develop implementation plan.</w:t>
      </w:r>
    </w:p>
    <w:p>
      <w:r>
        <w:t>Phase 3: Online quantitative segmentation research (40 min) in Round 2 countries (Japan, Russia, Italy, UK). Alignment Meeting 3: Workshop to ensure Phase 2 segments are actionable and develop implementation plan.</w:t>
      </w:r>
    </w:p>
    <w:p>
      <w:pPr>
        <w:pStyle w:val="Heading1"/>
      </w:pPr>
      <w:r>
        <w:t>Markets &amp; Geography</w:t>
      </w:r>
    </w:p>
    <w:p>
      <w:r>
        <w:t>This is a global research initiative covering 8 key markets with regional nuances:</w:t>
        <w:br/>
        <w:t xml:space="preserve">    US, China, Japan, Germany, Italy, Brazil, Russia, UK</w:t>
        <w:br/>
        <w:t xml:space="preserve">    </w:t>
        <w:br/>
        <w:t xml:space="preserve">    Each market has been selected based on strategic importance to Arden's OTC business expansion and prevalence of target conditions.</w:t>
        <w:br/>
        <w:br/>
        <w:t>Data Source: *Kantar Health Epi Database. Accessed 7/16/15.</w:t>
        <w:br/>
        <w:t>**Approximately 85% seek OTC treatment.</w:t>
      </w:r>
    </w:p>
    <w:p>
      <w:pPr>
        <w:pStyle w:val="Heading2"/>
      </w:pPr>
      <w:r>
        <w:t>Market Prevalence Data:</w:t>
      </w:r>
    </w:p>
    <w:tbl>
      <w:tblPr>
        <w:tblW w:type="auto" w:w="0"/>
        <w:jc w:val="center"/>
        <w:tblLook w:firstColumn="1" w:firstRow="1" w:lastColumn="0" w:lastRow="0" w:noHBand="0" w:noVBand="1" w:val="04A0"/>
      </w:tblPr>
      <w:tblGrid>
        <w:gridCol w:w="2880"/>
        <w:gridCol w:w="2880"/>
        <w:gridCol w:w="2880"/>
      </w:tblGrid>
      <w:tr>
        <w:tc>
          <w:tcPr>
            <w:tcW w:type="dxa" w:w="2880"/>
          </w:tcPr>
          <w:p>
            <w:r>
              <w:rPr>
                <w:rFonts w:ascii="Inter" w:hAnsi="Inter"/>
                <w:b/>
                <w:color w:val="DA365C"/>
                <w:sz w:val="22"/>
              </w:rPr>
              <w:t>Country</w:t>
            </w:r>
          </w:p>
        </w:tc>
        <w:tc>
          <w:tcPr>
            <w:tcW w:type="dxa" w:w="2880"/>
          </w:tcPr>
          <w:p>
            <w:r>
              <w:rPr>
                <w:rFonts w:ascii="Inter" w:hAnsi="Inter"/>
                <w:b/>
                <w:color w:val="DA365C"/>
                <w:sz w:val="22"/>
              </w:rPr>
              <w:t>Dry Eye (40+)</w:t>
            </w:r>
          </w:p>
        </w:tc>
        <w:tc>
          <w:tcPr>
            <w:tcW w:type="dxa" w:w="2880"/>
          </w:tcPr>
          <w:p>
            <w:r>
              <w:rPr>
                <w:rFonts w:ascii="Inter" w:hAnsi="Inter"/>
                <w:b/>
                <w:color w:val="DA365C"/>
                <w:sz w:val="22"/>
              </w:rPr>
              <w:t>Ocular Allergy (Total)</w:t>
            </w:r>
          </w:p>
        </w:tc>
      </w:tr>
      <w:tr>
        <w:tc>
          <w:tcPr>
            <w:tcW w:type="dxa" w:w="2880"/>
          </w:tcPr>
          <w:p>
            <w:r>
              <w:rPr>
                <w:rFonts w:ascii="Inter" w:hAnsi="Inter"/>
                <w:b w:val="0"/>
                <w:sz w:val="22"/>
              </w:rPr>
              <w:t>US</w:t>
            </w:r>
          </w:p>
        </w:tc>
        <w:tc>
          <w:tcPr>
            <w:tcW w:type="dxa" w:w="2880"/>
          </w:tcPr>
          <w:p>
            <w:r>
              <w:rPr>
                <w:rFonts w:ascii="Inter" w:hAnsi="Inter"/>
                <w:b w:val="0"/>
                <w:sz w:val="22"/>
              </w:rPr>
              <w:t>10.7%</w:t>
            </w:r>
          </w:p>
        </w:tc>
        <w:tc>
          <w:tcPr>
            <w:tcW w:type="dxa" w:w="2880"/>
          </w:tcPr>
          <w:p>
            <w:r>
              <w:rPr>
                <w:rFonts w:ascii="Inter" w:hAnsi="Inter"/>
                <w:b w:val="0"/>
                <w:sz w:val="22"/>
              </w:rPr>
              <w:t>22.1%</w:t>
            </w:r>
          </w:p>
        </w:tc>
      </w:tr>
      <w:tr>
        <w:tc>
          <w:tcPr>
            <w:tcW w:type="dxa" w:w="2880"/>
          </w:tcPr>
          <w:p>
            <w:r>
              <w:rPr>
                <w:rFonts w:ascii="Inter" w:hAnsi="Inter"/>
                <w:b w:val="0"/>
                <w:sz w:val="22"/>
              </w:rPr>
              <w:t>China</w:t>
            </w:r>
          </w:p>
        </w:tc>
        <w:tc>
          <w:tcPr>
            <w:tcW w:type="dxa" w:w="2880"/>
          </w:tcPr>
          <w:p>
            <w:r>
              <w:rPr>
                <w:rFonts w:ascii="Inter" w:hAnsi="Inter"/>
                <w:b w:val="0"/>
                <w:sz w:val="22"/>
              </w:rPr>
              <w:t>22.7%</w:t>
            </w:r>
          </w:p>
        </w:tc>
        <w:tc>
          <w:tcPr>
            <w:tcW w:type="dxa" w:w="2880"/>
          </w:tcPr>
          <w:p>
            <w:r>
              <w:rPr>
                <w:rFonts w:ascii="Inter" w:hAnsi="Inter"/>
                <w:b w:val="0"/>
                <w:sz w:val="22"/>
              </w:rPr>
              <w:t>9.7%</w:t>
            </w:r>
          </w:p>
        </w:tc>
      </w:tr>
      <w:tr>
        <w:tc>
          <w:tcPr>
            <w:tcW w:type="dxa" w:w="2880"/>
          </w:tcPr>
          <w:p>
            <w:r>
              <w:rPr>
                <w:rFonts w:ascii="Inter" w:hAnsi="Inter"/>
                <w:b w:val="0"/>
                <w:sz w:val="22"/>
              </w:rPr>
              <w:t>Germany</w:t>
            </w:r>
          </w:p>
        </w:tc>
        <w:tc>
          <w:tcPr>
            <w:tcW w:type="dxa" w:w="2880"/>
          </w:tcPr>
          <w:p>
            <w:r>
              <w:rPr>
                <w:rFonts w:ascii="Inter" w:hAnsi="Inter"/>
                <w:b w:val="0"/>
                <w:sz w:val="22"/>
              </w:rPr>
              <w:t>16.8%</w:t>
            </w:r>
          </w:p>
        </w:tc>
        <w:tc>
          <w:tcPr>
            <w:tcW w:type="dxa" w:w="2880"/>
          </w:tcPr>
          <w:p>
            <w:r>
              <w:rPr>
                <w:rFonts w:ascii="Inter" w:hAnsi="Inter"/>
                <w:b w:val="0"/>
                <w:sz w:val="22"/>
              </w:rPr>
              <w:t>13.6%</w:t>
            </w:r>
          </w:p>
        </w:tc>
      </w:tr>
      <w:tr>
        <w:tc>
          <w:tcPr>
            <w:tcW w:type="dxa" w:w="2880"/>
          </w:tcPr>
          <w:p>
            <w:r>
              <w:rPr>
                <w:rFonts w:ascii="Inter" w:hAnsi="Inter"/>
                <w:b w:val="0"/>
                <w:sz w:val="22"/>
              </w:rPr>
              <w:t>UK</w:t>
            </w:r>
          </w:p>
        </w:tc>
        <w:tc>
          <w:tcPr>
            <w:tcW w:type="dxa" w:w="2880"/>
          </w:tcPr>
          <w:p>
            <w:r>
              <w:rPr>
                <w:rFonts w:ascii="Inter" w:hAnsi="Inter"/>
                <w:b w:val="0"/>
                <w:sz w:val="22"/>
              </w:rPr>
              <w:t>16.9%</w:t>
            </w:r>
          </w:p>
        </w:tc>
        <w:tc>
          <w:tcPr>
            <w:tcW w:type="dxa" w:w="2880"/>
          </w:tcPr>
          <w:p>
            <w:r>
              <w:rPr>
                <w:rFonts w:ascii="Inter" w:hAnsi="Inter"/>
                <w:b w:val="0"/>
                <w:sz w:val="22"/>
              </w:rPr>
              <w:t>16.7%</w:t>
            </w:r>
          </w:p>
        </w:tc>
      </w:tr>
      <w:tr>
        <w:tc>
          <w:tcPr>
            <w:tcW w:type="dxa" w:w="2880"/>
          </w:tcPr>
          <w:p>
            <w:r>
              <w:rPr>
                <w:rFonts w:ascii="Inter" w:hAnsi="Inter"/>
                <w:b w:val="0"/>
                <w:sz w:val="22"/>
              </w:rPr>
              <w:t>Brazil</w:t>
            </w:r>
          </w:p>
        </w:tc>
        <w:tc>
          <w:tcPr>
            <w:tcW w:type="dxa" w:w="2880"/>
          </w:tcPr>
          <w:p>
            <w:r>
              <w:rPr>
                <w:rFonts w:ascii="Inter" w:hAnsi="Inter"/>
                <w:b w:val="0"/>
                <w:sz w:val="22"/>
              </w:rPr>
              <w:t>12.6%</w:t>
            </w:r>
          </w:p>
        </w:tc>
        <w:tc>
          <w:tcPr>
            <w:tcW w:type="dxa" w:w="2880"/>
          </w:tcPr>
          <w:p>
            <w:r>
              <w:rPr>
                <w:rFonts w:ascii="Inter" w:hAnsi="Inter"/>
                <w:b w:val="0"/>
                <w:sz w:val="22"/>
              </w:rPr>
              <w:t>17.9%</w:t>
            </w:r>
          </w:p>
        </w:tc>
      </w:tr>
      <w:tr>
        <w:tc>
          <w:tcPr>
            <w:tcW w:type="dxa" w:w="2880"/>
          </w:tcPr>
          <w:p>
            <w:r>
              <w:rPr>
                <w:rFonts w:ascii="Inter" w:hAnsi="Inter"/>
                <w:b w:val="0"/>
                <w:sz w:val="22"/>
              </w:rPr>
              <w:t>Japan</w:t>
            </w:r>
          </w:p>
        </w:tc>
        <w:tc>
          <w:tcPr>
            <w:tcW w:type="dxa" w:w="2880"/>
          </w:tcPr>
          <w:p>
            <w:r>
              <w:rPr>
                <w:rFonts w:ascii="Inter" w:hAnsi="Inter"/>
                <w:b w:val="0"/>
                <w:sz w:val="22"/>
              </w:rPr>
              <w:t>23.1%</w:t>
            </w:r>
          </w:p>
        </w:tc>
        <w:tc>
          <w:tcPr>
            <w:tcW w:type="dxa" w:w="2880"/>
          </w:tcPr>
          <w:p>
            <w:r>
              <w:rPr>
                <w:rFonts w:ascii="Inter" w:hAnsi="Inter"/>
                <w:b w:val="0"/>
                <w:sz w:val="22"/>
              </w:rPr>
              <w:t>23.9%</w:t>
            </w:r>
          </w:p>
        </w:tc>
      </w:tr>
      <w:tr>
        <w:tc>
          <w:tcPr>
            <w:tcW w:type="dxa" w:w="2880"/>
          </w:tcPr>
          <w:p>
            <w:r>
              <w:rPr>
                <w:rFonts w:ascii="Inter" w:hAnsi="Inter"/>
                <w:b w:val="0"/>
                <w:sz w:val="22"/>
              </w:rPr>
              <w:t>Russia</w:t>
            </w:r>
          </w:p>
        </w:tc>
        <w:tc>
          <w:tcPr>
            <w:tcW w:type="dxa" w:w="2880"/>
          </w:tcPr>
          <w:p>
            <w:r>
              <w:rPr>
                <w:rFonts w:ascii="Inter" w:hAnsi="Inter"/>
                <w:b w:val="0"/>
                <w:sz w:val="22"/>
              </w:rPr>
              <w:t>16.2%</w:t>
            </w:r>
          </w:p>
        </w:tc>
        <w:tc>
          <w:tcPr>
            <w:tcW w:type="dxa" w:w="2880"/>
          </w:tcPr>
          <w:p>
            <w:r>
              <w:rPr>
                <w:rFonts w:ascii="Inter" w:hAnsi="Inter"/>
                <w:b w:val="0"/>
                <w:sz w:val="22"/>
              </w:rPr>
              <w:t>8.6%</w:t>
            </w:r>
          </w:p>
        </w:tc>
      </w:tr>
      <w:tr>
        <w:tc>
          <w:tcPr>
            <w:tcW w:type="dxa" w:w="2880"/>
          </w:tcPr>
          <w:p>
            <w:r>
              <w:rPr>
                <w:rFonts w:ascii="Inter" w:hAnsi="Inter"/>
                <w:b w:val="0"/>
                <w:sz w:val="22"/>
              </w:rPr>
              <w:t>Italy</w:t>
            </w:r>
          </w:p>
        </w:tc>
        <w:tc>
          <w:tcPr>
            <w:tcW w:type="dxa" w:w="2880"/>
          </w:tcPr>
          <w:p>
            <w:r>
              <w:rPr>
                <w:rFonts w:ascii="Inter" w:hAnsi="Inter"/>
                <w:b w:val="0"/>
                <w:sz w:val="22"/>
              </w:rPr>
              <w:t>17.3%</w:t>
            </w:r>
          </w:p>
        </w:tc>
        <w:tc>
          <w:tcPr>
            <w:tcW w:type="dxa" w:w="2880"/>
          </w:tcPr>
          <w:p>
            <w:r>
              <w:rPr>
                <w:rFonts w:ascii="Inter" w:hAnsi="Inter"/>
                <w:b w:val="0"/>
                <w:sz w:val="22"/>
              </w:rPr>
              <w:t>11.0%</w:t>
            </w:r>
          </w:p>
        </w:tc>
      </w:tr>
    </w:tbl>
    <w:p>
      <w:pPr>
        <w:pStyle w:val="Heading1"/>
      </w:pPr>
      <w:r>
        <w:t>Target Audience &amp; Sample</w:t>
      </w:r>
    </w:p>
    <w:p>
      <w:r>
        <w:rPr>
          <w:rFonts w:ascii="Inter" w:hAnsi="Inter"/>
          <w:b w:val="0"/>
          <w:sz w:val="22"/>
        </w:rPr>
        <w:t>Primary Target: Consumers/patients using OTC eye drops (artificial tears, lubricants, redness relievers, gels/sprays/ointments, rewetting drops), ages 21+</w:t>
        <w:br/>
        <w:t xml:space="preserve">    </w:t>
        <w:br/>
        <w:t xml:space="preserve">    Sample sizes have been optimized to ensure statistical significance across all markets and research phases.</w:t>
      </w:r>
    </w:p>
    <w:p>
      <w:pPr>
        <w:pStyle w:val="Heading2"/>
      </w:pPr>
      <w:r>
        <w:t>Planned Sample Sizes: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Inter" w:hAnsi="Inter"/>
                <w:b/>
                <w:color w:val="DA365C"/>
                <w:sz w:val="22"/>
              </w:rPr>
              <w:t>Country</w:t>
            </w:r>
          </w:p>
        </w:tc>
        <w:tc>
          <w:tcPr>
            <w:tcW w:type="dxa" w:w="1728"/>
          </w:tcPr>
          <w:p>
            <w:r>
              <w:rPr>
                <w:rFonts w:ascii="Inter" w:hAnsi="Inter"/>
                <w:b/>
                <w:color w:val="DA365C"/>
                <w:sz w:val="22"/>
              </w:rPr>
              <w:t>Qual</w:t>
            </w:r>
          </w:p>
        </w:tc>
        <w:tc>
          <w:tcPr>
            <w:tcW w:type="dxa" w:w="1728"/>
          </w:tcPr>
          <w:p>
            <w:r>
              <w:rPr>
                <w:rFonts w:ascii="Inter" w:hAnsi="Inter"/>
                <w:b/>
                <w:color w:val="DA365C"/>
                <w:sz w:val="22"/>
              </w:rPr>
              <w:t>Quant Seg R1</w:t>
            </w:r>
          </w:p>
        </w:tc>
        <w:tc>
          <w:tcPr>
            <w:tcW w:type="dxa" w:w="1728"/>
          </w:tcPr>
          <w:p>
            <w:r>
              <w:rPr>
                <w:rFonts w:ascii="Inter" w:hAnsi="Inter"/>
                <w:b/>
                <w:color w:val="DA365C"/>
                <w:sz w:val="22"/>
              </w:rPr>
              <w:t>Quant Seg R2</w:t>
            </w:r>
          </w:p>
        </w:tc>
        <w:tc>
          <w:tcPr>
            <w:tcW w:type="dxa" w:w="1728"/>
          </w:tcPr>
          <w:p>
            <w:r>
              <w:rPr>
                <w:rFonts w:ascii="Inter" w:hAnsi="Inter"/>
                <w:b/>
                <w:color w:val="DA365C"/>
                <w:sz w:val="22"/>
              </w:rPr>
              <w:t>Quant PtP</w:t>
            </w:r>
          </w:p>
        </w:tc>
      </w:tr>
      <w:tr>
        <w:tc>
          <w:tcPr>
            <w:tcW w:type="dxa" w:w="1728"/>
          </w:tcPr>
          <w:p>
            <w:r>
              <w:rPr>
                <w:rFonts w:ascii="Inter" w:hAnsi="Inter"/>
                <w:b w:val="0"/>
                <w:sz w:val="22"/>
              </w:rPr>
              <w:t>US</w:t>
            </w:r>
          </w:p>
        </w:tc>
        <w:tc>
          <w:tcPr>
            <w:tcW w:type="dxa" w:w="1728"/>
          </w:tcPr>
          <w:p>
            <w:r>
              <w:rPr>
                <w:rFonts w:ascii="Inter" w:hAnsi="Inter"/>
                <w:b w:val="0"/>
                <w:sz w:val="22"/>
              </w:rPr>
              <w:t>30</w:t>
            </w:r>
          </w:p>
        </w:tc>
        <w:tc>
          <w:tcPr>
            <w:tcW w:type="dxa" w:w="1728"/>
          </w:tcPr>
          <w:p>
            <w:r>
              <w:rPr>
                <w:rFonts w:ascii="Inter" w:hAnsi="Inter"/>
                <w:b w:val="0"/>
                <w:sz w:val="22"/>
              </w:rPr>
              <w:t>1200</w:t>
            </w:r>
          </w:p>
        </w:tc>
        <w:tc>
          <w:tcPr>
            <w:tcW w:type="dxa" w:w="1728"/>
          </w:tcPr>
          <w:p>
            <w:r>
              <w:rPr>
                <w:rFonts w:ascii="Inter" w:hAnsi="Inter"/>
                <w:b w:val="0"/>
                <w:sz w:val="22"/>
              </w:rPr>
              <w:t>-</w:t>
            </w:r>
          </w:p>
        </w:tc>
        <w:tc>
          <w:tcPr>
            <w:tcW w:type="dxa" w:w="1728"/>
          </w:tcPr>
          <w:p>
            <w:r>
              <w:rPr>
                <w:rFonts w:ascii="Inter" w:hAnsi="Inter"/>
                <w:b w:val="0"/>
                <w:sz w:val="22"/>
              </w:rPr>
              <w:t>300</w:t>
            </w:r>
          </w:p>
        </w:tc>
      </w:tr>
      <w:tr>
        <w:tc>
          <w:tcPr>
            <w:tcW w:type="dxa" w:w="1728"/>
          </w:tcPr>
          <w:p>
            <w:r>
              <w:rPr>
                <w:rFonts w:ascii="Inter" w:hAnsi="Inter"/>
                <w:b w:val="0"/>
                <w:sz w:val="22"/>
              </w:rPr>
              <w:t>Japan</w:t>
            </w:r>
          </w:p>
        </w:tc>
        <w:tc>
          <w:tcPr>
            <w:tcW w:type="dxa" w:w="1728"/>
          </w:tcPr>
          <w:p>
            <w:r>
              <w:rPr>
                <w:rFonts w:ascii="Inter" w:hAnsi="Inter"/>
                <w:b w:val="0"/>
                <w:sz w:val="22"/>
              </w:rPr>
              <w:t>12</w:t>
            </w:r>
          </w:p>
        </w:tc>
        <w:tc>
          <w:tcPr>
            <w:tcW w:type="dxa" w:w="1728"/>
          </w:tcPr>
          <w:p>
            <w:r>
              <w:rPr>
                <w:rFonts w:ascii="Inter" w:hAnsi="Inter"/>
                <w:b w:val="0"/>
                <w:sz w:val="22"/>
              </w:rPr>
              <w:t>-</w:t>
            </w:r>
          </w:p>
        </w:tc>
        <w:tc>
          <w:tcPr>
            <w:tcW w:type="dxa" w:w="1728"/>
          </w:tcPr>
          <w:p>
            <w:r>
              <w:rPr>
                <w:rFonts w:ascii="Inter" w:hAnsi="Inter"/>
                <w:b w:val="0"/>
                <w:sz w:val="22"/>
              </w:rPr>
              <w:t>375</w:t>
            </w:r>
          </w:p>
        </w:tc>
        <w:tc>
          <w:tcPr>
            <w:tcW w:type="dxa" w:w="1728"/>
          </w:tcPr>
          <w:p>
            <w:r>
              <w:rPr>
                <w:rFonts w:ascii="Inter" w:hAnsi="Inter"/>
                <w:b w:val="0"/>
                <w:sz w:val="22"/>
              </w:rPr>
              <w:t>125</w:t>
            </w:r>
          </w:p>
        </w:tc>
      </w:tr>
      <w:tr>
        <w:tc>
          <w:tcPr>
            <w:tcW w:type="dxa" w:w="1728"/>
          </w:tcPr>
          <w:p>
            <w:r>
              <w:rPr>
                <w:rFonts w:ascii="Inter" w:hAnsi="Inter"/>
                <w:b w:val="0"/>
                <w:sz w:val="22"/>
              </w:rPr>
              <w:t>China</w:t>
            </w:r>
          </w:p>
        </w:tc>
        <w:tc>
          <w:tcPr>
            <w:tcW w:type="dxa" w:w="1728"/>
          </w:tcPr>
          <w:p>
            <w:r>
              <w:rPr>
                <w:rFonts w:ascii="Inter" w:hAnsi="Inter"/>
                <w:b w:val="0"/>
                <w:sz w:val="22"/>
              </w:rPr>
              <w:t>12</w:t>
            </w:r>
          </w:p>
        </w:tc>
        <w:tc>
          <w:tcPr>
            <w:tcW w:type="dxa" w:w="1728"/>
          </w:tcPr>
          <w:p>
            <w:r>
              <w:rPr>
                <w:rFonts w:ascii="Inter" w:hAnsi="Inter"/>
                <w:b w:val="0"/>
                <w:sz w:val="22"/>
              </w:rPr>
              <w:t>375</w:t>
            </w:r>
          </w:p>
        </w:tc>
        <w:tc>
          <w:tcPr>
            <w:tcW w:type="dxa" w:w="1728"/>
          </w:tcPr>
          <w:p>
            <w:r>
              <w:rPr>
                <w:rFonts w:ascii="Inter" w:hAnsi="Inter"/>
                <w:b w:val="0"/>
                <w:sz w:val="22"/>
              </w:rPr>
              <w:t>-</w:t>
            </w:r>
          </w:p>
        </w:tc>
        <w:tc>
          <w:tcPr>
            <w:tcW w:type="dxa" w:w="1728"/>
          </w:tcPr>
          <w:p>
            <w:r>
              <w:rPr>
                <w:rFonts w:ascii="Inter" w:hAnsi="Inter"/>
                <w:b w:val="0"/>
                <w:sz w:val="22"/>
              </w:rPr>
              <w:t>125</w:t>
            </w:r>
          </w:p>
        </w:tc>
      </w:tr>
      <w:tr>
        <w:tc>
          <w:tcPr>
            <w:tcW w:type="dxa" w:w="1728"/>
          </w:tcPr>
          <w:p>
            <w:r>
              <w:rPr>
                <w:rFonts w:ascii="Inter" w:hAnsi="Inter"/>
                <w:b w:val="0"/>
                <w:sz w:val="22"/>
              </w:rPr>
              <w:t>Russia</w:t>
            </w:r>
          </w:p>
        </w:tc>
        <w:tc>
          <w:tcPr>
            <w:tcW w:type="dxa" w:w="1728"/>
          </w:tcPr>
          <w:p>
            <w:r>
              <w:rPr>
                <w:rFonts w:ascii="Inter" w:hAnsi="Inter"/>
                <w:b w:val="0"/>
                <w:sz w:val="22"/>
              </w:rPr>
              <w:t>-</w:t>
            </w:r>
          </w:p>
        </w:tc>
        <w:tc>
          <w:tcPr>
            <w:tcW w:type="dxa" w:w="1728"/>
          </w:tcPr>
          <w:p>
            <w:r>
              <w:rPr>
                <w:rFonts w:ascii="Inter" w:hAnsi="Inter"/>
                <w:b w:val="0"/>
                <w:sz w:val="22"/>
              </w:rPr>
              <w:t>-</w:t>
            </w:r>
          </w:p>
        </w:tc>
        <w:tc>
          <w:tcPr>
            <w:tcW w:type="dxa" w:w="1728"/>
          </w:tcPr>
          <w:p>
            <w:r>
              <w:rPr>
                <w:rFonts w:ascii="Inter" w:hAnsi="Inter"/>
                <w:b w:val="0"/>
                <w:sz w:val="22"/>
              </w:rPr>
              <w:t>300</w:t>
            </w:r>
          </w:p>
        </w:tc>
        <w:tc>
          <w:tcPr>
            <w:tcW w:type="dxa" w:w="1728"/>
          </w:tcPr>
          <w:p>
            <w:r>
              <w:rPr>
                <w:rFonts w:ascii="Inter" w:hAnsi="Inter"/>
                <w:b w:val="0"/>
                <w:sz w:val="22"/>
              </w:rPr>
              <w:t>-</w:t>
            </w:r>
          </w:p>
        </w:tc>
      </w:tr>
      <w:tr>
        <w:tc>
          <w:tcPr>
            <w:tcW w:type="dxa" w:w="1728"/>
          </w:tcPr>
          <w:p>
            <w:r>
              <w:rPr>
                <w:rFonts w:ascii="Inter" w:hAnsi="Inter"/>
                <w:b w:val="0"/>
                <w:sz w:val="22"/>
              </w:rPr>
              <w:t>Germany</w:t>
            </w:r>
          </w:p>
        </w:tc>
        <w:tc>
          <w:tcPr>
            <w:tcW w:type="dxa" w:w="1728"/>
          </w:tcPr>
          <w:p>
            <w:r>
              <w:rPr>
                <w:rFonts w:ascii="Inter" w:hAnsi="Inter"/>
                <w:b w:val="0"/>
                <w:sz w:val="22"/>
              </w:rPr>
              <w:t>12</w:t>
            </w:r>
          </w:p>
        </w:tc>
        <w:tc>
          <w:tcPr>
            <w:tcW w:type="dxa" w:w="1728"/>
          </w:tcPr>
          <w:p>
            <w:r>
              <w:rPr>
                <w:rFonts w:ascii="Inter" w:hAnsi="Inter"/>
                <w:b w:val="0"/>
                <w:sz w:val="22"/>
              </w:rPr>
              <w:t>300</w:t>
            </w:r>
          </w:p>
        </w:tc>
        <w:tc>
          <w:tcPr>
            <w:tcW w:type="dxa" w:w="1728"/>
          </w:tcPr>
          <w:p>
            <w:r>
              <w:rPr>
                <w:rFonts w:ascii="Inter" w:hAnsi="Inter"/>
                <w:b w:val="0"/>
                <w:sz w:val="22"/>
              </w:rPr>
              <w:t>-</w:t>
            </w:r>
          </w:p>
        </w:tc>
        <w:tc>
          <w:tcPr>
            <w:tcW w:type="dxa" w:w="1728"/>
          </w:tcPr>
          <w:p>
            <w:r>
              <w:rPr>
                <w:rFonts w:ascii="Inter" w:hAnsi="Inter"/>
                <w:b w:val="0"/>
                <w:sz w:val="22"/>
              </w:rPr>
              <w:t>125</w:t>
            </w:r>
          </w:p>
        </w:tc>
      </w:tr>
      <w:tr>
        <w:tc>
          <w:tcPr>
            <w:tcW w:type="dxa" w:w="1728"/>
          </w:tcPr>
          <w:p>
            <w:r>
              <w:rPr>
                <w:rFonts w:ascii="Inter" w:hAnsi="Inter"/>
                <w:b w:val="0"/>
                <w:sz w:val="22"/>
              </w:rPr>
              <w:t>Italy</w:t>
            </w:r>
          </w:p>
        </w:tc>
        <w:tc>
          <w:tcPr>
            <w:tcW w:type="dxa" w:w="1728"/>
          </w:tcPr>
          <w:p>
            <w:r>
              <w:rPr>
                <w:rFonts w:ascii="Inter" w:hAnsi="Inter"/>
                <w:b w:val="0"/>
                <w:sz w:val="22"/>
              </w:rPr>
              <w:t>12</w:t>
            </w:r>
          </w:p>
        </w:tc>
        <w:tc>
          <w:tcPr>
            <w:tcW w:type="dxa" w:w="1728"/>
          </w:tcPr>
          <w:p>
            <w:r>
              <w:rPr>
                <w:rFonts w:ascii="Inter" w:hAnsi="Inter"/>
                <w:b w:val="0"/>
                <w:sz w:val="22"/>
              </w:rPr>
              <w:t>-</w:t>
            </w:r>
          </w:p>
        </w:tc>
        <w:tc>
          <w:tcPr>
            <w:tcW w:type="dxa" w:w="1728"/>
          </w:tcPr>
          <w:p>
            <w:r>
              <w:rPr>
                <w:rFonts w:ascii="Inter" w:hAnsi="Inter"/>
                <w:b w:val="0"/>
                <w:sz w:val="22"/>
              </w:rPr>
              <w:t>300</w:t>
            </w:r>
          </w:p>
        </w:tc>
        <w:tc>
          <w:tcPr>
            <w:tcW w:type="dxa" w:w="1728"/>
          </w:tcPr>
          <w:p>
            <w:r>
              <w:rPr>
                <w:rFonts w:ascii="Inter" w:hAnsi="Inter"/>
                <w:b w:val="0"/>
                <w:sz w:val="22"/>
              </w:rPr>
              <w:t>125</w:t>
            </w:r>
          </w:p>
        </w:tc>
      </w:tr>
      <w:tr>
        <w:tc>
          <w:tcPr>
            <w:tcW w:type="dxa" w:w="1728"/>
          </w:tcPr>
          <w:p>
            <w:r>
              <w:rPr>
                <w:rFonts w:ascii="Inter" w:hAnsi="Inter"/>
                <w:b w:val="0"/>
                <w:sz w:val="22"/>
              </w:rPr>
              <w:t>UK</w:t>
            </w:r>
          </w:p>
        </w:tc>
        <w:tc>
          <w:tcPr>
            <w:tcW w:type="dxa" w:w="1728"/>
          </w:tcPr>
          <w:p>
            <w:r>
              <w:rPr>
                <w:rFonts w:ascii="Inter" w:hAnsi="Inter"/>
                <w:b w:val="0"/>
                <w:sz w:val="22"/>
              </w:rPr>
              <w:t>-</w:t>
            </w:r>
          </w:p>
        </w:tc>
        <w:tc>
          <w:tcPr>
            <w:tcW w:type="dxa" w:w="1728"/>
          </w:tcPr>
          <w:p>
            <w:r>
              <w:rPr>
                <w:rFonts w:ascii="Inter" w:hAnsi="Inter"/>
                <w:b w:val="0"/>
                <w:sz w:val="22"/>
              </w:rPr>
              <w:t>-</w:t>
            </w:r>
          </w:p>
        </w:tc>
        <w:tc>
          <w:tcPr>
            <w:tcW w:type="dxa" w:w="1728"/>
          </w:tcPr>
          <w:p>
            <w:r>
              <w:rPr>
                <w:rFonts w:ascii="Inter" w:hAnsi="Inter"/>
                <w:b w:val="0"/>
                <w:sz w:val="22"/>
              </w:rPr>
              <w:t>300</w:t>
            </w:r>
          </w:p>
        </w:tc>
        <w:tc>
          <w:tcPr>
            <w:tcW w:type="dxa" w:w="1728"/>
          </w:tcPr>
          <w:p>
            <w:r>
              <w:rPr>
                <w:rFonts w:ascii="Inter" w:hAnsi="Inter"/>
                <w:b w:val="0"/>
                <w:sz w:val="22"/>
              </w:rPr>
              <w:t>-</w:t>
            </w:r>
          </w:p>
        </w:tc>
      </w:tr>
      <w:tr>
        <w:tc>
          <w:tcPr>
            <w:tcW w:type="dxa" w:w="1728"/>
          </w:tcPr>
          <w:p>
            <w:r>
              <w:rPr>
                <w:rFonts w:ascii="Inter" w:hAnsi="Inter"/>
                <w:b w:val="0"/>
                <w:sz w:val="22"/>
              </w:rPr>
              <w:t>Brazil</w:t>
            </w:r>
          </w:p>
        </w:tc>
        <w:tc>
          <w:tcPr>
            <w:tcW w:type="dxa" w:w="1728"/>
          </w:tcPr>
          <w:p>
            <w:r>
              <w:rPr>
                <w:rFonts w:ascii="Inter" w:hAnsi="Inter"/>
                <w:b w:val="0"/>
                <w:sz w:val="22"/>
              </w:rPr>
              <w:t>12</w:t>
            </w:r>
          </w:p>
        </w:tc>
        <w:tc>
          <w:tcPr>
            <w:tcW w:type="dxa" w:w="1728"/>
          </w:tcPr>
          <w:p>
            <w:r>
              <w:rPr>
                <w:rFonts w:ascii="Inter" w:hAnsi="Inter"/>
                <w:b w:val="0"/>
                <w:sz w:val="22"/>
              </w:rPr>
              <w:t>375</w:t>
            </w:r>
          </w:p>
        </w:tc>
        <w:tc>
          <w:tcPr>
            <w:tcW w:type="dxa" w:w="1728"/>
          </w:tcPr>
          <w:p>
            <w:r>
              <w:rPr>
                <w:rFonts w:ascii="Inter" w:hAnsi="Inter"/>
                <w:b w:val="0"/>
                <w:sz w:val="22"/>
              </w:rPr>
              <w:t>-</w:t>
            </w:r>
          </w:p>
        </w:tc>
        <w:tc>
          <w:tcPr>
            <w:tcW w:type="dxa" w:w="1728"/>
          </w:tcPr>
          <w:p>
            <w:r>
              <w:rPr>
                <w:rFonts w:ascii="Inter" w:hAnsi="Inter"/>
                <w:b w:val="0"/>
                <w:sz w:val="22"/>
              </w:rPr>
              <w:t>125</w:t>
            </w:r>
          </w:p>
        </w:tc>
      </w:tr>
      <w:tr>
        <w:tc>
          <w:tcPr>
            <w:tcW w:type="dxa" w:w="1728"/>
          </w:tcPr>
          <w:p>
            <w:r>
              <w:rPr>
                <w:rFonts w:ascii="Inter" w:hAnsi="Inter"/>
                <w:b/>
                <w:color w:val="DA365C"/>
                <w:sz w:val="22"/>
              </w:rPr>
              <w:t>Total</w:t>
            </w:r>
          </w:p>
        </w:tc>
        <w:tc>
          <w:tcPr>
            <w:tcW w:type="dxa" w:w="1728"/>
          </w:tcPr>
          <w:p>
            <w:r>
              <w:rPr>
                <w:rFonts w:ascii="Inter" w:hAnsi="Inter"/>
                <w:b/>
                <w:color w:val="DA365C"/>
                <w:sz w:val="22"/>
              </w:rPr>
              <w:t>90</w:t>
            </w:r>
          </w:p>
        </w:tc>
        <w:tc>
          <w:tcPr>
            <w:tcW w:type="dxa" w:w="1728"/>
          </w:tcPr>
          <w:p>
            <w:r>
              <w:rPr>
                <w:rFonts w:ascii="Inter" w:hAnsi="Inter"/>
                <w:b/>
                <w:color w:val="DA365C"/>
                <w:sz w:val="22"/>
              </w:rPr>
              <w:t>2250</w:t>
            </w:r>
          </w:p>
        </w:tc>
        <w:tc>
          <w:tcPr>
            <w:tcW w:type="dxa" w:w="1728"/>
          </w:tcPr>
          <w:p>
            <w:r>
              <w:rPr>
                <w:rFonts w:ascii="Inter" w:hAnsi="Inter"/>
                <w:b/>
                <w:color w:val="DA365C"/>
                <w:sz w:val="22"/>
              </w:rPr>
              <w:t>1275</w:t>
            </w:r>
          </w:p>
        </w:tc>
        <w:tc>
          <w:tcPr>
            <w:tcW w:type="dxa" w:w="1728"/>
          </w:tcPr>
          <w:p>
            <w:r>
              <w:rPr>
                <w:rFonts w:ascii="Inter" w:hAnsi="Inter"/>
                <w:b/>
                <w:color w:val="DA365C"/>
                <w:sz w:val="22"/>
              </w:rPr>
              <w:t>925</w:t>
            </w:r>
          </w:p>
        </w:tc>
      </w:tr>
    </w:tbl>
    <w:p>
      <w:pPr>
        <w:pStyle w:val="Heading1"/>
      </w:pPr>
      <w:r>
        <w:t>Timeline &amp; Key Dates</w:t>
      </w:r>
    </w:p>
    <w:p>
      <w:r>
        <w:rPr>
          <w:rFonts w:ascii="Inter" w:hAnsi="Inter"/>
          <w:b w:val="0"/>
          <w:sz w:val="22"/>
        </w:rPr>
        <w:t>Project Start: Immediate</w:t>
        <w:br/>
        <w:t xml:space="preserve">    Final Segments Delivery: Early August</w:t>
        <w:br/>
        <w:t xml:space="preserve">    </w:t>
        <w:br/>
        <w:t xml:space="preserve">    This accelerated timeline requires immediate vendor commitment and resource allocation to meet critical business deadlines.</w:t>
      </w:r>
    </w:p>
    <w:p>
      <w:pPr>
        <w:pStyle w:val="Heading1"/>
      </w:pPr>
      <w:r>
        <w:t>Deliverables</w:t>
      </w:r>
    </w:p>
    <w:p>
      <w:pPr>
        <w:pStyle w:val="ListBullet"/>
      </w:pPr>
      <w:r>
        <w:rPr>
          <w:rFonts w:ascii="Inter" w:hAnsi="Inter"/>
          <w:b w:val="0"/>
          <w:sz w:val="22"/>
        </w:rPr>
        <w:t>Kickoff meeting</w:t>
      </w:r>
    </w:p>
    <w:p>
      <w:pPr>
        <w:pStyle w:val="ListBullet"/>
      </w:pPr>
      <w:r>
        <w:rPr>
          <w:rFonts w:ascii="Inter" w:hAnsi="Inter"/>
          <w:b w:val="0"/>
          <w:sz w:val="22"/>
        </w:rPr>
        <w:t>Topline qualitative PPT report</w:t>
      </w:r>
    </w:p>
    <w:p>
      <w:pPr>
        <w:pStyle w:val="ListBullet"/>
      </w:pPr>
      <w:r>
        <w:rPr>
          <w:rFonts w:ascii="Inter" w:hAnsi="Inter"/>
          <w:b w:val="0"/>
          <w:sz w:val="22"/>
        </w:rPr>
        <w:t>Storyline presentation of quantitative segmentation with detailed appendix</w:t>
      </w:r>
    </w:p>
    <w:p>
      <w:pPr>
        <w:pStyle w:val="ListBullet"/>
      </w:pPr>
      <w:r>
        <w:t>Training deck with summary slide of each segment describing key characteristics, demographics, needs, and behavioral profiles</w:t>
      </w:r>
    </w:p>
    <w:p>
      <w:pPr>
        <w:pStyle w:val="ListBullet"/>
      </w:pPr>
      <w:r>
        <w:t>Participation in 3 alignment workshops (one per phase, teleconference available)</w:t>
      </w:r>
    </w:p>
    <w:p>
      <w:pPr>
        <w:pStyle w:val="ListBullet"/>
      </w:pPr>
      <w:r>
        <w:rPr>
          <w:rFonts w:ascii="Inter" w:hAnsi="Inter"/>
          <w:b w:val="0"/>
          <w:sz w:val="22"/>
        </w:rPr>
        <w:t>Typing tool to identify segments</w:t>
      </w:r>
    </w:p>
    <w:p>
      <w:pPr>
        <w:pStyle w:val="Heading1"/>
      </w:pPr>
      <w:r>
        <w:t>Budget &amp; Cost Requirements</w:t>
      </w:r>
    </w:p>
    <w:p>
      <w:r>
        <w:t>Pricing should be broken out by:</w:t>
        <w:br/>
        <w:t xml:space="preserve">    - Country-specific costs</w:t>
        <w:br/>
        <w:t xml:space="preserve">    - Phase-specific costs: Phase 1 = steps 1-2 (qualitative + alignment), Phase 2 = steps 3-4 (quant R1 + alignment), Phase 3 = steps 5-6 (quant R2 + alignment)</w:t>
        <w:br/>
        <w:t xml:space="preserve">    - All-inclusive pricing with no hidden fees</w:t>
        <w:br/>
        <w:br/>
        <w:t xml:space="preserve">    Payment Terms: NET 60 days</w:t>
        <w:br/>
        <w:t xml:space="preserve">    Currency: USD</w:t>
      </w:r>
    </w:p>
    <w:p>
      <w:pPr>
        <w:pStyle w:val="Heading1"/>
      </w:pPr>
      <w:r>
        <w:t>Evaluation Criteria</w:t>
      </w:r>
    </w:p>
    <w:p>
      <w:pPr>
        <w:pStyle w:val="ListBullet"/>
      </w:pPr>
      <w:r>
        <w:t>Assurance of Supply: Resources, capacity, delivery/lead-time, financial strength, corporate vision and philosophy, corporate culture, implementation.</w:t>
      </w:r>
    </w:p>
    <w:p>
      <w:pPr>
        <w:pStyle w:val="ListBullet"/>
      </w:pPr>
      <w:r>
        <w:t>Quality: Industry experience, performance, resources, qualification, supplier relationship and status, suppliers channel, technical solutions, quality assurance. Specific experience related to OTC eye drop market, consumer segmentation, and product concept testing.</w:t>
      </w:r>
    </w:p>
    <w:p>
      <w:pPr>
        <w:pStyle w:val="ListBullet"/>
      </w:pPr>
      <w:r>
        <w:t>Service: General service, customer service methodology, resources, account management, geographical presence.</w:t>
      </w:r>
    </w:p>
    <w:p>
      <w:pPr>
        <w:pStyle w:val="ListBullet"/>
      </w:pPr>
      <w:r>
        <w:t>Cost: Price competitiveness, billing schedule, payment terms (NET 60), demonstration of cost containment with other clients, rebate programs, willingness to offer value added and additional business insights services beyond core scope.</w:t>
      </w:r>
    </w:p>
    <w:p>
      <w:pPr>
        <w:pStyle w:val="ListBullet"/>
      </w:pPr>
      <w:r>
        <w:rPr>
          <w:rFonts w:ascii="Inter" w:hAnsi="Inter"/>
          <w:b w:val="0"/>
          <w:sz w:val="22"/>
        </w:rPr>
        <w:t>Innovation, Technology, Flexibility</w:t>
      </w:r>
    </w:p>
    <w:p>
      <w:pPr>
        <w:pStyle w:val="ListBullet"/>
      </w:pPr>
      <w:r>
        <w:t>Regulatory: All regulatory, industry, and privacy required laws are addressed.</w:t>
      </w:r>
    </w:p>
    <w:p>
      <w:pPr>
        <w:pStyle w:val="Heading1"/>
      </w:pPr>
      <w:r>
        <w:t>Communication Procedures</w:t>
      </w:r>
    </w:p>
    <w:p>
      <w:r>
        <w:t>Submittal Guidelines: Submit an e-mailed electronic copy of your proposal, and any supporting documentation to:</w:t>
        <w:br/>
        <w:t xml:space="preserve">    Susan Cassidy</w:t>
        <w:br/>
        <w:t xml:space="preserve">    Email: [CONTACT_EMAIL]</w:t>
        <w:br/>
        <w:br/>
        <w:t>Proposal should be concise and comprehensive. Evaluation is based on a thorough response.</w:t>
        <w:br/>
        <w:br/>
        <w:t>Questions must be submitted in writing by [DATE - 1 week before deadline].</w:t>
        <w:br/>
        <w:t>Responses will be compiled and shared with all bidders.</w:t>
      </w:r>
    </w:p>
    <w:p>
      <w:pPr>
        <w:pStyle w:val="Heading1"/>
      </w:pPr>
      <w:r>
        <w:t>Corporate Policies &amp; Compliance</w:t>
      </w:r>
    </w:p>
    <w:p>
      <w:r>
        <w:rPr>
          <w:rFonts w:ascii="Inter" w:hAnsi="Inter"/>
          <w:b w:val="0"/>
          <w:sz w:val="22"/>
        </w:rPr>
        <w:t>All vendors must comply with:</w:t>
        <w:br/>
        <w:t xml:space="preserve">    - Arden Laboratories corporate policies</w:t>
        <w:br/>
        <w:t xml:space="preserve">    - Industry regulatory requirements</w:t>
        <w:br/>
        <w:t xml:space="preserve">    - Data privacy and security standards</w:t>
        <w:br/>
        <w:t xml:space="preserve">    - International research standards and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