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20568A"/>
          <w:sz w:val="22"/>
        </w:rPr>
        <w:t>VERITY™</w:t>
      </w:r>
    </w:p>
    <w:p>
      <w:pPr>
        <w:pStyle w:val="Title"/>
      </w:pPr>
      <w:r>
        <w:t>VERITY SAMPLE™</w:t>
        <w:br/>
        <w:t>Production Product Schema (v0.2)</w:t>
      </w:r>
    </w:p>
    <w:p>
      <w:pPr>
        <w:pStyle w:val="Subtitle"/>
      </w:pPr>
      <w:r>
        <w:t>Production Product Schema</w:t>
        <w:br/>
        <w:t>Life Sciences Primary Market Research (PMR) Sampling, Feasibility, and Vendor Setup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v0.2</w:t>
            </w:r>
          </w:p>
        </w:tc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15 Mar 2026</w:t>
            </w:r>
          </w:p>
        </w:tc>
      </w:tr>
      <w:tr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Pravindra Awasthi</w:t>
            </w:r>
          </w:p>
        </w:tc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Business + Engineering</w:t>
            </w:r>
          </w:p>
        </w:tc>
      </w:tr>
      <w:tr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Operating model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Standalone + connected</w:t>
            </w:r>
          </w:p>
        </w:tc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Design stance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Evidence-linked, gated, deterministic</w:t>
            </w:r>
          </w:p>
        </w:tc>
      </w:tr>
      <w:tr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Module class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PMR operating module</w:t>
            </w:r>
          </w:p>
        </w:tc>
        <w:tc>
          <w:tcPr>
            <w:tcW w:type="dxa" w:w="158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AF7"/>
          </w:tcPr>
          <w:p>
            <w:r>
              <w:rPr>
                <w:b/>
                <w:sz w:val="18"/>
              </w:rPr>
              <w:t>Build status</w:t>
            </w:r>
          </w:p>
        </w:tc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Share-ready architecture draft</w:t>
            </w:r>
          </w:p>
        </w:tc>
      </w:tr>
    </w:tbl>
    <w:p/>
    <w:p>
      <w:pPr>
        <w:pStyle w:val="Heading2"/>
        <w:keepNext/>
        <w:keepLines/>
      </w:pPr>
      <w:r>
        <w:t>Executive intent</w:t>
      </w:r>
    </w:p>
    <w:p>
      <w:r>
        <w:t xml:space="preserve">This document defines the product contract for the module in a form that is suitable for business review and engineering design. </w:t>
      </w:r>
      <w:r>
        <w:rPr>
          <w:b w:val="0"/>
        </w:rPr>
        <w:t xml:space="preserve">The module is designed to operate in two modes: </w:t>
      </w:r>
      <w:r>
        <w:rPr>
          <w:b/>
        </w:rPr>
        <w:t>connected mode</w:t>
      </w:r>
      <w:r>
        <w:t xml:space="preserve">, where it consumes approved upstream packages and emits downstream events; and </w:t>
      </w:r>
      <w:r>
        <w:rPr>
          <w:b/>
        </w:rPr>
        <w:t>standalone mode</w:t>
      </w:r>
      <w:r>
        <w:t>, where the same minimum package can be created or uploaded inside the module when upstream modules are not used.</w:t>
      </w:r>
    </w:p>
    <w:p>
      <w:r>
        <w:br w:type="page"/>
      </w:r>
    </w:p>
    <w:p>
      <w:pPr>
        <w:pStyle w:val="Heading1"/>
        <w:keepNext/>
        <w:keepLines/>
      </w:pPr>
      <w:r>
        <w:t>Table of Contents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What it covers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1. Product overview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Purpose, operating model, outcomes, and users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2. Modules and boundaries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What the module does and what it does not do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3. Workflow state model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Deterministic states used by the orchestrator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4. Data model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Core production objects and the data used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5. Gates and evidence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Required decisions and pinned evidence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6. Integration points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Events for standalone and connected mode</w:t>
            </w:r>
          </w:p>
        </w:tc>
      </w:tr>
      <w:tr>
        <w:tc>
          <w:tcPr>
            <w:tcW w:type="dxa" w:w="30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7. Security, audit, and roadmap</w:t>
            </w:r>
          </w:p>
        </w:tc>
        <w:tc>
          <w:tcPr>
            <w:tcW w:type="dxa" w:w="70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Control posture, KPIs, and MVP scope</w:t>
            </w:r>
          </w:p>
        </w:tc>
      </w:tr>
    </w:tbl>
    <w:p/>
    <w:p>
      <w:pPr>
        <w:pStyle w:val="Heading1"/>
        <w:keepNext/>
        <w:keepLines/>
      </w:pPr>
      <w:r>
        <w:t>1. Product overview</w:t>
      </w:r>
    </w:p>
    <w:p>
      <w:r>
        <w:t>VERITY SAMPLE converts an approved study baseline and ready instrument into a fieldwork-ready sample plan. It standardizes quotas, feasibility capture, vendor allocation, sample order setup, and verification configuration with named approvals and evidence pinning.</w:t>
      </w:r>
    </w:p>
    <w:p>
      <w:r>
        <w:rPr>
          <w:b/>
        </w:rPr>
        <w:t xml:space="preserve">Primary users: </w:t>
      </w:r>
      <w:r>
        <w:t>Sampling Lead, Project Manager, Fieldwork Lead, Procurement/Ops reviewer</w:t>
      </w:r>
    </w:p>
    <w:p>
      <w:r>
        <w:rPr>
          <w:b/>
        </w:rPr>
        <w:t xml:space="preserve">Operating modes: </w:t>
      </w:r>
      <w:r>
        <w:t>Connected mode consumes BaselinePackage + CRAFT handoff. Standalone mode uses a SampleBaselinePackage created inside SAMPLE when upstream modules are not used.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 xml:space="preserve">Design principle: </w:t>
            </w:r>
            <w:r>
              <w:rPr>
                <w:sz w:val="18"/>
              </w:rPr>
              <w:t>study_id is the canonical identifier across all VERITY module events. Every gate pins versions, evidence, and upstream references so the module can run independently or as part of the end-to-end operating chain.</w:t>
            </w:r>
          </w:p>
        </w:tc>
      </w:tr>
    </w:tbl>
    <w:p/>
    <w:p>
      <w:pPr>
        <w:pStyle w:val="Heading2"/>
        <w:keepNext/>
        <w:keepLines/>
      </w:pPr>
      <w:r>
        <w:t>Primary outcomes</w:t>
      </w:r>
    </w:p>
    <w:p>
      <w:pPr>
        <w:pStyle w:val="ListBullet"/>
      </w:pPr>
      <w:r>
        <w:t>Fieldwork-ready quota and incidence plan</w:t>
      </w:r>
    </w:p>
    <w:p>
      <w:pPr>
        <w:pStyle w:val="ListBullet"/>
      </w:pPr>
      <w:r>
        <w:t>Evidence-backed feasibility pack by vendor</w:t>
      </w:r>
    </w:p>
    <w:p>
      <w:pPr>
        <w:pStyle w:val="ListBullet"/>
      </w:pPr>
      <w:r>
        <w:t>Approved vendor allocation and SLA plan</w:t>
      </w:r>
    </w:p>
    <w:p>
      <w:pPr>
        <w:pStyle w:val="ListBullet"/>
      </w:pPr>
      <w:r>
        <w:t>Sample order release package and verification configuration</w:t>
      </w:r>
    </w:p>
    <w:p>
      <w:pPr>
        <w:pStyle w:val="Heading1"/>
        <w:keepNext/>
        <w:keepLines/>
      </w:pPr>
      <w:r>
        <w:t>2. Modules and boundaries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Sub-module</w:t>
            </w:r>
          </w:p>
        </w:tc>
        <w:tc>
          <w:tcPr>
            <w:tcW w:type="dxa" w:w="4896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2448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Minimum output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Baseline Intake</w:t>
            </w:r>
          </w:p>
        </w:tc>
        <w:tc>
          <w:tcPr>
            <w:tcW w:type="dxa" w:w="48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Ingest approved study, audience, market, and instrument assumptions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Pinned SampleBaselinePackage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Quota Builder</w:t>
            </w:r>
          </w:p>
        </w:tc>
        <w:tc>
          <w:tcPr>
            <w:tcW w:type="dxa" w:w="48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Draft quotas, incidence assumptions, audience splits, and release logic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QuotaDefinition set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Feasibility Capture</w:t>
            </w:r>
          </w:p>
        </w:tc>
        <w:tc>
          <w:tcPr>
            <w:tcW w:type="dxa" w:w="48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Create vendor query pack, collect responses, and normalize assumptions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FeasibilityPack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Vendor Allocation</w:t>
            </w:r>
          </w:p>
        </w:tc>
        <w:tc>
          <w:tcPr>
            <w:tcW w:type="dxa" w:w="48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Recommend and approve vendor split, SLAs, and commercial guardrails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VendorAllocationPlan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Sample Order Management</w:t>
            </w:r>
          </w:p>
        </w:tc>
        <w:tc>
          <w:tcPr>
            <w:tcW w:type="dxa" w:w="48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Create and revise sample order releases with audit trail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SampleOrderPack</w:t>
            </w:r>
          </w:p>
        </w:tc>
      </w:tr>
      <w:tr>
        <w:tc>
          <w:tcPr>
            <w:tcW w:type="dxa" w:w="259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Verification Setup</w:t>
            </w:r>
          </w:p>
        </w:tc>
        <w:tc>
          <w:tcPr>
            <w:tcW w:type="dxa" w:w="48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Configure source-level verification and quality thresholds for downstream controls</w:t>
            </w:r>
          </w:p>
        </w:tc>
        <w:tc>
          <w:tcPr>
            <w:tcW w:type="dxa" w:w="24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VerificationConfig</w:t>
            </w:r>
          </w:p>
        </w:tc>
      </w:tr>
    </w:tbl>
    <w:p/>
    <w:p>
      <w:pPr>
        <w:pStyle w:val="Heading2"/>
        <w:keepNext/>
        <w:keepLines/>
      </w:pPr>
      <w:r>
        <w:t>Boundaries</w:t>
      </w:r>
    </w:p>
    <w:p>
      <w:pPr>
        <w:pStyle w:val="ListBullet"/>
      </w:pPr>
      <w:r>
        <w:t>Does not own panels or recruit respondents directly; it orchestrates planning, feasibility, and order setup.</w:t>
      </w:r>
    </w:p>
    <w:p>
      <w:pPr>
        <w:pStyle w:val="ListBullet"/>
      </w:pPr>
      <w:r>
        <w:t>Does not run live fieldwork; that is FIELD.</w:t>
      </w:r>
    </w:p>
    <w:p>
      <w:pPr>
        <w:pStyle w:val="ListBullet"/>
      </w:pPr>
      <w:r>
        <w:t>Does not change commercial scope directly; upstream scope changes route back through SCOPE.</w:t>
      </w:r>
    </w:p>
    <w:p>
      <w:pPr>
        <w:pStyle w:val="Heading1"/>
        <w:keepNext/>
        <w:keepLines/>
      </w:pPr>
      <w:r>
        <w:t>3. Workflow state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736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7200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INIT</w:t>
            </w:r>
          </w:p>
        </w:tc>
        <w:tc>
          <w:tcPr>
            <w:tcW w:type="dxa" w:w="72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Module instance created; baseline not yet pinned</w:t>
            </w:r>
          </w:p>
        </w:tc>
      </w:tr>
      <w:tr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BASELINE_PINNED</w:t>
            </w:r>
          </w:p>
        </w:tc>
        <w:tc>
          <w:tcPr>
            <w:tcW w:type="dxa" w:w="72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Minimum sample baseline approved and frozen</w:t>
            </w:r>
          </w:p>
        </w:tc>
      </w:tr>
      <w:tr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PLAN_DRAFTING</w:t>
            </w:r>
          </w:p>
        </w:tc>
        <w:tc>
          <w:tcPr>
            <w:tcW w:type="dxa" w:w="72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Quota, incidence, and feasibility assumptions are being prepared</w:t>
            </w:r>
          </w:p>
        </w:tc>
      </w:tr>
      <w:tr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FEASIBILITY_OPEN</w:t>
            </w:r>
          </w:p>
        </w:tc>
        <w:tc>
          <w:tcPr>
            <w:tcW w:type="dxa" w:w="72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Vendor outreach and response normalization are in progress</w:t>
            </w:r>
          </w:p>
        </w:tc>
      </w:tr>
      <w:tr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ALLOCATION_REVIEW</w:t>
            </w:r>
          </w:p>
        </w:tc>
        <w:tc>
          <w:tcPr>
            <w:tcW w:type="dxa" w:w="72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Allocation recommendations and sample release plan under review</w:t>
            </w:r>
          </w:p>
        </w:tc>
      </w:tr>
      <w:tr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READY_FOR_SAMPLING_GATE</w:t>
            </w:r>
          </w:p>
        </w:tc>
        <w:tc>
          <w:tcPr>
            <w:tcW w:type="dxa" w:w="72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Evidence complete; package ready for gate</w:t>
            </w:r>
          </w:p>
        </w:tc>
      </w:tr>
      <w:tr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SAMPLING_GATE_OPEN</w:t>
            </w:r>
          </w:p>
        </w:tc>
        <w:tc>
          <w:tcPr>
            <w:tcW w:type="dxa" w:w="72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Named approver decision pending</w:t>
            </w:r>
          </w:p>
        </w:tc>
      </w:tr>
      <w:tr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72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Sampling plan pinned for downstream execution</w:t>
            </w:r>
          </w:p>
        </w:tc>
      </w:tr>
      <w:tr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OUT_OF_DATE_HOLD</w:t>
            </w:r>
          </w:p>
        </w:tc>
        <w:tc>
          <w:tcPr>
            <w:tcW w:type="dxa" w:w="72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Upstream change invalidated the pinned package</w:t>
            </w:r>
          </w:p>
        </w:tc>
      </w:tr>
      <w:tr>
        <w:tc>
          <w:tcPr>
            <w:tcW w:type="dxa" w:w="27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72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Downstream handoff complete</w:t>
            </w:r>
          </w:p>
        </w:tc>
      </w:tr>
    </w:tbl>
    <w:p/>
    <w:p>
      <w:pPr>
        <w:pStyle w:val="Heading1"/>
        <w:keepNext/>
        <w:keepLines/>
      </w:pPr>
      <w:r>
        <w:t>4. Data model (production schema)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Object</w:t>
            </w:r>
          </w:p>
        </w:tc>
        <w:tc>
          <w:tcPr>
            <w:tcW w:type="dxa" w:w="3600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960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Key fields (minimum)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SampleBaselinePackage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Minimum versioned input set used by SAMPLE in connected or standalone mode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study_id; countries; audiences; quota drivers; LOI; method; timing constraints; upstream refs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QuotaDefinition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One row or rule in the approved quota plan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target segment; incidence assumption; cap; release order; notes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FeasibilityRequest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Structured request sent to one vendor or panel partner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vendor_id; target audience; markets; incidence assumptions; due date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FeasibilityResponse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Normalized vendor response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feasible_n; CPI; timing; caveats; response confidence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VendorAllocationPlan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Approved split of work across vendors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vendor shares; SLA terms; backup vendor; rationale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SampleOrderPack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Versioned release package used to place sample orders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order lines; release wave; budgets; references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VerificationConfig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Source and fraud controls configured before field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source checks; thresholds; exception rules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SamplingEvidenceBundle</w:t>
            </w:r>
          </w:p>
        </w:tc>
        <w:tc>
          <w:tcPr>
            <w:tcW w:type="dxa" w:w="36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Pinned evidence at approval</w:t>
            </w:r>
          </w:p>
        </w:tc>
        <w:tc>
          <w:tcPr>
            <w:tcW w:type="dxa" w:w="396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baseline refs; feasibility refs; vendor plan refs; approval refs</w:t>
            </w:r>
          </w:p>
        </w:tc>
      </w:tr>
    </w:tbl>
    <w:p/>
    <w:p>
      <w:pPr>
        <w:pStyle w:val="Heading2"/>
        <w:keepNext/>
        <w:keepLines/>
      </w:pPr>
      <w:r>
        <w:t>Data used by the module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Data block</w:t>
            </w:r>
          </w:p>
        </w:tc>
        <w:tc>
          <w:tcPr>
            <w:tcW w:type="dxa" w:w="3096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Primary source</w:t>
            </w:r>
          </w:p>
        </w:tc>
        <w:tc>
          <w:tcPr>
            <w:tcW w:type="dxa" w:w="4536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Approved study baseline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SCOPE BaselinePackage or standalone sample baseline</w:t>
            </w:r>
          </w:p>
        </w:tc>
        <w:tc>
          <w:tcPr>
            <w:tcW w:type="dxa" w:w="45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Defines countries, audiences, sample approach, timing, and constraints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Instrument assumptions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CRAFT handoff pack or manual instrument summary</w:t>
            </w:r>
          </w:p>
        </w:tc>
        <w:tc>
          <w:tcPr>
            <w:tcW w:type="dxa" w:w="45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LOI, routing implications, stimulus constraints, and screening burden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Historical fill performance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Vendor scorecards / ledger snapshots</w:t>
            </w:r>
          </w:p>
        </w:tc>
        <w:tc>
          <w:tcPr>
            <w:tcW w:type="dxa" w:w="45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Improves incidence, timeline, and over-allocation assumptions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Commercial controls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Tenant CPI policies, incentive bands, vendor preference rules</w:t>
            </w:r>
          </w:p>
        </w:tc>
        <w:tc>
          <w:tcPr>
            <w:tcW w:type="dxa" w:w="45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Keeps sample plan commercially viable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Client / market constraints</w:t>
            </w:r>
          </w:p>
        </w:tc>
        <w:tc>
          <w:tcPr>
            <w:tcW w:type="dxa" w:w="309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Brief, SoW, annexures, direct user edits</w:t>
            </w:r>
          </w:p>
        </w:tc>
        <w:tc>
          <w:tcPr>
            <w:tcW w:type="dxa" w:w="453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Captures must-have quotas, exclusions, and geography restrictions</w:t>
            </w:r>
          </w:p>
        </w:tc>
      </w:tr>
    </w:tbl>
    <w:p/>
    <w:p>
      <w:pPr>
        <w:pStyle w:val="Heading1"/>
        <w:keepNext/>
        <w:keepLines/>
      </w:pPr>
      <w:r>
        <w:t>5. Gates, evidence, and versioning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88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Gate</w:t>
            </w:r>
          </w:p>
        </w:tc>
        <w:tc>
          <w:tcPr>
            <w:tcW w:type="dxa" w:w="1800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1944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Named owner</w:t>
            </w:r>
          </w:p>
        </w:tc>
        <w:tc>
          <w:tcPr>
            <w:tcW w:type="dxa" w:w="4248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8"/>
              </w:rPr>
              <w:t>Required evidence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Sampling Sign-off</w:t>
            </w:r>
          </w:p>
        </w:tc>
        <w:tc>
          <w:tcPr>
            <w:tcW w:type="dxa" w:w="1800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Approve / Hold / Revise</w:t>
            </w:r>
          </w:p>
        </w:tc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Sampling Lead or PM</w:t>
            </w:r>
          </w:p>
        </w:tc>
        <w:tc>
          <w:tcPr>
            <w:tcW w:type="dxa" w:w="424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8"/>
              </w:rPr>
              <w:t>Quota plan, feasibility pack, allocation plan, release assumptions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 xml:space="preserve">Versioning rule: </w:t>
            </w:r>
            <w:r>
              <w:rPr>
                <w:sz w:val="18"/>
              </w:rPr>
              <w:t>Every gate must pin the exact upstream package version, working package version, evidence bundle, and approval record. If an upstream approved baseline changes, the module moves to OUT_OF_DATE_HOLD until a new baseline is pinned.</w:t>
            </w:r>
          </w:p>
        </w:tc>
      </w:tr>
    </w:tbl>
    <w:p/>
    <w:p>
      <w:pPr>
        <w:pStyle w:val="Heading1"/>
        <w:keepNext/>
        <w:keepLines/>
      </w:pPr>
      <w:r>
        <w:t>6. Integration points (standalone + connected)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944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7"/>
              </w:rPr>
              <w:t>Event</w:t>
            </w:r>
          </w:p>
        </w:tc>
        <w:tc>
          <w:tcPr>
            <w:tcW w:type="dxa" w:w="1584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1728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7"/>
              </w:rPr>
              <w:t>Consumer</w:t>
            </w:r>
          </w:p>
        </w:tc>
        <w:tc>
          <w:tcPr>
            <w:tcW w:type="dxa" w:w="2952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7"/>
              </w:rPr>
              <w:t>Payload (minimum)</w:t>
            </w:r>
          </w:p>
        </w:tc>
        <w:tc>
          <w:tcPr>
            <w:tcW w:type="dxa" w:w="2232"/>
            <w:shd w:fill="D9EAF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rPr>
                <w:b/>
                <w:sz w:val="17"/>
              </w:rPr>
              <w:t>Outcome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craft.instrument_ready_approved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CRAFT</w:t>
            </w:r>
          </w:p>
        </w:tc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SAMPLE</w:t>
            </w:r>
          </w:p>
        </w:tc>
        <w:tc>
          <w:tcPr>
            <w:tcW w:type="dxa" w:w="29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study_id, handoff_pack_ref, baseline_package_ref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Creates SAMPLE workstream in connected mode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sample.plan_pinned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SAMPLE</w:t>
            </w:r>
          </w:p>
        </w:tc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Orchestrator / FIELD / INTELLIGENCE</w:t>
            </w:r>
          </w:p>
        </w:tc>
        <w:tc>
          <w:tcPr>
            <w:tcW w:type="dxa" w:w="29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study_id, sample_plan_package_ref, artifact_refs[]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Starts downstream field setup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sample.change_request_created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SAMPLE</w:t>
            </w:r>
          </w:p>
        </w:tc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SCOPE / CRAFT</w:t>
            </w:r>
          </w:p>
        </w:tc>
        <w:tc>
          <w:tcPr>
            <w:tcW w:type="dxa" w:w="29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study_id, delta_summary, impacted_fields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Requests upstream clarification or change control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scope.change_order_approved</w:t>
            </w:r>
          </w:p>
        </w:tc>
        <w:tc>
          <w:tcPr>
            <w:tcW w:type="dxa" w:w="1584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SCOPE</w:t>
            </w:r>
          </w:p>
        </w:tc>
        <w:tc>
          <w:tcPr>
            <w:tcW w:type="dxa" w:w="1728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SAMPLE</w:t>
            </w:r>
          </w:p>
        </w:tc>
        <w:tc>
          <w:tcPr>
            <w:tcW w:type="dxa" w:w="295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study_id, new_baseline_package_ref</w:t>
            </w:r>
          </w:p>
        </w:tc>
        <w:tc>
          <w:tcPr>
            <w:tcW w:type="dxa" w:w="223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sz w:val="17"/>
              </w:rPr>
              <w:t>Re-pins baseline and returns SAMPLE to drafting</w:t>
            </w:r>
          </w:p>
        </w:tc>
      </w:tr>
    </w:tbl>
    <w:p/>
    <w:p>
      <w:pPr>
        <w:pStyle w:val="Heading1"/>
        <w:keepNext/>
        <w:keepLines/>
      </w:pPr>
      <w:r>
        <w:t>7. Security, compliance, and audit</w:t>
      </w:r>
    </w:p>
    <w:p>
      <w:r>
        <w:t>No respondent-level personal data is required in SAMPLE. Commercial vendor responses, rate assumptions, and allocation logic are tenant-confidential and must be versioned and access-controlled.</w:t>
      </w:r>
    </w:p>
    <w:p>
      <w:pPr>
        <w:pStyle w:val="Heading2"/>
        <w:keepNext/>
        <w:keepLines/>
      </w:pPr>
      <w:r>
        <w:t>Primary KPI contribution</w:t>
      </w:r>
    </w:p>
    <w:p>
      <w:pPr>
        <w:pStyle w:val="ListBullet"/>
      </w:pPr>
      <w:r>
        <w:t>Moves: Fieldwork completion speed</w:t>
      </w:r>
    </w:p>
    <w:p>
      <w:pPr>
        <w:pStyle w:val="ListBullet"/>
      </w:pPr>
      <w:r>
        <w:t>Moves: Feasibility cycle time</w:t>
      </w:r>
    </w:p>
    <w:p>
      <w:pPr>
        <w:pStyle w:val="ListBullet"/>
      </w:pPr>
      <w:r>
        <w:t>Moves: Vendor response coverage</w:t>
      </w:r>
    </w:p>
    <w:p>
      <w:pPr>
        <w:pStyle w:val="ListBullet"/>
      </w:pPr>
      <w:r>
        <w:t>Moves: Quota plan rework rate</w:t>
      </w:r>
    </w:p>
    <w:p>
      <w:pPr>
        <w:pStyle w:val="Heading2"/>
        <w:keepNext/>
        <w:keepLines/>
      </w:pPr>
      <w:r>
        <w:t>MVP scope and roadmap</w:t>
      </w:r>
    </w:p>
    <w:p>
      <w:pPr>
        <w:pStyle w:val="ListBullet"/>
      </w:pPr>
      <w:r>
        <w:t>MVP: baseline intake, quota drafting, manual feasibility capture, vendor allocation review, sample plan gate.</w:t>
      </w:r>
    </w:p>
    <w:p>
      <w:pPr>
        <w:pStyle w:val="ListBullet"/>
      </w:pPr>
      <w:r>
        <w:t>Roadmap: connector-based vendor response ingestion, predictive fill scoring, automated release waves.</w:t>
      </w:r>
    </w:p>
    <w:p>
      <w:r>
        <w:br w:type="page"/>
      </w:r>
    </w:p>
    <w:p>
      <w:pPr>
        <w:pStyle w:val="Heading1"/>
      </w:pPr>
      <w:r>
        <w:t>8. Final hardening update in v0.2</w:t>
      </w:r>
    </w:p>
    <w:p>
      <w:r>
        <w:rPr>
          <w:b/>
        </w:rPr>
        <w:t>Normative update: this section is part of the build contract and supersedes any earlier local wording in this document where a conflict exists.</w:t>
      </w:r>
    </w:p>
    <w:p>
      <w:pPr>
        <w:pStyle w:val="Heading2"/>
      </w:pPr>
      <w:r>
        <w:t>8.1 Additional production objects now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Object</w:t>
            </w:r>
          </w:p>
        </w:tc>
        <w:tc>
          <w:tcPr>
            <w:tcW w:type="dxa" w:w="3312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Definition</w:t>
            </w:r>
          </w:p>
        </w:tc>
        <w:tc>
          <w:tcPr>
            <w:tcW w:type="dxa" w:w="3744"/>
            <w:shd w:fill="D9E2F3"/>
          </w:tcPr>
          <w:p>
            <w:pPr>
              <w:spacing w:after="0" w:before="0"/>
            </w:pPr>
            <w:r/>
            <w:r>
              <w:rPr>
                <w:b/>
              </w:rPr>
              <w:t>Minimum fields</w:t>
            </w:r>
          </w:p>
        </w:tc>
      </w:tr>
      <w:t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</w:rPr>
              <w:t>RecruitSourcePlan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</w:rPr>
              <w:t>Locks how each audience and market will be sourced.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</w:rPr>
              <w:t>source_type; source_name; country_eligibility; audience; sensitivity_flag; panel_vs_recruiter; replacement_rule</w:t>
            </w:r>
          </w:p>
        </w:tc>
      </w:tr>
      <w:t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</w:rPr>
              <w:t>SessionScheduleShell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</w:rPr>
              <w:t>Scheduling placeholder required for qual/hybrid work before live launch.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</w:rPr>
              <w:t>session_type; target audience; market; planned dates; moderator/interviewer role; schedule assumptions</w:t>
            </w:r>
          </w:p>
        </w:tc>
      </w:tr>
      <w:t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</w:rPr>
              <w:t>IncentiveControlLine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</w:rPr>
              <w:t>Versioned incentive and FMV/honoraria rule.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</w:rPr>
              <w:t>audience; market; amount_band; FMV_basis; tax_treatment; no_show_rule; payment_trigger; hold_conditions</w:t>
            </w:r>
          </w:p>
        </w:tc>
      </w:tr>
      <w:t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</w:rPr>
              <w:t>SensitivePopulationControl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b w:val="0"/>
              </w:rPr>
              <w:t>Special restrictions for patient/caregiver or other sensitive groups.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b w:val="0"/>
              </w:rPr>
              <w:t>population_type; allowed_source; consent_basis; recording_rule; follow_up_restriction</w:t>
            </w:r>
          </w:p>
        </w:tc>
      </w:tr>
    </w:tbl>
    <w:p/>
    <w:p>
      <w:pPr>
        <w:pStyle w:val="Heading2"/>
      </w:pPr>
      <w:r>
        <w:t>8.2 Additional gate evidence now required at Sampling Sign-off</w:t>
      </w:r>
    </w:p>
    <w:p>
      <w:pPr>
        <w:pStyle w:val="ListBullet"/>
        <w:spacing w:after="60"/>
      </w:pPr>
      <w:r>
        <w:t>Recruit source decision with panel versus recruiter rationale where it matters for audience quality or sensitivity.</w:t>
      </w:r>
    </w:p>
    <w:p>
      <w:pPr>
        <w:pStyle w:val="ListBullet"/>
        <w:spacing w:after="60"/>
      </w:pPr>
      <w:r>
        <w:t>Qual scheduling assumptions for IDIs, FGDs, or hybrid sessions where downstream field logistics depend on them.</w:t>
      </w:r>
    </w:p>
    <w:p>
      <w:pPr>
        <w:pStyle w:val="ListBullet"/>
        <w:spacing w:after="60"/>
      </w:pPr>
      <w:r>
        <w:t>Market-specific incentive, FMV/honoraria, tax, and no-show rules.</w:t>
      </w:r>
    </w:p>
    <w:p>
      <w:pPr>
        <w:pStyle w:val="ListBullet"/>
        <w:spacing w:after="60"/>
      </w:pPr>
      <w:r>
        <w:t>Country-specific consent, recording, and sample-source restrictions for sensitive populations.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060"/>
        <w:sz w:val="16"/>
      </w:rPr>
      <w:t xml:space="preserve">VERITY confidential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06060"/>
        <w:sz w:val="16"/>
      </w:rPr>
      <w:t>VERITY SAMPLE | Product Schema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2056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828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20568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0606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