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96"/>
          <w:szCs w:val="96"/>
        </w:rPr>
        <w:t xml:space="preserve">MyPA</w:t>
      </w:r>
    </w:p>
    <w:p>
      <w:pPr>
        <w:spacing w:before="200"/>
        <w:jc w:val="center"/>
      </w:pPr>
      <w:r>
        <w:rPr>
          <w:i/>
          <w:iCs/>
          <w:color w:val="2E74B5"/>
          <w:sz w:val="32"/>
          <w:szCs w:val="32"/>
        </w:rPr>
        <w:t xml:space="preserve">Your Personal &amp; Business AI Assistant</w:t>
      </w:r>
    </w:p>
    <w:p>
      <w:pPr>
        <w:spacing w:before="800"/>
        <w:jc w:val="center"/>
      </w:pPr>
      <w:r>
        <w:rPr>
          <w:b/>
          <w:bCs/>
          <w:sz w:val="40"/>
          <w:szCs w:val="40"/>
        </w:rPr>
        <w:t xml:space="preserve">Data Flow Diagrams (DFD)</w:t>
      </w:r>
    </w:p>
    <w:p>
      <w:pPr>
        <w:spacing w:before="1200"/>
        <w:jc w:val="center"/>
      </w:pPr>
      <w:r>
        <w:rPr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sz w:val="24"/>
          <w:szCs w:val="24"/>
        </w:rPr>
        <w:t xml:space="preserve">20 July 2026</w:t>
      </w:r>
    </w:p>
    <w:p>
      <w:pPr>
        <w:spacing w:before="100"/>
        <w:jc w:val="center"/>
      </w:pPr>
      <w:r>
        <w:rPr>
          <w:color w:val="C00000"/>
          <w:sz w:val="24"/>
          <w:szCs w:val="24"/>
        </w:rPr>
        <w:t xml:space="preserve">Status: Draft for Review</w:t>
      </w:r>
    </w:p>
    <w:p>
      <w:r>
        <w:br w:type="page"/>
      </w:r>
    </w:p>
    <w:p>
      <w:pPr>
        <w:pStyle w:val="Heading1"/>
        <w:spacing w:after="200" w:before="400"/>
      </w:pPr>
      <w:r>
        <w:t xml:space="preserve">Purpose</w:t>
      </w:r>
    </w:p>
    <w:p>
      <w:pPr>
        <w:spacing w:after="160"/>
      </w:pPr>
      <w:r>
        <w:t xml:space="preserve">This document shows how data moves through MyPA using standard Data Flow Diagram (DFD) notation: external entities (squares), processes (ellipses), and data stores (open rectangles). Level 0 shows MyPA as a single process against its external entities; Level 1 decomposes it into its five major processes and the Postgres tables (data stores) each one reads or writes, per the Technical Design Document's schema.</w:t>
      </w:r>
    </w:p>
    <w:p>
      <w:pPr>
        <w:pStyle w:val="Heading2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Technical Design Document v1.0 (data store = table definitions)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MyPA — Technical Flow Diagrams (call-sequence view of the same processes)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Level 0 — Context Diagram</w:t>
      </w:r>
    </w:p>
    <w:p>
      <w:pPr>
        <w:spacing w:after="160"/>
      </w:pPr>
      <w:r>
        <w:t xml:space="preserve">MyPA as a single process, showing all data crossing its system boundary.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1 — DFD Level 0: System Context</w:t>
      </w:r>
    </w:p>
    <w:p>
      <w:pPr>
        <w:pStyle w:val="Heading1"/>
        <w:spacing w:after="200" w:before="400"/>
      </w:pPr>
      <w:r>
        <w:t xml:space="preserve">2. Level 1 — Process Decomposition</w:t>
      </w:r>
    </w:p>
    <w:p>
      <w:pPr>
        <w:spacing w:after="160"/>
      </w:pPr>
      <w:r>
        <w:t xml:space="preserve">MyPA decomposed into five processes, each reading/writing specific Postgres data stores (labeled D1-D6, matching TDD Section 3 tables).</w:t>
      </w:r>
    </w:p>
    <w:p>
      <w:pPr>
        <w:spacing w:after="80" w:before="100"/>
        <w:jc w:val="center"/>
      </w:pPr>
      <w:r>
        <w:drawing>
          <wp:inline distT="0" distB="0" distL="0" distR="0">
            <wp:extent cx="5905500" cy="428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66666"/>
          <w:sz w:val="18"/>
          <w:szCs w:val="18"/>
        </w:rPr>
        <w:t xml:space="preserve">Figure 2 — DFD Level 1: Process &amp; Data Store Detail</w:t>
      </w:r>
    </w:p>
    <w:p>
      <w:pPr>
        <w:pStyle w:val="Heading1"/>
        <w:spacing w:after="200" w:before="400"/>
      </w:pPr>
      <w:r>
        <w:t xml:space="preserve">3. Data Store Reference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9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9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Corresponding TDD Tables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&amp; Subscriptions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accounts, subscriptions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Workspaces &amp; Membership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client_workspaces, client_workspace_collaborators, team_workspaces, team_members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content_items, content_platform_versions, approval_requests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 Connections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social_connections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Logs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ai_generation_logs, publish_logs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Prompts &amp; Brand Assets</w:t>
            </w:r>
          </w:p>
        </w:tc>
        <w:tc>
          <w:tcPr>
            <w:tcW w:type="dxa" w:w="59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prompt_library, brand_assets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4. Process Reference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740"/>
      </w:tblGrid>
      <w:tr>
        <w:tc>
          <w:tcPr>
            <w:tcW w:type="dxa" w:w="1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8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Creation &amp; AI Generation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Validates tier eligibility, calls OpenAI, persists AI drafts, logs usage — implements TDD Section 5 &amp; 6.1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Repurposing &amp; Scheduling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per-platform content versions and schedule entries — TDD Section 6.2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Publishing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due/requested posts, calls the relevant platform adapter, records results — TDD Section 6.3, 7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Team, Quota &amp; Approval Management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role/quota configuration and the approval decision path — TDD Section 4.2, 6.5, 6.6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</w:t>
            </w:r>
          </w:p>
        </w:tc>
        <w:tc>
          <w:tcPr>
            <w:tcW w:type="dxa" w:w="574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Aggregates content and log data into user-facing performance metrics — supports BR-SM-08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Data Lifecycle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Creation: content and log rows are created only via Edge Functions (P1-P4), never written directly by the client, so every write passes through tier/role/approval checks.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Storage: all data stores are Postgres tables under Supabase, with Row Level Security scoping every read/write to the requesting user's workspace(s) (TDD Section 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Transmission: data leaving the system boundary (to OpenAI or a social platform) contains only what that call requires — OpenAI receives prompt text, not account/billing data; social platforms receive only the specific post content being published.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Retention: publish_logs and ai_generation_logs are retained for audit and analytics per the BRD's Auditability NFR; a retention/archival policy is a commercial/compliance decision to be set before launch, not fixed by this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MyPA — Data Flow Diagrams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4bb53ab80b36ed3820d7d7350ebfe507bd556ed.png"/><Relationship Id="rId10" Type="http://schemas.openxmlformats.org/officeDocument/2006/relationships/image" Target="media/c566964dc18ecf651d41fccd77b22e17a357895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2026-07-20T16:43:51.643Z</dcterms:created>
  <dcterms:modified xsi:type="dcterms:W3CDTF">2026-07-20T16:43:51.643Z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