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Functional Flow Diagrams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Purpose</w:t>
      </w:r>
    </w:p>
    <w:p>
      <w:pPr>
        <w:spacing w:after="160"/>
      </w:pPr>
      <w:r>
        <w:t xml:space="preserve">This document shows MyPA's core user journeys as functional (user-facing) flowcharts — the decisions and steps a person experiences, independent of system internals. Corresponding system-level call sequences are in the Technical Flow Diagrams document; corresponding data movement is in the Data Flow Diagrams document.</w:t>
      </w:r>
    </w:p>
    <w:p>
      <w:pPr>
        <w:pStyle w:val="Heading2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BRD v1.1, Functional Design Document v1.0 (screen-level detail)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Technical Flow Diagrams (system sequence view of these same journeys)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Data Flow Diagrams (data movement view)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Individual/Consultant: Create &amp; Publish a Post</w:t>
      </w:r>
    </w:p>
    <w:p>
      <w:pPr>
        <w:spacing w:after="160"/>
      </w:pPr>
      <w:r>
        <w:t xml:space="preserve">Covers BR-SM-01, BR-SM-07 (guided creation), the Free-tier AI paywall decision (BRD v1.1), BR-SM-03 (repurposing), BR-SM-05 (scheduling), and BR-AD-03 (approval gate).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Create &amp; Publish Post: Functional Flow</w:t>
      </w:r>
    </w:p>
    <w:p>
      <w:pPr>
        <w:pStyle w:val="Heading1"/>
        <w:spacing w:after="200" w:before="400"/>
      </w:pPr>
      <w:r>
        <w:t xml:space="preserve">2. Consultant: Multi-Client Repurposing Session</w:t>
      </w:r>
    </w:p>
    <w:p>
      <w:pPr>
        <w:spacing w:after="160"/>
      </w:pPr>
      <w:r>
        <w:t xml:space="preserve">Covers BR-SM-04 (workspace isolation per client) combined with BR-SM-03 (one-click repurposing across all 5 launch platforms), reflecting how a consultant works through several clients in one sitting.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Consultant Multi-Client Session: Functional Flow</w:t>
      </w:r>
    </w:p>
    <w:p>
      <w:pPr>
        <w:pStyle w:val="Heading1"/>
        <w:spacing w:after="200" w:before="400"/>
      </w:pPr>
      <w:r>
        <w:t xml:space="preserve">3. Business: Content Approval Workflow</w:t>
      </w:r>
    </w:p>
    <w:p>
      <w:pPr>
        <w:spacing w:after="160"/>
      </w:pPr>
      <w:r>
        <w:t xml:space="preserve">Covers BR-AD-03 (approval workflow) as experienced by a Contributor and an Admin/Manager approver within a Team Workspace.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 — Content Approval Workflow: Functional Flow</w:t>
      </w:r>
    </w:p>
    <w:p>
      <w:pPr>
        <w:pStyle w:val="Heading1"/>
        <w:spacing w:after="200" w:before="400"/>
      </w:pPr>
      <w:r>
        <w:t xml:space="preserve">4. Journey-to-Requirement Traceability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4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5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BRD Requirements Covered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&amp; Publish a Post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BR-SM-01, BR-SM-03, BR-SM-05, BR-SM-07, BR-AD-03, Free-tier gating (BRD v1.1)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Consultant Multi-Client Session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BR-SM-03, BR-SM-04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Approval Workflow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BR-AD-03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Functional 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53288c002e187463746064848ce11efdb1ebca.png"/><Relationship Id="rId10" Type="http://schemas.openxmlformats.org/officeDocument/2006/relationships/image" Target="media/b1b1e9304097f2defc819cbf762e6683e76bac27.png"/><Relationship Id="rId11" Type="http://schemas.openxmlformats.org/officeDocument/2006/relationships/image" Target="media/2991d914c520dc336666e930079bde71e64d63e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2026-07-20T16:41:09.333Z</dcterms:created>
  <dcterms:modified xsi:type="dcterms:W3CDTF">2026-07-20T16:41:09.336Z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