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Technical Flow Diagrams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pPr>
        <w:spacing w:before="100"/>
        <w:jc w:val="center"/>
      </w:pPr>
      <w:r>
        <w:rPr>
          <w:color w:val="C00000"/>
          <w:sz w:val="24"/>
          <w:szCs w:val="24"/>
        </w:rPr>
        <w:t xml:space="preserve">Status: Draft for Review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Purpose</w:t>
      </w:r>
    </w:p>
    <w:p>
      <w:pPr>
        <w:spacing w:after="160"/>
      </w:pPr>
      <w:r>
        <w:t xml:space="preserve">This document shows the system-level (component-to-component) call sequences underlying MyPA's core operations, complementing the user-facing journeys in the Functional Flow Diagrams document and the Edge Function contracts specified in the Technical Design Document. Each diagram reads left-to-right in call order; numbered labels indicate sequence.</w:t>
      </w:r>
    </w:p>
    <w:p>
      <w:pPr>
        <w:pStyle w:val="Heading2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MyPA — Technical Design Document v1.0 (schema and Edge Function contracts referenced here)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MyPA — Architecture Document v1.1 (component roles)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MyPA — Functional Flow Diagrams (user-facing view of these same operations)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AI Content Generation Call Sequence</w:t>
      </w:r>
    </w:p>
    <w:p>
      <w:pPr>
        <w:spacing w:after="160"/>
      </w:pPr>
      <w:r>
        <w:t xml:space="preserve">Underpins the Create step in the Functional Flow's 'Create &amp; Publish a Post' journey. Implements the entitlement check from TDD Section 5 — Free-tier callers are rejected before any OpenAI call is made, so they incur zero cost.</w:t>
      </w:r>
    </w:p>
    <w:p>
      <w:pPr>
        <w:spacing w:after="80" w:before="100"/>
        <w:jc w:val="center"/>
      </w:pPr>
      <w:r>
        <w:drawing>
          <wp:inline distT="0" distB="0" distL="0" distR="0">
            <wp:extent cx="59055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ai-generate Edge Function Call Sequence</w:t>
      </w:r>
    </w:p>
    <w:p>
      <w:pPr>
        <w:pStyle w:val="Heading1"/>
        <w:spacing w:after="200" w:before="400"/>
      </w:pPr>
      <w:r>
        <w:t xml:space="preserve">2. Publish / Schedule Call Sequence</w:t>
      </w:r>
    </w:p>
    <w:p>
      <w:pPr>
        <w:spacing w:after="160"/>
      </w:pPr>
      <w:r>
        <w:t xml:space="preserve">Underpins the scheduling and publish steps of the Functional Flow. Uses the platform adapter pattern (TDD Section 7) so this sequence is identical regardless of which of the 5 launch platforms is the target — only the Adapter and Social Platform API box change.</w:t>
      </w:r>
    </w:p>
    <w:p>
      <w:pPr>
        <w:spacing w:after="80" w:before="100"/>
        <w:jc w:val="center"/>
      </w:pPr>
      <w:r>
        <w:drawing>
          <wp:inline distT="0" distB="0" distL="0" distR="0">
            <wp:extent cx="5905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 — publish Edge Function Call Sequence</w:t>
      </w:r>
    </w:p>
    <w:p>
      <w:pPr>
        <w:pStyle w:val="Heading1"/>
        <w:spacing w:after="200" w:before="400"/>
      </w:pPr>
      <w:r>
        <w:t xml:space="preserve">3. Social Account OAuth Connection Sequence</w:t>
      </w:r>
    </w:p>
    <w:p>
      <w:pPr>
        <w:spacing w:after="160"/>
      </w:pPr>
      <w:r>
        <w:t xml:space="preserve">Underpins the 'Connected accounts' action referenced in the Core Platform and Admin/IT Console FDD screens. Access and refresh tokens are only ever stored server-side (Postgres, encrypted) — never held by the client.</w:t>
      </w:r>
    </w:p>
    <w:p>
      <w:pPr>
        <w:spacing w:after="80" w:before="100"/>
        <w:jc w:val="center"/>
      </w:pPr>
      <w:r>
        <w:drawing>
          <wp:inline distT="0" distB="0" distL="0" distR="0">
            <wp:extent cx="5905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 — connect-social-account Call Sequence</w:t>
      </w:r>
    </w:p>
    <w:p>
      <w:pPr>
        <w:pStyle w:val="Heading1"/>
        <w:spacing w:after="200" w:before="400"/>
      </w:pPr>
      <w:r>
        <w:t xml:space="preserve">4. Cross-Device Realtime Sync Sequence</w:t>
      </w:r>
    </w:p>
    <w:p>
      <w:pPr>
        <w:spacing w:after="160"/>
      </w:pPr>
      <w:r>
        <w:t xml:space="preserve">Underpins BR-CP-04 (near-real-time sync across devices). No custom WebSocket server is required — Supabase Realtime broadcasts are filtered by the same Row Level Security rules as direct table access, so a device only receives updates for workspaces its user belongs to.</w:t>
      </w:r>
    </w:p>
    <w:p>
      <w:pPr>
        <w:spacing w:after="80" w:before="100"/>
        <w:jc w:val="center"/>
      </w:pPr>
      <w:r>
        <w:drawing>
          <wp:inline distT="0" distB="0" distL="0" distR="0">
            <wp:extent cx="5905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 — Cross-Device Realtime Sync Sequence</w:t>
      </w:r>
    </w:p>
    <w:p>
      <w:pPr>
        <w:pStyle w:val="Heading1"/>
        <w:spacing w:after="200" w:before="400"/>
      </w:pPr>
      <w:r>
        <w:t xml:space="preserve">5. Sequence-to-Contract Traceability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94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Function / Mechanism</w:t>
            </w:r>
          </w:p>
        </w:tc>
        <w:tc>
          <w:tcPr>
            <w:tcW w:type="dxa" w:w="2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TDD Reference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Content Generation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/functions/v1/ai-generate</w:t>
            </w:r>
          </w:p>
        </w:tc>
        <w:tc>
          <w:tcPr>
            <w:tcW w:type="dxa" w:w="2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5, 6.1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 / Schedule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/functions/v1/publish + adapter</w:t>
            </w:r>
          </w:p>
        </w:tc>
        <w:tc>
          <w:tcPr>
            <w:tcW w:type="dxa" w:w="2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6.3, 7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Connection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/functions/v1/connect-social-account</w:t>
            </w:r>
          </w:p>
        </w:tc>
        <w:tc>
          <w:tcPr>
            <w:tcW w:type="dxa" w:w="2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6.4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Realtime Sync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Realtime channel per workspace</w:t>
            </w:r>
          </w:p>
        </w:tc>
        <w:tc>
          <w:tcPr>
            <w:tcW w:type="dxa" w:w="2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Technical Flow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cc31dd19b76bc4bf9b018fcbc2f09684953b0b.png"/><Relationship Id="rId10" Type="http://schemas.openxmlformats.org/officeDocument/2006/relationships/image" Target="media/2dcc99bcb3889450f84dac4eae0164ab1603ace8.png"/><Relationship Id="rId11" Type="http://schemas.openxmlformats.org/officeDocument/2006/relationships/image" Target="media/51db55e79283aa90e50aa2c19b709214411cf3ab.png"/><Relationship Id="rId12" Type="http://schemas.openxmlformats.org/officeDocument/2006/relationships/image" Target="media/e2330fef9b964ca08ceb8df017ab619a1e3eb0d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2026-07-20T16:42:39.865Z</dcterms:created>
  <dcterms:modified xsi:type="dcterms:W3CDTF">2026-07-20T16:42:39.865Z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