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/>
      </w:pPr>
      <w:r>
        <w:rPr>
          <w:b/>
          <w:bCs/>
          <w:color w:val="0066A7"/>
          <w:sz w:val="56"/>
          <w:szCs w:val="56"/>
        </w:rPr>
        <w:t xml:space="preserve">SENTIENTIA LMS</w:t>
      </w:r>
    </w:p>
    <w:p>
      <w:pPr>
        <w:spacing w:after="80"/>
      </w:pPr>
      <w:r>
        <w:rPr>
          <w:color w:val="1A1A2E"/>
          <w:sz w:val="40"/>
          <w:szCs w:val="40"/>
        </w:rPr>
        <w:t xml:space="preserve">Product Guide</w:t>
      </w:r>
    </w:p>
    <w:p>
      <w:pPr>
        <w:pBdr>
          <w:bottom w:val="single" w:color="0066A7" w:sz="8" w:space="6"/>
        </w:pBdr>
        <w:spacing w:after="480"/>
      </w:pPr>
      <w:r>
        <w:rPr>
          <w:color w:val="5A6070"/>
          <w:sz w:val="19"/>
          <w:szCs w:val="19"/>
        </w:rPr>
        <w:t xml:space="preserve">For the Airpay founder &amp; C-suite · Prepared by Nitin Rajput, Head of L&amp;D · 10 June 2026 · v1.1 (updated 22 October 2026)</w:t>
      </w:r>
    </w:p>
    <w:p>
      <w:pPr>
        <w:pStyle w:val="Heading1"/>
        <w:pBdr>
          <w:bottom w:val="single" w:color="0066A7" w:sz="6" w:space="2"/>
        </w:pBdr>
        <w:spacing w:after="180" w:before="320"/>
      </w:pPr>
      <w:r>
        <w:rPr>
          <w:b/>
          <w:bCs/>
          <w:color w:val="1A1A2E"/>
        </w:rPr>
        <w:t xml:space="preserve">1. Executive summary</w:t>
      </w:r>
    </w:p>
    <w:p>
      <w:pPr>
        <w:spacing w:after="140"/>
      </w:pPr>
      <w:r>
        <w:rPr>
          <w:b/>
          <w:bCs/>
          <w:color w:val="1A1A2E"/>
        </w:rPr>
        <w:t xml:space="preserve">Sentientia LMS is a white-label, enterprise-grade learning platform that Airpay built for itself — and now owns as a sellable product.</w:t>
      </w:r>
    </w:p>
    <w:p>
      <w:pPr>
        <w:spacing w:after="140"/>
      </w:pPr>
      <w:r>
        <w:rPr>
          <w:color w:val="1A1A2E"/>
        </w:rPr>
        <w:t xml:space="preserve">Eighteen months ago, Airpay’s L&amp;D ran on a heavily customised, vendor-locked deployment. Instead of paying to patch it indefinitely, we forked it, rebuilt it as a product, and made Airpay Academy the product’s first customer (“customer-zero”). Every feature is hardened against our own real-world scale before it is offered to anyone else.</w:t>
      </w:r>
    </w:p>
    <w:p>
      <w:pPr>
        <w:spacing w:after="140"/>
      </w:pPr>
      <w:r>
        <w:rPr>
          <w:b/>
          <w:bCs/>
          <w:color w:val="1A1A2E"/>
        </w:rPr>
        <w:t xml:space="preserve">Where it stands today: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A1A2E"/>
        </w:rPr>
        <w:t xml:space="preserve">Customer-zero today:</w:t>
      </w:r>
      <w:r>
        <w:rPr>
          <w:color w:val="1A1A2E"/>
        </w:rPr>
        <w:t xml:space="preserve"> airpay.academy still runs the legacy BizLMS platform, serving 3,500+ learners across 3 business units (Airpay internal, Public/consumer, ZEEA Tanzania). Sentientia is not live yet: it runs on the UAT server (Moodle 5.3 LTS since 21 October 2026) and replaces BizLMS at the cutover, after a rehearsal on a fresh live backup.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A1A2E"/>
        </w:rPr>
        <w:t xml:space="preserve">The product layer is complete and verified on test copies and UAT</w:t>
      </w:r>
      <w:r>
        <w:rPr>
          <w:color w:val="1A1A2E"/>
        </w:rPr>
        <w:t xml:space="preserve">: 40 Sentientia plugins, a custom design system, white-label branding, 5 languages, a mobile PWA with push notifications, WhatsApp/SMS nudges, live classroom polling, AI quiz generation, and a payment-enabled public course storefront — all behind feature flags, all version-controlled, all protected by an automated quality system.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A1A2E"/>
        </w:rPr>
        <w:t xml:space="preserve">The strategic asset</w:t>
      </w:r>
      <w:r>
        <w:rPr>
          <w:color w:val="1A1A2E"/>
        </w:rPr>
        <w:t xml:space="preserve">: any future customer gets the same platform by changing configuration — logo, colours, name, languages, features — with zero code changes. A completed June-2026 white-label audit proves it.</w:t>
      </w:r>
    </w:p>
    <w:p>
      <w:pPr>
        <w:spacing w:after="140"/>
      </w:pPr>
      <w:r>
        <w:rPr>
          <w:b/>
          <w:bCs/>
          <w:color w:val="1A1A2E"/>
        </w:rPr>
        <w:t xml:space="preserve">The decision in front of leadership</w:t>
      </w:r>
      <w:r>
        <w:rPr>
          <w:color w:val="1A1A2E"/>
        </w:rPr>
        <w:t xml:space="preserve"> is no longer “should we build it” — it is built. It is: (1) schedule the production rollout of this quarter’s product layer to airpay.academy, and (2) decide whether and how to take Sentientia to a second customer (packaging, pricing, go-to-market). Section 9 lists the specific asks.</w:t>
      </w:r>
    </w:p>
    <w:p>
      <w:pPr>
        <w:pStyle w:val="Heading1"/>
        <w:pBdr>
          <w:bottom w:val="single" w:color="0066A7" w:sz="6" w:space="2"/>
        </w:pBdr>
        <w:spacing w:after="180" w:before="320"/>
      </w:pPr>
      <w:r>
        <w:rPr>
          <w:b/>
          <w:bCs/>
          <w:color w:val="1A1A2E"/>
        </w:rPr>
        <w:t xml:space="preserve">2. Why we built a product instead of patching a system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shd w:fill="E8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A1A2E"/>
              </w:rPr>
              <w:t xml:space="preserve">The old situation</w:t>
            </w:r>
          </w:p>
        </w:tc>
        <w:tc>
          <w:tcPr>
            <w:tcW w:type="dxa" w:w="4513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shd w:fill="E8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A1A2E"/>
              </w:rPr>
              <w:t xml:space="preserve">What we did about it</w:t>
            </w:r>
          </w:p>
        </w:tc>
      </w:tr>
      <w:tr>
        <w:tc>
          <w:tcPr>
            <w:tcW w:type="dxa" w:w="4513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A1A2E"/>
              </w:rPr>
              <w:t xml:space="preserve">Vendor-customised platform with undocumented changes, no test coverage, and licence/IP ambiguity</w:t>
            </w:r>
          </w:p>
        </w:tc>
        <w:tc>
          <w:tcPr>
            <w:tcW w:type="dxa" w:w="4513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A1A2E"/>
              </w:rPr>
              <w:t xml:space="preserve">Forked it, absorbed and de-branded the vendor layer, and took full ownership of all code</w:t>
            </w:r>
          </w:p>
        </w:tc>
      </w:tr>
      <w:tr>
        <w:tc>
          <w:tcPr>
            <w:tcW w:type="dxa" w:w="4513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A1A2E"/>
              </w:rPr>
              <w:t xml:space="preserve">Every fix was bespoke money into a cost centre</w:t>
            </w:r>
          </w:p>
        </w:tc>
        <w:tc>
          <w:tcPr>
            <w:tcW w:type="dxa" w:w="4513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A1A2E"/>
              </w:rPr>
              <w:t xml:space="preserve">Every fix is now product engineering: it improves Airpay Academy AND increases the value of an asset Airpay owns</w:t>
            </w:r>
          </w:p>
        </w:tc>
      </w:tr>
      <w:tr>
        <w:tc>
          <w:tcPr>
            <w:tcW w:type="dxa" w:w="4513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A1A2E"/>
              </w:rPr>
              <w:t xml:space="preserve">Single-company assumptions hardcoded everywhere</w:t>
            </w:r>
          </w:p>
        </w:tc>
        <w:tc>
          <w:tcPr>
            <w:tcW w:type="dxa" w:w="4513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A1A2E"/>
              </w:rPr>
              <w:t xml:space="preserve">Multi-customer architecture: tenant registry, per-customer branding and feature flags, white-label naming</w:t>
            </w:r>
          </w:p>
        </w:tc>
      </w:tr>
      <w:tr>
        <w:tc>
          <w:tcPr>
            <w:tcW w:type="dxa" w:w="4513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A1A2E"/>
              </w:rPr>
              <w:t xml:space="preserve">No safety net — UI bugs found by users</w:t>
            </w:r>
          </w:p>
        </w:tc>
        <w:tc>
          <w:tcPr>
            <w:tcW w:type="dxa" w:w="4513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A1A2E"/>
              </w:rPr>
              <w:t xml:space="preserve">A four-gate automated quality system wired into every commit and CI run</w:t>
            </w:r>
          </w:p>
        </w:tc>
      </w:tr>
    </w:tbl>
    <w:p>
      <w:pPr>
        <w:spacing w:after="140"/>
      </w:pPr>
      <w:r>
        <w:rPr>
          <w:color w:val="1A1A2E"/>
        </w:rPr>
        <w:t xml:space="preserve"/>
      </w:r>
    </w:p>
    <w:p>
      <w:pPr>
        <w:spacing w:after="140"/>
      </w:pPr>
      <w:r>
        <w:rPr>
          <w:b/>
          <w:bCs/>
          <w:color w:val="1A1A2E"/>
        </w:rPr>
        <w:t xml:space="preserve">Operating principle: </w:t>
      </w:r>
      <w:r>
        <w:rPr>
          <w:color w:val="1A1A2E"/>
        </w:rPr>
        <w:t xml:space="preserve">every architectural decision is made with two customers in mind — Airpay Payment Services today, and a hypothetical Enterprise N tomorrow. Backwards compatibility with Airpay Academy’s live behaviour is non-negotiable; new features ship OFF by default behind flags until deliberately enabled.</w:t>
      </w:r>
    </w:p>
    <w:p>
      <w:pPr>
        <w:pStyle w:val="Heading1"/>
        <w:pBdr>
          <w:bottom w:val="single" w:color="0066A7" w:sz="6" w:space="2"/>
        </w:pBdr>
        <w:spacing w:after="180" w:before="320"/>
      </w:pPr>
      <w:r>
        <w:rPr>
          <w:b/>
          <w:bCs/>
          <w:color w:val="1A1A2E"/>
        </w:rPr>
        <w:t xml:space="preserve">3. What Airpay gets from it today</w:t>
      </w:r>
    </w:p>
    <w:p>
      <w:pPr>
        <w:spacing w:after="140"/>
      </w:pPr>
      <w:r>
        <w:rPr>
          <w:color w:val="1A1A2E"/>
        </w:rPr>
        <w:t xml:space="preserve">These are running capabilities, not plans: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A1A2E"/>
        </w:rPr>
        <w:t xml:space="preserve">Mandatory compliance at scale</w:t>
      </w:r>
      <w:r>
        <w:rPr>
          <w:color w:val="1A1A2E"/>
        </w:rPr>
        <w:t xml:space="preserve"> — POSH, AML and IT-security training with deadlines, automatic learner reminders (7/3/1 days before) and automatic manager escalation when a team member goes overdue (1/7/14 days after). Every nudge is logged for audit — “show me every reminder around Alice’s POSH deadline” is one query.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A1A2E"/>
        </w:rPr>
        <w:t xml:space="preserve">Exams &amp; certification</w:t>
      </w:r>
      <w:r>
        <w:rPr>
          <w:color w:val="1A1A2E"/>
        </w:rPr>
        <w:t xml:space="preserve"> — proctoring-capable exams with the same reminder/escalation machinery, recompletion cycles for annually-renewed certifications, and branded certificates.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A1A2E"/>
        </w:rPr>
        <w:t xml:space="preserve">Three tenants, one platform</w:t>
      </w:r>
      <w:r>
        <w:rPr>
          <w:color w:val="1A1A2E"/>
        </w:rPr>
        <w:t xml:space="preserve"> — Airpay internal (HRMS-synced employees, supervisor hierarchy), a Public tenant (self-signup consumers, storefront with cart and Airpay’s own payment gateway), and ZEEA Tanzania (Swahili). Tenant data is isolated; branding adapts per tenant.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A1A2E"/>
        </w:rPr>
        <w:t xml:space="preserve">Reach learners where they are</w:t>
      </w:r>
      <w:r>
        <w:rPr>
          <w:color w:val="1A1A2E"/>
        </w:rPr>
        <w:t xml:space="preserve"> — email always; web push to phones and desktops (installable PWA, offline-capable); WhatsApp/SMS via DLT-registered templates with TCCCPR-2018/DPDP-2023-compliant consent capture. SMS reaches field staff without data connectivity.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A1A2E"/>
        </w:rPr>
        <w:t xml:space="preserve">Five languages</w:t>
      </w:r>
      <w:r>
        <w:rPr>
          <w:color w:val="1A1A2E"/>
        </w:rPr>
        <w:t xml:space="preserve"> — English, Hindi (100% parity, enforced by tooling), Marathi, Kannada, Swahili.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A1A2E"/>
        </w:rPr>
        <w:t xml:space="preserve">Live classroom engagement</w:t>
      </w:r>
      <w:r>
        <w:rPr>
          <w:color w:val="1A1A2E"/>
        </w:rPr>
        <w:t xml:space="preserve"> — a built-in Mentimeter-class tool (polls, quizzes, word clouds, ratings, Q&amp;A, leaderboards) with a real-time projector view and CSV analytics. No external SaaS subscription.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A1A2E"/>
        </w:rPr>
        <w:t xml:space="preserve">Manager &amp; leadership visibility</w:t>
      </w:r>
      <w:r>
        <w:rPr>
          <w:color w:val="1A1A2E"/>
        </w:rPr>
        <w:t xml:space="preserve"> — role-aware dashboards (learner / manager / L&amp;D admin / site admin), team-overdue views, completion analytics, compliance reports, audit logs.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A1A2E"/>
        </w:rPr>
        <w:t xml:space="preserve">HRMS-driven user lifecycle</w:t>
      </w:r>
      <w:r>
        <w:rPr>
          <w:color w:val="1A1A2E"/>
        </w:rPr>
        <w:t xml:space="preserve"> — 24-column importer plus scheduled sync; joiners get tenant-branded welcome emails, leavers are deactivated, supervisor changes follow the org tree.</w:t>
      </w:r>
    </w:p>
    <w:p>
      <w:pPr>
        <w:pStyle w:val="Heading1"/>
        <w:pBdr>
          <w:bottom w:val="single" w:color="0066A7" w:sz="6" w:space="2"/>
        </w:pBdr>
        <w:spacing w:after="180" w:before="320"/>
      </w:pPr>
      <w:r>
        <w:rPr>
          <w:b/>
          <w:bCs/>
          <w:color w:val="1A1A2E"/>
        </w:rPr>
        <w:t xml:space="preserve">4. The product in numbers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0"/>
        <w:gridCol w:w="5866"/>
      </w:tblGrid>
      <w:tr>
        <w:tc>
          <w:tcPr>
            <w:tcW w:type="dxa" w:w="316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shd w:fill="E8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A1A2E"/>
              </w:rPr>
              <w:t xml:space="preserve">Metric</w:t>
            </w:r>
          </w:p>
        </w:tc>
        <w:tc>
          <w:tcPr>
            <w:tcW w:type="dxa" w:w="5866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shd w:fill="E8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A1A2E"/>
              </w:rPr>
              <w:t xml:space="preserve">Value</w:t>
            </w:r>
          </w:p>
        </w:tc>
      </w:tr>
      <w:tr>
        <w:tc>
          <w:tcPr>
            <w:tcW w:type="dxa" w:w="316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A1A2E"/>
              </w:rPr>
              <w:t xml:space="preserve">Learners on customer-zero</w:t>
            </w:r>
          </w:p>
        </w:tc>
        <w:tc>
          <w:tcPr>
            <w:tcW w:type="dxa" w:w="5866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A1A2E"/>
              </w:rPr>
              <w:t xml:space="preserve">3,500+ across 3 tenants (2,871 accounts / 411 courses in the May-2026 production snapshot)</w:t>
            </w:r>
          </w:p>
        </w:tc>
      </w:tr>
      <w:tr>
        <w:tc>
          <w:tcPr>
            <w:tcW w:type="dxa" w:w="316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A1A2E"/>
              </w:rPr>
              <w:t xml:space="preserve">Product backend</w:t>
            </w:r>
          </w:p>
        </w:tc>
        <w:tc>
          <w:tcPr>
            <w:tcW w:type="dxa" w:w="5866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A1A2E"/>
              </w:rPr>
              <w:t xml:space="preserve">40 sentientia_* plugins + 6 dashboard blocks + subscription enrol + proctoring + payment gateway</w:t>
            </w:r>
          </w:p>
        </w:tc>
      </w:tr>
      <w:tr>
        <w:tc>
          <w:tcPr>
            <w:tcW w:type="dxa" w:w="316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A1A2E"/>
              </w:rPr>
              <w:t xml:space="preserve">Design system / theme</w:t>
            </w:r>
          </w:p>
        </w:tc>
        <w:tc>
          <w:tcPr>
            <w:tcW w:type="dxa" w:w="5866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A1A2E"/>
              </w:rPr>
              <w:t xml:space="preserve">700+ file standalone theme (no upstream dependency), light + dark mode, accessibility-conscious</w:t>
            </w:r>
          </w:p>
        </w:tc>
      </w:tr>
      <w:tr>
        <w:tc>
          <w:tcPr>
            <w:tcW w:type="dxa" w:w="316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A1A2E"/>
              </w:rPr>
              <w:t xml:space="preserve">Languages</w:t>
            </w:r>
          </w:p>
        </w:tc>
        <w:tc>
          <w:tcPr>
            <w:tcW w:type="dxa" w:w="5866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A1A2E"/>
              </w:rPr>
              <w:t xml:space="preserve">5 (English, Hindi, Marathi, Kannada, Swahili) — key-parity enforced</w:t>
            </w:r>
          </w:p>
        </w:tc>
      </w:tr>
      <w:tr>
        <w:tc>
          <w:tcPr>
            <w:tcW w:type="dxa" w:w="316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A1A2E"/>
              </w:rPr>
              <w:t xml:space="preserve">Personas served</w:t>
            </w:r>
          </w:p>
        </w:tc>
        <w:tc>
          <w:tcPr>
            <w:tcW w:type="dxa" w:w="5866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A1A2E"/>
              </w:rPr>
              <w:t xml:space="preserve">8, each with a written user guide (learner, public learner, manager, trainer, course author, compliance officer, L&amp;D admin, site admin)</w:t>
            </w:r>
          </w:p>
        </w:tc>
      </w:tr>
      <w:tr>
        <w:tc>
          <w:tcPr>
            <w:tcW w:type="dxa" w:w="316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A1A2E"/>
              </w:rPr>
              <w:t xml:space="preserve">Mobile-ready APIs</w:t>
            </w:r>
          </w:p>
        </w:tc>
        <w:tc>
          <w:tcPr>
            <w:tcW w:type="dxa" w:w="5866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A1A2E"/>
              </w:rPr>
              <w:t xml:space="preserve">22 read + 14 learner-write endpoints audited mobile-ready; 36 admin endpoints deliberately desktop-only</w:t>
            </w:r>
          </w:p>
        </w:tc>
      </w:tr>
      <w:tr>
        <w:tc>
          <w:tcPr>
            <w:tcW w:type="dxa" w:w="316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A1A2E"/>
              </w:rPr>
              <w:t xml:space="preserve">Quality system</w:t>
            </w:r>
          </w:p>
        </w:tc>
        <w:tc>
          <w:tcPr>
            <w:tcW w:type="dxa" w:w="5866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A1A2E"/>
              </w:rPr>
              <w:t xml:space="preserve">4 gates (static scans → render checks → accessibility → coverage matrix), 15-check pre-commit hook, CI gates</w:t>
            </w:r>
          </w:p>
        </w:tc>
      </w:tr>
      <w:tr>
        <w:tc>
          <w:tcPr>
            <w:tcW w:type="dxa" w:w="316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A1A2E"/>
              </w:rPr>
              <w:t xml:space="preserve">Engineering record</w:t>
            </w:r>
          </w:p>
        </w:tc>
        <w:tc>
          <w:tcPr>
            <w:tcW w:type="dxa" w:w="5866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A1A2E"/>
              </w:rPr>
              <w:t xml:space="preserve">27 Architecture Decision Records; per-plugin state cards; visual evidence required for every UI change</w:t>
            </w:r>
          </w:p>
        </w:tc>
      </w:tr>
      <w:tr>
        <w:tc>
          <w:tcPr>
            <w:tcW w:type="dxa" w:w="316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A1A2E"/>
              </w:rPr>
              <w:t xml:space="preserve">Platform base</w:t>
            </w:r>
          </w:p>
        </w:tc>
        <w:tc>
          <w:tcPr>
            <w:tcW w:type="dxa" w:w="5866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A1A2E"/>
              </w:rPr>
              <w:t xml:space="preserve">Moodle 5.1.3 open core, PHP 8.3, MySQL/MariaDB; Moodle 5.2 upgrade rehearsed and code-complete, cutover at our discretion</w:t>
            </w:r>
          </w:p>
        </w:tc>
      </w:tr>
    </w:tbl>
    <w:p>
      <w:pPr>
        <w:pStyle w:val="Heading1"/>
        <w:pBdr>
          <w:bottom w:val="single" w:color="0066A7" w:sz="6" w:space="2"/>
        </w:pBdr>
        <w:spacing w:after="180" w:before="320"/>
      </w:pPr>
      <w:r>
        <w:rPr>
          <w:b/>
          <w:bCs/>
          <w:color w:val="1A1A2E"/>
        </w:rPr>
        <w:t xml:space="preserve">5. Capability tour (by business pillar)</w:t>
      </w:r>
    </w:p>
    <w:p>
      <w:pPr>
        <w:pStyle w:val="Heading2"/>
        <w:spacing w:after="120" w:before="220"/>
      </w:pPr>
      <w:r>
        <w:rPr>
          <w:b/>
          <w:bCs/>
          <w:color w:val="0066A7"/>
        </w:rPr>
        <w:t xml:space="preserve">Learn &amp; comply</w:t>
      </w:r>
    </w:p>
    <w:p>
      <w:pPr>
        <w:spacing w:after="140"/>
      </w:pPr>
      <w:r>
        <w:rPr>
          <w:color w:val="1A1A2E"/>
        </w:rPr>
        <w:t xml:space="preserve">Courses, structured learning paths and programs with target-audience rules and bulk enrolment; SCORM content; exams with open/close windows and proctoring; recompletion cycles; tenant-scoped certificates; compliance reporting and full audit-trail events.</w:t>
      </w:r>
    </w:p>
    <w:p>
      <w:pPr>
        <w:pStyle w:val="Heading2"/>
        <w:spacing w:after="120" w:before="220"/>
      </w:pPr>
      <w:r>
        <w:rPr>
          <w:b/>
          <w:bCs/>
          <w:color w:val="0066A7"/>
        </w:rPr>
        <w:t xml:space="preserve">Engage &amp; retain</w:t>
      </w:r>
    </w:p>
    <w:p>
      <w:pPr>
        <w:spacing w:after="140"/>
      </w:pPr>
      <w:r>
        <w:rPr>
          <w:color w:val="1A1A2E"/>
        </w:rPr>
        <w:t xml:space="preserve">Gamification (points, badges, streaks), real-time leaderboards (opt-out respected), challenges, course ratings, Sentientia Live (6 interactive question types, real-time updates, projector mode, session analytics), personalised recommendations, and re-engagement campaigns (“we miss you” rules engine).</w:t>
      </w:r>
    </w:p>
    <w:p>
      <w:pPr>
        <w:pStyle w:val="Heading2"/>
        <w:spacing w:after="120" w:before="220"/>
      </w:pPr>
      <w:r>
        <w:rPr>
          <w:b/>
          <w:bCs/>
          <w:color w:val="0066A7"/>
        </w:rPr>
        <w:t xml:space="preserve">Reach (multi-channel delivery)</w:t>
      </w:r>
    </w:p>
    <w:p>
      <w:pPr>
        <w:spacing w:after="140"/>
      </w:pPr>
      <w:r>
        <w:rPr>
          <w:color w:val="1A1A2E"/>
        </w:rPr>
        <w:t xml:space="preserve">Branded email engine with admin-editable, token-based templates and per-tenant overrides; installable PWA with offline fallback and standards-grade web push (our own push implementation — no third-party vendor, no per-message fees); WhatsApp/SMS bridge with DLT template governance, per-user channel preferences and consent logging.</w:t>
      </w:r>
    </w:p>
    <w:p>
      <w:pPr>
        <w:pStyle w:val="Heading2"/>
        <w:spacing w:after="120" w:before="220"/>
      </w:pPr>
      <w:r>
        <w:rPr>
          <w:b/>
          <w:bCs/>
          <w:color w:val="0066A7"/>
        </w:rPr>
        <w:t xml:space="preserve">Operate at enterprise scale</w:t>
      </w:r>
    </w:p>
    <w:p>
      <w:pPr>
        <w:spacing w:after="140"/>
      </w:pPr>
      <w:r>
        <w:rPr>
          <w:color w:val="1A1A2E"/>
        </w:rPr>
        <w:t xml:space="preserve">HRMS sync, org hierarchy and tenant registry (configuration, not code), role management, analytics dashboards, lifecycle automation, structured logging, and GDPR/DPDP privacy providers in every plugin (subject-access export and right-to-erasure supported).</w:t>
      </w:r>
    </w:p>
    <w:p>
      <w:pPr>
        <w:pStyle w:val="Heading2"/>
        <w:spacing w:after="120" w:before="220"/>
      </w:pPr>
      <w:r>
        <w:rPr>
          <w:b/>
          <w:bCs/>
          <w:color w:val="0066A7"/>
        </w:rPr>
        <w:t xml:space="preserve">Monetise</w:t>
      </w:r>
    </w:p>
    <w:p>
      <w:pPr>
        <w:spacing w:after="140"/>
      </w:pPr>
      <w:r>
        <w:rPr>
          <w:color w:val="1A1A2E"/>
        </w:rPr>
        <w:t xml:space="preserve">Public course storefront (Netflix-style catalog), cart and checkout through Airpay’s own payment gateway (we dogfood our core product), one-click free enrolment for internal staff (flag-gated), and a designed recurring-subscriptions model ready to implement when the business wants it.</w:t>
      </w:r>
    </w:p>
    <w:p>
      <w:pPr>
        <w:pStyle w:val="Heading2"/>
        <w:spacing w:after="120" w:before="220"/>
      </w:pPr>
      <w:r>
        <w:rPr>
          <w:b/>
          <w:bCs/>
          <w:color w:val="0066A7"/>
        </w:rPr>
        <w:t xml:space="preserve">Create content faster</w:t>
      </w:r>
    </w:p>
    <w:p>
      <w:pPr>
        <w:spacing w:after="140"/>
      </w:pPr>
      <w:r>
        <w:rPr>
          <w:color w:val="1A1A2E"/>
        </w:rPr>
        <w:t xml:space="preserve">The SENTIENTIA content pipeline turns an SOP PDF into a SCORM course through six agents: parse → narration → slides → AI voice-over → SCORM package → upload. Built and tested in mock/local mode on one sample SOP (the orchestrator still runs an older copy of the agents, being consolidated in October 2026; the SCORM packager’s resume and completion bugs were fixed on 22 October 2026); voice cost is confirm-gated so spend is always deliberate. AI features (quiz generation with 4-layer cost defence, role-aware assistant, translation queue) are demoable today in mock mode and activate fully when we provision an Anthropic API key.</w:t>
      </w:r>
    </w:p>
    <w:p>
      <w:pPr>
        <w:pStyle w:val="Heading1"/>
        <w:pBdr>
          <w:bottom w:val="single" w:color="0066A7" w:sz="6" w:space="2"/>
        </w:pBdr>
        <w:spacing w:after="180" w:before="320"/>
      </w:pPr>
      <w:r>
        <w:rPr>
          <w:b/>
          <w:bCs/>
          <w:color w:val="1A1A2E"/>
        </w:rPr>
        <w:t xml:space="preserve">6. The white-label, multi-customer architecture (the moat)</w:t>
      </w:r>
    </w:p>
    <w:p>
      <w:pPr>
        <w:spacing w:after="140"/>
      </w:pPr>
      <w:r>
        <w:rPr>
          <w:color w:val="1A1A2E"/>
        </w:rPr>
        <w:t xml:space="preserve">This is what makes Sentientia sellable rather than “Airpay’s internal tool”: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A1A2E"/>
        </w:rPr>
        <w:t xml:space="preserve">Feature flags everywhere</w:t>
      </w:r>
      <w:r>
        <w:rPr>
          <w:color w:val="1A1A2E"/>
        </w:rPr>
        <w:t xml:space="preserve"> — every feature defaults OFF and resolves through a 5-level customer/tenant hierarchy. A customer’s deployment enables exactly the surface they bought.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A1A2E"/>
        </w:rPr>
        <w:t xml:space="preserve">Per-customer branding</w:t>
      </w:r>
      <w:r>
        <w:rPr>
          <w:color w:val="1A1A2E"/>
        </w:rPr>
        <w:t xml:space="preserve"> — logo (light/dark), colours, typography, favicon and app icons resolve from a customer-brand registry consumed by the renderer.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A1A2E"/>
        </w:rPr>
        <w:t xml:space="preserve">White-label naming, proven</w:t>
      </w:r>
      <w:r>
        <w:rPr>
          <w:color w:val="1A1A2E"/>
        </w:rPr>
        <w:t xml:space="preserve"> — a completed June-2026 audit verified that every rendered customer-name string resolves from configuration. Change the site name and the entire product — login, emails, calendar invites, WhatsApp consent text, push notifications, in five languages — re-skins itself. Product chrome says Sentientia; customer chrome says whatever the customer is called.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A1A2E"/>
        </w:rPr>
        <w:t xml:space="preserve">Tenants and customers are data, not code</w:t>
      </w:r>
      <w:r>
        <w:rPr>
          <w:color w:val="1A1A2E"/>
        </w:rPr>
        <w:t xml:space="preserve"> — the same instance cleanly hosts multiple business units, and the architecture extends to per-customer trees.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A1A2E"/>
        </w:rPr>
        <w:t xml:space="preserve">Repeatable install</w:t>
      </w:r>
      <w:r>
        <w:rPr>
          <w:color w:val="1A1A2E"/>
        </w:rPr>
        <w:t xml:space="preserve"> — a from-scratch install guide exists and was validated by wiping and reinstalling our own environment.</w:t>
      </w:r>
    </w:p>
    <w:p>
      <w:pPr>
        <w:spacing w:after="140"/>
      </w:pPr>
      <w:r>
        <w:rPr>
          <w:b/>
          <w:bCs/>
          <w:color w:val="1A1A2E"/>
        </w:rPr>
        <w:t xml:space="preserve">A note on licensing (important for the business model): </w:t>
      </w:r>
      <w:r>
        <w:rPr>
          <w:color w:val="1A1A2E"/>
        </w:rPr>
        <w:t xml:space="preserve">the platform core is GPL-licensed open source, so we do not sell a closed-source licence. We sell what enterprises actually pay for — the hosted/managed platform, implementation, integrations (HRMS, WhatsApp, payments), the content pipeline, SLAs and support, and the Sentientia brand. This is the proven commercial model of the enterprise-Moodle ecosystem. IP protection lives in trademark, content, configuration know-how and operations.</w:t>
      </w:r>
    </w:p>
    <w:p>
      <w:pPr>
        <w:pStyle w:val="Heading1"/>
        <w:pBdr>
          <w:bottom w:val="single" w:color="0066A7" w:sz="6" w:space="2"/>
        </w:pBdr>
        <w:spacing w:after="180" w:before="320"/>
      </w:pPr>
      <w:r>
        <w:rPr>
          <w:b/>
          <w:bCs/>
          <w:color w:val="1A1A2E"/>
        </w:rPr>
        <w:t xml:space="preserve">7. Quality, security &amp; compliance posture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A1A2E"/>
        </w:rPr>
        <w:t xml:space="preserve">Four-gate quality system</w:t>
      </w:r>
      <w:r>
        <w:rPr>
          <w:color w:val="1A1A2E"/>
        </w:rPr>
        <w:t xml:space="preserve"> — static scanners catch recurring bug classes before commit; render checks load every persona × surface and fail on errors; automated accessibility checks fail the build on serious issues; an honest coverage matrix records what is and isn’t tested.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A1A2E"/>
        </w:rPr>
        <w:t xml:space="preserve">Security</w:t>
      </w:r>
      <w:r>
        <w:rPr>
          <w:color w:val="1A1A2E"/>
        </w:rPr>
        <w:t xml:space="preserve"> — a payment-verification weakness found in inherited gateway code was fixed with a fail-closed verifier and a regression test suite (deployment is sandbox-test-gated — see §9). Pre-commit tooling blocks credentials, unsafe database access and core-file edits; secrets never enter version control.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A1A2E"/>
        </w:rPr>
        <w:t xml:space="preserve">Privacy &amp; regulatory</w:t>
      </w:r>
      <w:r>
        <w:rPr>
          <w:color w:val="1A1A2E"/>
        </w:rPr>
        <w:t xml:space="preserve"> — GDPR/DPDP privacy providers across plugins; DLT/TCCCPR consent for WhatsApp/SMS with timestamped logging; a DPDP data-fiduciary statement; PII never sent to external AI/voice services (enforced in pipeline rules).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A1A2E"/>
        </w:rPr>
        <w:t xml:space="preserve">Engineering discipline</w:t>
      </w:r>
      <w:r>
        <w:rPr>
          <w:color w:val="1A1A2E"/>
        </w:rPr>
        <w:t xml:space="preserve"> — 32 ADRs (ADR-001 to ADR-034), per-plugin state cards, CI on every push, and visual evidence required for every UI change.</w:t>
      </w:r>
    </w:p>
    <w:p>
      <w:pPr>
        <w:pStyle w:val="Heading1"/>
        <w:pBdr>
          <w:bottom w:val="single" w:color="0066A7" w:sz="6" w:space="2"/>
        </w:pBdr>
        <w:spacing w:after="180" w:before="320"/>
      </w:pPr>
      <w:r>
        <w:rPr>
          <w:b/>
          <w:bCs/>
          <w:color w:val="1A1A2E"/>
        </w:rPr>
        <w:t xml:space="preserve">8. Honest status: shipped vs staged vs designed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960"/>
        <w:gridCol w:w="2766"/>
      </w:tblGrid>
      <w:tr>
        <w:tc>
          <w:tcPr>
            <w:tcW w:type="dxa" w:w="230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shd w:fill="E8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A1A2E"/>
              </w:rPr>
              <w:t xml:space="preserve">Tier</w:t>
            </w:r>
          </w:p>
        </w:tc>
        <w:tc>
          <w:tcPr>
            <w:tcW w:type="dxa" w:w="396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shd w:fill="E8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A1A2E"/>
              </w:rPr>
              <w:t xml:space="preserve">What</w:t>
            </w:r>
          </w:p>
        </w:tc>
        <w:tc>
          <w:tcPr>
            <w:tcW w:type="dxa" w:w="2766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shd w:fill="E8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A1A2E"/>
              </w:rPr>
              <w:t xml:space="preserve">Status</w:t>
            </w:r>
          </w:p>
        </w:tc>
      </w:tr>
      <w:tr>
        <w:tc>
          <w:tcPr>
            <w:tcW w:type="dxa" w:w="230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A1A2E"/>
              </w:rPr>
              <w:t xml:space="preserve">LIVE on airpay.academy (legacy BizLMS)</w:t>
            </w:r>
          </w:p>
        </w:tc>
        <w:tc>
          <w:tcPr>
            <w:tcW w:type="dxa" w:w="396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A1A2E"/>
              </w:rPr>
              <w:t xml:space="preserve">Core LMS, compliance training, exams, 3 tenants, HRMS sync, certificates, dashboards</w:t>
            </w:r>
          </w:p>
        </w:tc>
        <w:tc>
          <w:tcPr>
            <w:tcW w:type="dxa" w:w="2766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A1A2E"/>
              </w:rPr>
              <w:t xml:space="preserve">Serving 3,500+ users now; Sentientia replaces it at cutover</w:t>
            </w:r>
          </w:p>
        </w:tc>
      </w:tr>
      <w:tr>
        <w:tc>
          <w:tcPr>
            <w:tcW w:type="dxa" w:w="230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A1A2E"/>
              </w:rPr>
              <w:t xml:space="preserve">BUILT &amp; VERIFIED, awaiting rollout</w:t>
            </w:r>
          </w:p>
        </w:tc>
        <w:tc>
          <w:tcPr>
            <w:tcW w:type="dxa" w:w="396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A1A2E"/>
              </w:rPr>
              <w:t xml:space="preserve">The full product layer in §3–§7: Sentientia theme + rename, white-label, quality gates, PWA/push, WhatsApp bridge, Live, leaderboards, AI (mock), storefront polish, QA fixes, payment-gateway security fix</w:t>
            </w:r>
          </w:p>
        </w:tc>
        <w:tc>
          <w:tcPr>
            <w:tcW w:type="dxa" w:w="2766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A1A2E"/>
              </w:rPr>
              <w:t xml:space="preserve">On the production git branch, verified on staging with imported production data; needs a scheduled deploy window with IT</w:t>
            </w:r>
          </w:p>
        </w:tc>
      </w:tr>
      <w:tr>
        <w:tc>
          <w:tcPr>
            <w:tcW w:type="dxa" w:w="230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A1A2E"/>
              </w:rPr>
              <w:t xml:space="preserve">DESIGNED / SCAFFOLDED, switched off</w:t>
            </w:r>
          </w:p>
        </w:tc>
        <w:tc>
          <w:tcPr>
            <w:tcW w:type="dxa" w:w="396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A1A2E"/>
              </w:rPr>
              <w:t xml:space="preserve">Recurring subscriptions, M365 integration, AI live mode (needs API key), voice pipeline live mode (needs ElevenLabs budget), native mobile wrappers, user-type migration phases 2–5</w:t>
            </w:r>
          </w:p>
        </w:tc>
        <w:tc>
          <w:tcPr>
            <w:tcW w:type="dxa" w:w="2766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A1A2E"/>
              </w:rPr>
              <w:t xml:space="preserve">Activation is a business decision, not an engineering rebuild</w:t>
            </w:r>
          </w:p>
        </w:tc>
      </w:tr>
    </w:tbl>
    <w:p>
      <w:pPr>
        <w:pStyle w:val="Heading1"/>
        <w:pBdr>
          <w:bottom w:val="single" w:color="0066A7" w:sz="6" w:space="2"/>
        </w:pBdr>
        <w:spacing w:after="180" w:before="320"/>
      </w:pPr>
      <w:r>
        <w:rPr>
          <w:b/>
          <w:bCs/>
          <w:color w:val="1A1A2E"/>
        </w:rPr>
        <w:t xml:space="preserve">9. What’s remaining — and the asks</w:t>
      </w:r>
    </w:p>
    <w:p>
      <w:pPr>
        <w:spacing w:after="140"/>
      </w:pPr>
      <w:r>
        <w:rPr>
          <w:b/>
          <w:bCs/>
          <w:color w:val="1A1A2E"/>
        </w:rPr>
        <w:t xml:space="preserve">A. Ship the product layer to airpay.academy (the single biggest remaining step). </w:t>
      </w:r>
      <w:r>
        <w:rPr>
          <w:color w:val="1A1A2E"/>
        </w:rPr>
        <w:t xml:space="preserve">This quarter’s work is committed, pushed and verified on test copies and UAT but not deployed to the live server. Deploy automation and a turnkey cutover runbook exist. </w:t>
      </w:r>
      <w:r>
        <w:rPr>
          <w:b/>
          <w:bCs/>
          <w:color w:val="1A1A2E"/>
        </w:rPr>
        <w:t xml:space="preserve">Ask:</w:t>
      </w:r>
      <w:r>
        <w:rPr>
          <w:color w:val="1A1A2E"/>
        </w:rPr>
        <w:t xml:space="preserve"> a scheduled deploy window with IT (file copy → upgrade → cache purge → smoke test) and sign-off on the rollout sequence.</w:t>
      </w:r>
    </w:p>
    <w:p>
      <w:pPr>
        <w:spacing w:after="140"/>
      </w:pPr>
      <w:r>
        <w:rPr>
          <w:b/>
          <w:bCs/>
          <w:color w:val="1A1A2E"/>
        </w:rPr>
        <w:t xml:space="preserve">B. Leadership decisions queued (each is a switch, not a build):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A1A2E"/>
        </w:rPr>
        <w:t xml:space="preserve">Enable one-click free enrolment per internal tenant (flag exists, default OFF).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A1A2E"/>
        </w:rPr>
        <w:t xml:space="preserve">Merge the five reviewed QA-fix branches (owner-gated by policy).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A1A2E"/>
        </w:rPr>
        <w:t xml:space="preserve">Deploy the payment-gateway security fix after one sandbox transaction test.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A1A2E"/>
        </w:rPr>
        <w:t xml:space="preserve">Pick the Moodle 5.2 cutover window (the upgrade is rehearsed; production stays on 5.1 until we choose).</w:t>
      </w:r>
    </w:p>
    <w:p>
      <w:pPr>
        <w:spacing w:after="140"/>
      </w:pPr>
      <w:r>
        <w:rPr>
          <w:b/>
          <w:bCs/>
          <w:color w:val="1A1A2E"/>
        </w:rPr>
        <w:t xml:space="preserve">C. Budget asks to activate dormant features: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A1A2E"/>
        </w:rPr>
        <w:t xml:space="preserve">Anthropic API key → AI quiz generation, AI assistant and translation leave mock mode (cost-defended: caps, caching, per-customer limits).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A1A2E"/>
        </w:rPr>
        <w:t xml:space="preserve">ElevenLabs budget → the voice-over agent in the content pipeline goes live (~$0.30 per 1,000 characters, confirm-gated per run).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A1A2E"/>
        </w:rPr>
        <w:t xml:space="preserve">Azure app registration → Microsoft 365 SSO and knowledge integration work begins.</w:t>
      </w:r>
    </w:p>
    <w:p>
      <w:pPr>
        <w:spacing w:after="140"/>
      </w:pPr>
      <w:r>
        <w:rPr>
          <w:b/>
          <w:bCs/>
          <w:color w:val="1A1A2E"/>
        </w:rPr>
        <w:t xml:space="preserve">D. Productization for customer #2 (the go-to-market workstream): </w:t>
      </w:r>
      <w:r>
        <w:rPr>
          <w:color w:val="1A1A2E"/>
        </w:rPr>
        <w:t xml:space="preserve">pricing and packaging, legal/trademark for the Sentientia name, a clean demo tenant, sales collateral (this guide is the first artifact), and a support/SLA model — plus a small engineering tail that makes a second deployment trivial (finish the app-shell rollout on admin pages, complete two placeholder surfaces, per-customer landing/legal-page content, logo-asset plumbing).</w:t>
      </w:r>
    </w:p>
    <w:p>
      <w:pPr>
        <w:spacing w:after="140"/>
      </w:pPr>
      <w:r>
        <w:rPr>
          <w:b/>
          <w:bCs/>
          <w:color w:val="1A1A2E"/>
        </w:rPr>
        <w:t xml:space="preserve">E. Small technical tail (tracked, low risk): </w:t>
      </w:r>
      <w:r>
        <w:rPr>
          <w:color w:val="1A1A2E"/>
        </w:rPr>
        <w:t xml:space="preserve">CI-seeded visual-diff baselines; the documented deferred white-label items; user-type migration phases.</w:t>
      </w:r>
    </w:p>
    <w:p>
      <w:pPr>
        <w:pStyle w:val="Heading1"/>
        <w:pBdr>
          <w:bottom w:val="single" w:color="0066A7" w:sz="6" w:space="2"/>
        </w:pBdr>
        <w:spacing w:after="180" w:before="320"/>
      </w:pPr>
      <w:r>
        <w:rPr>
          <w:b/>
          <w:bCs/>
          <w:color w:val="1A1A2E"/>
        </w:rPr>
        <w:t xml:space="preserve">10. Roadmap view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shd w:fill="E8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A1A2E"/>
              </w:rPr>
              <w:t xml:space="preserve">Horizon</w:t>
            </w:r>
          </w:p>
        </w:tc>
        <w:tc>
          <w:tcPr>
            <w:tcW w:type="dxa" w:w="6826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shd w:fill="E8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A1A2E"/>
              </w:rPr>
              <w:t xml:space="preserve">Focus</w:t>
            </w:r>
          </w:p>
        </w:tc>
      </w:tr>
      <w:tr>
        <w:tc>
          <w:tcPr>
            <w:tcW w:type="dxa" w:w="220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A1A2E"/>
              </w:rPr>
              <w:t xml:space="preserve">Now → +30 days</w:t>
            </w:r>
          </w:p>
        </w:tc>
        <w:tc>
          <w:tcPr>
            <w:tcW w:type="dxa" w:w="6826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A1A2E"/>
              </w:rPr>
              <w:t xml:space="preserve">Production rollout of the product layer to airpay.academy; flag-enable decisions; payment-fix deploy; visual-diff baselines</w:t>
            </w:r>
          </w:p>
        </w:tc>
      </w:tr>
      <w:tr>
        <w:tc>
          <w:tcPr>
            <w:tcW w:type="dxa" w:w="220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A1A2E"/>
              </w:rPr>
              <w:t xml:space="preserve">+1 → +3 months</w:t>
            </w:r>
          </w:p>
        </w:tc>
        <w:tc>
          <w:tcPr>
            <w:tcW w:type="dxa" w:w="6826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A1A2E"/>
              </w:rPr>
              <w:t xml:space="preserve">AI live mode + content pipeline GA (keys/budget); Moodle 5.2 cutover; app-shell completion; mobile wrapper decision (the PWA is live — wrappers add app-store presence)</w:t>
            </w:r>
          </w:p>
        </w:tc>
      </w:tr>
      <w:tr>
        <w:tc>
          <w:tcPr>
            <w:tcW w:type="dxa" w:w="220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A1A2E"/>
              </w:rPr>
              <w:t xml:space="preserve">+3 → +6 months</w:t>
            </w:r>
          </w:p>
        </w:tc>
        <w:tc>
          <w:tcPr>
            <w:tcW w:type="dxa" w:w="6826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A1A2E"/>
              </w:rPr>
              <w:t xml:space="preserve">Customer-#2 readiness: demo tenant, packaging and pricing, first external pilot; M365 integration; subscriptions if the monetisation strategy wants it</w:t>
            </w:r>
          </w:p>
        </w:tc>
      </w:tr>
    </w:tbl>
    <w:p>
      <w:pPr>
        <w:pStyle w:val="Heading1"/>
        <w:pBdr>
          <w:bottom w:val="single" w:color="0066A7" w:sz="6" w:space="2"/>
        </w:pBdr>
        <w:spacing w:after="180" w:before="320"/>
      </w:pPr>
      <w:r>
        <w:rPr>
          <w:b/>
          <w:bCs/>
          <w:color w:val="1A1A2E"/>
        </w:rPr>
        <w:t xml:space="preserve">11. Where to look for more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00"/>
        <w:gridCol w:w="4926"/>
      </w:tblGrid>
      <w:tr>
        <w:tc>
          <w:tcPr>
            <w:tcW w:type="dxa" w:w="410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shd w:fill="E8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A1A2E"/>
              </w:rPr>
              <w:t xml:space="preserve">Question</w:t>
            </w:r>
          </w:p>
        </w:tc>
        <w:tc>
          <w:tcPr>
            <w:tcW w:type="dxa" w:w="4926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shd w:fill="E8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A1A2E"/>
              </w:rPr>
              <w:t xml:space="preserve">Document (in the engineering repo)</w:t>
            </w:r>
          </w:p>
        </w:tc>
      </w:tr>
      <w:tr>
        <w:tc>
          <w:tcPr>
            <w:tcW w:type="dxa" w:w="410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A1A2E"/>
              </w:rPr>
              <w:t xml:space="preserve">Why a product, not a patch?</w:t>
            </w:r>
          </w:p>
        </w:tc>
        <w:tc>
          <w:tcPr>
            <w:tcW w:type="dxa" w:w="4926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A1A2E"/>
              </w:rPr>
              <w:t xml:space="preserve">docs/adr/ADR-001 — fork strategy &amp; product pivot</w:t>
            </w:r>
          </w:p>
        </w:tc>
      </w:tr>
      <w:tr>
        <w:tc>
          <w:tcPr>
            <w:tcW w:type="dxa" w:w="410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A1A2E"/>
              </w:rPr>
              <w:t xml:space="preserve">Full capability matrix, all 8 personas, every gap</w:t>
            </w:r>
          </w:p>
        </w:tc>
        <w:tc>
          <w:tcPr>
            <w:tcW w:type="dxa" w:w="4926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A1A2E"/>
              </w:rPr>
              <w:t xml:space="preserve">docs/audits/SENTIENTIA-CAPABILITY-AND-GAP-AUDIT-2026-06-09</w:t>
            </w:r>
          </w:p>
        </w:tc>
      </w:tr>
      <w:tr>
        <w:tc>
          <w:tcPr>
            <w:tcW w:type="dxa" w:w="410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A1A2E"/>
              </w:rPr>
              <w:t xml:space="preserve">White-label proof + what is deliberately kept</w:t>
            </w:r>
          </w:p>
        </w:tc>
        <w:tc>
          <w:tcPr>
            <w:tcW w:type="dxa" w:w="4926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A1A2E"/>
              </w:rPr>
              <w:t xml:space="preserve">docs/WHITELABEL-DEBRAND-LEDGER</w:t>
            </w:r>
          </w:p>
        </w:tc>
      </w:tr>
      <w:tr>
        <w:tc>
          <w:tcPr>
            <w:tcW w:type="dxa" w:w="410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A1A2E"/>
              </w:rPr>
              <w:t xml:space="preserve">Quality-gate design + test coverage</w:t>
            </w:r>
          </w:p>
        </w:tc>
        <w:tc>
          <w:tcPr>
            <w:tcW w:type="dxa" w:w="4926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A1A2E"/>
              </w:rPr>
              <w:t xml:space="preserve">docs/adr/ADR-027 + docs/COVERAGE-MATRIX</w:t>
            </w:r>
          </w:p>
        </w:tc>
      </w:tr>
      <w:tr>
        <w:tc>
          <w:tcPr>
            <w:tcW w:type="dxa" w:w="410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A1A2E"/>
              </w:rPr>
              <w:t xml:space="preserve">Per-persona user guides (8)</w:t>
            </w:r>
          </w:p>
        </w:tc>
        <w:tc>
          <w:tcPr>
            <w:tcW w:type="dxa" w:w="4926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A1A2E"/>
              </w:rPr>
              <w:t xml:space="preserve">docs/user-guides/</w:t>
            </w:r>
          </w:p>
        </w:tc>
      </w:tr>
      <w:tr>
        <w:tc>
          <w:tcPr>
            <w:tcW w:type="dxa" w:w="410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A1A2E"/>
              </w:rPr>
              <w:t xml:space="preserve">From-scratch install (customer-#2 rehearsal)</w:t>
            </w:r>
          </w:p>
        </w:tc>
        <w:tc>
          <w:tcPr>
            <w:tcW w:type="dxa" w:w="4926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A1A2E"/>
              </w:rPr>
              <w:t xml:space="preserve">docs/INSTALL-SENTIENTIA</w:t>
            </w:r>
          </w:p>
        </w:tc>
      </w:tr>
      <w:tr>
        <w:tc>
          <w:tcPr>
            <w:tcW w:type="dxa" w:w="4100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A1A2E"/>
              </w:rPr>
              <w:t xml:space="preserve">Current engineering state (always fresh)</w:t>
            </w:r>
          </w:p>
        </w:tc>
        <w:tc>
          <w:tcPr>
            <w:tcW w:type="dxa" w:w="4926"/>
            <w:tcBorders>
              <w:top w:val="single" w:color="C9D2E0" w:sz="1"/>
              <w:left w:val="single" w:color="C9D2E0" w:sz="1"/>
              <w:bottom w:val="single" w:color="C9D2E0" w:sz="1"/>
              <w:right w:val="single" w:color="C9D2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A1A2E"/>
              </w:rPr>
              <w:t xml:space="preserve">PROJECT-STATE</w:t>
            </w:r>
          </w:p>
        </w:tc>
      </w:tr>
    </w:tbl>
    <w:p>
      <w:pPr>
        <w:spacing w:after="140"/>
      </w:pPr>
      <w:r>
        <w:rPr>
          <w:color w:val="1A1A2E"/>
        </w:rPr>
        <w:t xml:space="preserve"/>
      </w:r>
    </w:p>
    <w:p>
      <w:pPr>
        <w:pBdr>
          <w:top w:val="single" w:color="C9D2E0" w:sz="4" w:space="4"/>
        </w:pBdr>
        <w:spacing w:before="200"/>
      </w:pPr>
      <w:r>
        <w:rPr>
          <w:i/>
          <w:iCs/>
          <w:color w:val="5A6070"/>
          <w:sz w:val="18"/>
          <w:szCs w:val="18"/>
        </w:rPr>
        <w:t xml:space="preserve">Prepared from the live engineering record (PROJECT-STATE, ADRs, audits) as of 10 June 2026. Numbers are from the May-2026 production snapshot and the June-2026 capability audit. Updated 22 October 2026: live and UAT status, ADR count, pipeline status.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A6070"/>
        <w:sz w:val="16"/>
        <w:szCs w:val="16"/>
      </w:rPr>
      <w:t xml:space="preserve">Sentientia LMS — Product Guide · Confidential</w:t>
    </w:r>
    <w:r>
      <w:rPr>
        <w:sz w:val="16"/>
        <w:szCs w:val="16"/>
      </w:rPr>
      <w:t xml:space="preserve">	</w:t>
    </w:r>
    <w:r>
      <w:rPr>
        <w:color w:val="5A607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2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2026-10-22T16:02:51.954Z</dcterms:created>
  <dcterms:modified xsi:type="dcterms:W3CDTF">2026-10-22T16:02:51.956Z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