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b/>
          <w:bCs/>
          <w:color w:val="0066A7"/>
          <w:sz w:val="56"/>
          <w:szCs w:val="56"/>
        </w:rPr>
        <w:t xml:space="preserve">SENTIENTIA LMS</w:t>
      </w:r>
    </w:p>
    <w:p>
      <w:pPr>
        <w:spacing w:after="80"/>
      </w:pPr>
      <w:r>
        <w:rPr>
          <w:color w:val="1A1A2E"/>
          <w:sz w:val="40"/>
          <w:szCs w:val="40"/>
        </w:rPr>
        <w:t xml:space="preserve">Product Guide</w:t>
      </w:r>
    </w:p>
    <w:p>
      <w:pPr>
        <w:pBdr>
          <w:bottom w:val="single" w:color="0066A7" w:sz="8" w:space="6"/>
        </w:pBdr>
        <w:spacing w:after="480"/>
      </w:pPr>
      <w:r>
        <w:rPr>
          <w:color w:val="5A6070"/>
          <w:sz w:val="19"/>
          <w:szCs w:val="19"/>
        </w:rPr>
        <w:t xml:space="preserve">For the Airpay founder &amp; C-suite · Prepared by Nitin Rajput, Head of L&amp;D · 10 June 2026 · v1.0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1. Executive summary</w:t>
      </w:r>
    </w:p>
    <w:p>
      <w:pPr>
        <w:spacing w:after="140"/>
      </w:pPr>
      <w:r>
        <w:rPr>
          <w:b/>
          <w:bCs/>
          <w:color w:val="1A1A2E"/>
        </w:rPr>
        <w:t xml:space="preserve">Sentientia LMS is a white-label, enterprise-grade learning platform that Airpay built for itself — and now owns as a sellable product.</w:t>
      </w:r>
    </w:p>
    <w:p>
      <w:pPr>
        <w:spacing w:after="140"/>
      </w:pPr>
      <w:r>
        <w:rPr>
          <w:color w:val="1A1A2E"/>
        </w:rPr>
        <w:t xml:space="preserve">Eighteen months ago, Airpay’s L&amp;D ran on a heavily customised, vendor-locked deployment. Instead of paying to patch it indefinitely, we forked it, rebuilt it as a product, and made Airpay Academy the product’s first customer (“customer-zero”). Every feature is hardened against our own real-world scale before it is offered to anyone else.</w:t>
      </w:r>
    </w:p>
    <w:p>
      <w:pPr>
        <w:spacing w:after="140"/>
      </w:pPr>
      <w:r>
        <w:rPr>
          <w:b/>
          <w:bCs/>
          <w:color w:val="1A1A2E"/>
        </w:rPr>
        <w:t xml:space="preserve">Where it stands today: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Live in production</w:t>
      </w:r>
      <w:r>
        <w:rPr>
          <w:color w:val="1A1A2E"/>
        </w:rPr>
        <w:t xml:space="preserve"> at airpay.academy serving 3,500+ learners across 3 business units (Airpay internal, Public/consumer, ZEEA Tanzania) — compliance training, exams, certifications, deadline enforcement and manager escalations run on it daily.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The product layer is complete and verified on staging</w:t>
      </w:r>
      <w:r>
        <w:rPr>
          <w:color w:val="1A1A2E"/>
        </w:rPr>
        <w:t xml:space="preserve">: 40 Sentientia plugins, a custom design system, white-label branding, 5 languages, a mobile PWA with push notifications, WhatsApp/SMS nudges, live classroom polling, AI quiz generation, and a payment-enabled public course storefront — all behind feature flags, all version-controlled, all protected by an automated quality system.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The strategic asset</w:t>
      </w:r>
      <w:r>
        <w:rPr>
          <w:color w:val="1A1A2E"/>
        </w:rPr>
        <w:t xml:space="preserve">: any future customer gets the same platform by changing configuration — logo, colours, name, languages, features — with zero code changes. A completed June-2026 white-label audit proves it.</w:t>
      </w:r>
    </w:p>
    <w:p>
      <w:pPr>
        <w:spacing w:after="140"/>
      </w:pPr>
      <w:r>
        <w:rPr>
          <w:b/>
          <w:bCs/>
          <w:color w:val="1A1A2E"/>
        </w:rPr>
        <w:t xml:space="preserve">The decision in front of leadership</w:t>
      </w:r>
      <w:r>
        <w:rPr>
          <w:color w:val="1A1A2E"/>
        </w:rPr>
        <w:t xml:space="preserve"> is no longer “should we build it” — it is built. It is: (1) schedule the production rollout of this quarter’s product layer to airpay.academy, and (2) decide whether and how to take Sentientia to a second customer (packaging, pricing, go-to-market). Section 9 lists the specific asks.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2. Why we built a product instead of patching a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The old situation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What we did about it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Vendor-customised platform with undocumented changes, no test coverage, and licence/IP ambiguity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Forked it, absorbed and de-branded the vendor layer, and took full ownership of all code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Every fix was bespoke money into a cost centre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Every fix is now product engineering: it improves Airpay Academy AND increases the value of an asset Airpay owns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Single-company assumptions hardcoded everywhere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Multi-customer architecture: tenant registry, per-customer branding and feature flags, white-label naming</w:t>
            </w:r>
          </w:p>
        </w:tc>
      </w:tr>
      <w:tr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No safety net — UI bugs found by users</w:t>
            </w:r>
          </w:p>
        </w:tc>
        <w:tc>
          <w:tcPr>
            <w:tcW w:type="dxa" w:w="4513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 four-gate automated quality system wired into every commit and CI run</w:t>
            </w:r>
          </w:p>
        </w:tc>
      </w:tr>
    </w:tbl>
    <w:p>
      <w:pPr>
        <w:spacing w:after="140"/>
      </w:pPr>
      <w:r>
        <w:rPr>
          <w:color w:val="1A1A2E"/>
        </w:rPr>
        <w:t xml:space="preserve"/>
      </w:r>
    </w:p>
    <w:p>
      <w:pPr>
        <w:spacing w:after="140"/>
      </w:pPr>
      <w:r>
        <w:rPr>
          <w:b/>
          <w:bCs/>
          <w:color w:val="1A1A2E"/>
        </w:rPr>
        <w:t xml:space="preserve">Operating principle: </w:t>
      </w:r>
      <w:r>
        <w:rPr>
          <w:color w:val="1A1A2E"/>
        </w:rPr>
        <w:t xml:space="preserve">every architectural decision is made with two customers in mind — Airpay Payment Services today, and a hypothetical Enterprise N tomorrow. Backwards compatibility with Airpay Academy’s live behaviour is non-negotiable; new features ship OFF by default behind flags until deliberately enabled.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3. What Airpay gets from it today</w:t>
      </w:r>
    </w:p>
    <w:p>
      <w:pPr>
        <w:spacing w:after="140"/>
      </w:pPr>
      <w:r>
        <w:rPr>
          <w:color w:val="1A1A2E"/>
        </w:rPr>
        <w:t xml:space="preserve">These are running capabilities, not plans: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Mandatory compliance at scale</w:t>
      </w:r>
      <w:r>
        <w:rPr>
          <w:color w:val="1A1A2E"/>
        </w:rPr>
        <w:t xml:space="preserve"> — POSH, AML and IT-security training with deadlines, automatic learner reminders (7/3/1 days before) and automatic manager escalation when a team member goes overdue (1/7/14 days after). Every nudge is logged for audit — “show me every reminder around Alice’s POSH deadline” is one query.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Exams &amp; certification</w:t>
      </w:r>
      <w:r>
        <w:rPr>
          <w:color w:val="1A1A2E"/>
        </w:rPr>
        <w:t xml:space="preserve"> — proctoring-capable exams with the same reminder/escalation machinery, recompletion cycles for annually-renewed certifications, and branded certificates.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Three tenants, one platform</w:t>
      </w:r>
      <w:r>
        <w:rPr>
          <w:color w:val="1A1A2E"/>
        </w:rPr>
        <w:t xml:space="preserve"> — Airpay internal (HRMS-synced employees, supervisor hierarchy), a Public tenant (self-signup consumers, storefront with cart and Airpay’s own payment gateway), and ZEEA Tanzania (Swahili). Tenant data is isolated; branding adapts per tenant.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Reach learners where they are</w:t>
      </w:r>
      <w:r>
        <w:rPr>
          <w:color w:val="1A1A2E"/>
        </w:rPr>
        <w:t xml:space="preserve"> — email always; web push to phones and desktops (installable PWA, offline-capable); WhatsApp/SMS via DLT-registered templates with TCCCPR-2018/DPDP-2023-compliant consent capture. SMS reaches field staff without data connectivity.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Five languages</w:t>
      </w:r>
      <w:r>
        <w:rPr>
          <w:color w:val="1A1A2E"/>
        </w:rPr>
        <w:t xml:space="preserve"> — English, Hindi (100% parity, enforced by tooling), Marathi, Kannada, Swahili.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Live classroom engagement</w:t>
      </w:r>
      <w:r>
        <w:rPr>
          <w:color w:val="1A1A2E"/>
        </w:rPr>
        <w:t xml:space="preserve"> — a built-in Mentimeter-class tool (polls, quizzes, word clouds, ratings, Q&amp;A, leaderboards) with a real-time projector view and CSV analytics. No external SaaS subscription.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Manager &amp; leadership visibility</w:t>
      </w:r>
      <w:r>
        <w:rPr>
          <w:color w:val="1A1A2E"/>
        </w:rPr>
        <w:t xml:space="preserve"> — role-aware dashboards (learner / manager / L&amp;D admin / site admin), team-overdue views, completion analytics, compliance reports, audit logs.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HRMS-driven user lifecycle</w:t>
      </w:r>
      <w:r>
        <w:rPr>
          <w:color w:val="1A1A2E"/>
        </w:rPr>
        <w:t xml:space="preserve"> — 24-column importer plus scheduled sync; joiners get tenant-branded welcome emails, leavers are deactivated, supervisor changes follow the org tree.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4. The product in numbers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5866"/>
      </w:tblGrid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Metric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Value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Learners on customer-zero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3,500+ across 3 tenants (2,871 accounts / 411 courses in the May-2026 production snapshot)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Product backend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40 sentientia_* plugins + 6 dashboard blocks + subscription enrol + proctoring + payment gateway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Design system / theme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700+ file standalone theme (no upstream dependency), light + dark mode, accessibility-conscious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Languages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5 (English, Hindi, Marathi, Kannada, Swahili) — key-parity enforced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Personas served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8, each with a written user guide (learner, public learner, manager, trainer, course author, compliance officer, L&amp;D admin, site admin)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Mobile-ready APIs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22 read + 14 learner-write endpoints audited mobile-ready; 36 admin endpoints deliberately desktop-only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Quality system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4 gates (static scans → render checks → accessibility → coverage matrix), 15-check pre-commit hook, CI gates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Engineering record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27 Architecture Decision Records; per-plugin state cards; visual evidence required for every UI change</w:t>
            </w:r>
          </w:p>
        </w:tc>
      </w:tr>
      <w:tr>
        <w:tc>
          <w:tcPr>
            <w:tcW w:type="dxa" w:w="31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Platform base</w:t>
            </w:r>
          </w:p>
        </w:tc>
        <w:tc>
          <w:tcPr>
            <w:tcW w:type="dxa" w:w="58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Moodle 5.1.3 open core, PHP 8.3, MySQL/MariaDB; Moodle 5.3 LTS is the next platform target (security support to October 2029): the compatibility fixes are code-complete and its validation gate is still to run; the Moodle 5.2 upgrade was rehearsed and remains the fallback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5. Capability tour (by business pillar)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Learn &amp; comply</w:t>
      </w:r>
    </w:p>
    <w:p>
      <w:pPr>
        <w:spacing w:after="140"/>
      </w:pPr>
      <w:r>
        <w:rPr>
          <w:color w:val="1A1A2E"/>
        </w:rPr>
        <w:t xml:space="preserve">Courses, structured learning paths and programs with target-audience rules and bulk enrolment; SCORM content; exams with open/close windows and proctoring; recompletion cycles; tenant-scoped certificates; compliance reporting and full audit-trail events.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Engage &amp; retain</w:t>
      </w:r>
    </w:p>
    <w:p>
      <w:pPr>
        <w:spacing w:after="140"/>
      </w:pPr>
      <w:r>
        <w:rPr>
          <w:color w:val="1A1A2E"/>
        </w:rPr>
        <w:t xml:space="preserve">Gamification (points, badges, streaks), real-time leaderboards (opt-out respected), challenges, course ratings, Sentientia Live (6 interactive question types, real-time updates, projector mode, session analytics), personalised recommendations, and re-engagement campaigns (“we miss you” rules engine).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Reach (multi-channel delivery)</w:t>
      </w:r>
    </w:p>
    <w:p>
      <w:pPr>
        <w:spacing w:after="140"/>
      </w:pPr>
      <w:r>
        <w:rPr>
          <w:color w:val="1A1A2E"/>
        </w:rPr>
        <w:t xml:space="preserve">Branded email engine with admin-editable, token-based templates and per-tenant overrides; installable PWA with offline fallback and standards-grade web push (our own push implementation — no third-party vendor, no per-message fees); WhatsApp/SMS bridge with DLT template governance, per-user channel preferences and consent logging.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Operate at enterprise scale</w:t>
      </w:r>
    </w:p>
    <w:p>
      <w:pPr>
        <w:spacing w:after="140"/>
      </w:pPr>
      <w:r>
        <w:rPr>
          <w:color w:val="1A1A2E"/>
        </w:rPr>
        <w:t xml:space="preserve">HRMS sync, org hierarchy and tenant registry (configuration, not code), role management, analytics dashboards, lifecycle automation, structured logging, and GDPR/DPDP privacy providers in every plugin (subject-access export and right-to-erasure supported).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Monetise</w:t>
      </w:r>
    </w:p>
    <w:p>
      <w:pPr>
        <w:spacing w:after="140"/>
      </w:pPr>
      <w:r>
        <w:rPr>
          <w:color w:val="1A1A2E"/>
        </w:rPr>
        <w:t xml:space="preserve">Public course storefront (Netflix-style catalog), cart and checkout through Airpay’s own payment gateway (we dogfood our core product), one-click free enrolment for internal staff (flag-gated), and a designed recurring-subscriptions model ready to implement when the business wants it.</w:t>
      </w:r>
    </w:p>
    <w:p>
      <w:pPr>
        <w:pStyle w:val="Heading2"/>
        <w:spacing w:after="120" w:before="220"/>
      </w:pPr>
      <w:r>
        <w:rPr>
          <w:b/>
          <w:bCs/>
          <w:color w:val="0066A7"/>
        </w:rPr>
        <w:t xml:space="preserve">Create content faster</w:t>
      </w:r>
    </w:p>
    <w:p>
      <w:pPr>
        <w:spacing w:after="140"/>
      </w:pPr>
      <w:r>
        <w:rPr>
          <w:color w:val="1A1A2E"/>
        </w:rPr>
        <w:t xml:space="preserve">The SENTIENTIA content pipeline turns an SOP PDF into a SCORM course through six agents: parse → narration → slides → AI voice-over → SCORM package → upload. Built and tested end-to-end in mock/local mode; voice cost is confirm-gated so spend is always deliberate. AI features (quiz generation with 4-layer cost defence, role-aware assistant, translation queue) are demoable today in mock mode and activate fully when we provision an Anthropic API key.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6. The white-label, multi-customer architecture (the moat)</w:t>
      </w:r>
    </w:p>
    <w:p>
      <w:pPr>
        <w:spacing w:after="140"/>
      </w:pPr>
      <w:r>
        <w:rPr>
          <w:color w:val="1A1A2E"/>
        </w:rPr>
        <w:t xml:space="preserve">This is what makes Sentientia sellable rather than “Airpay’s internal tool”: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Feature flags everywhere</w:t>
      </w:r>
      <w:r>
        <w:rPr>
          <w:color w:val="1A1A2E"/>
        </w:rPr>
        <w:t xml:space="preserve"> — every feature defaults OFF and resolves through a 5-level customer/tenant hierarchy. A customer’s deployment enables exactly the surface they bought.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Per-customer branding</w:t>
      </w:r>
      <w:r>
        <w:rPr>
          <w:color w:val="1A1A2E"/>
        </w:rPr>
        <w:t xml:space="preserve"> — logo (light/dark), colours, typography, favicon and app icons resolve from a customer-brand registry consumed by the renderer.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White-label naming, proven</w:t>
      </w:r>
      <w:r>
        <w:rPr>
          <w:color w:val="1A1A2E"/>
        </w:rPr>
        <w:t xml:space="preserve"> — a completed June-2026 audit verified that every rendered customer-name string resolves from configuration. Change the site name and the entire product — login, emails, calendar invites, WhatsApp consent text, push notifications, in five languages — re-skins itself. Product chrome says Sentientia; customer chrome says whatever the customer is called.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Tenants and customers are data, not code</w:t>
      </w:r>
      <w:r>
        <w:rPr>
          <w:color w:val="1A1A2E"/>
        </w:rPr>
        <w:t xml:space="preserve"> — the same instance cleanly hosts multiple business units, and the architecture extends to per-customer trees.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Repeatable install</w:t>
      </w:r>
      <w:r>
        <w:rPr>
          <w:color w:val="1A1A2E"/>
        </w:rPr>
        <w:t xml:space="preserve"> — a from-scratch install guide exists and was validated by wiping and reinstalling our own environment.</w:t>
      </w:r>
    </w:p>
    <w:p>
      <w:pPr>
        <w:spacing w:after="140"/>
      </w:pPr>
      <w:r>
        <w:rPr>
          <w:b/>
          <w:bCs/>
          <w:color w:val="1A1A2E"/>
        </w:rPr>
        <w:t xml:space="preserve">A note on licensing (important for the business model): </w:t>
      </w:r>
      <w:r>
        <w:rPr>
          <w:color w:val="1A1A2E"/>
        </w:rPr>
        <w:t xml:space="preserve">the platform core is GPL-licensed open source, so we do not sell a closed-source licence. We sell what enterprises actually pay for — the hosted/managed platform, implementation, integrations (HRMS, WhatsApp, payments), the content pipeline, SLAs and support, and the Sentientia brand. This is the proven commercial model of the enterprise-Moodle ecosystem. IP protection lives in trademark, content, configuration know-how and operations.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7. Quality, security &amp; compliance posture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Four-gate quality system</w:t>
      </w:r>
      <w:r>
        <w:rPr>
          <w:color w:val="1A1A2E"/>
        </w:rPr>
        <w:t xml:space="preserve"> — static scanners catch recurring bug classes before commit; render checks load every persona × surface and fail on errors; automated accessibility checks fail the build on serious issues; an honest coverage matrix records what is and isn’t tested.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Security</w:t>
      </w:r>
      <w:r>
        <w:rPr>
          <w:color w:val="1A1A2E"/>
        </w:rPr>
        <w:t xml:space="preserve"> — a payment-verification weakness found in inherited gateway code was fixed with a fail-closed verifier and a regression test suite (deployment is sandbox-test-gated — see §9). Pre-commit tooling blocks credentials, unsafe database access and core-file edits; secrets never enter version control.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Privacy &amp; regulatory</w:t>
      </w:r>
      <w:r>
        <w:rPr>
          <w:color w:val="1A1A2E"/>
        </w:rPr>
        <w:t xml:space="preserve"> — GDPR/DPDP privacy providers across plugins; DLT/TCCCPR consent for WhatsApp/SMS with timestamped logging; a DPDP data-fiduciary statement; PII never sent to external AI/voice services (enforced in pipeline rules).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A1A2E"/>
        </w:rPr>
        <w:t xml:space="preserve">Engineering discipline</w:t>
      </w:r>
      <w:r>
        <w:rPr>
          <w:color w:val="1A1A2E"/>
        </w:rPr>
        <w:t xml:space="preserve"> — 27 ADRs, per-plugin state cards, CI on every push, and visual evidence required for every UI change.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8. Honest status: shipped vs staged vs designed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960"/>
        <w:gridCol w:w="2766"/>
      </w:tblGrid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Tier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What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Status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LIVE on airpay.academy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Core LMS, compliance training, exams, 3 tenants, HRMS sync, certificates, dashboards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Serving 3,500+ users now (the pre-product-layer deployment)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BUILT &amp; VERIFIED, awaiting rollout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The full product layer in §3–§7: Sentientia theme + rename, white-label, quality gates, PWA/push, WhatsApp bridge, Live, leaderboards, AI (mock), storefront polish, QA fixes, payment-gateway security fix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On the production git branch, verified on staging with imported production data; needs a scheduled deploy window with IT</w:t>
            </w:r>
          </w:p>
        </w:tc>
      </w:tr>
      <w:tr>
        <w:tc>
          <w:tcPr>
            <w:tcW w:type="dxa" w:w="23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DESIGNED / SCAFFOLDED, switched off</w:t>
            </w:r>
          </w:p>
        </w:tc>
        <w:tc>
          <w:tcPr>
            <w:tcW w:type="dxa" w:w="396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Recurring subscriptions, M365 integration, AI live mode (needs API key), voice pipeline live mode (needs ElevenLabs budget), native mobile wrappers, user-type migration phases 2–5</w:t>
            </w:r>
          </w:p>
        </w:tc>
        <w:tc>
          <w:tcPr>
            <w:tcW w:type="dxa" w:w="276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Activation is a business decision, not an engineering rebuild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9. What’s remaining — and the asks</w:t>
      </w:r>
    </w:p>
    <w:p>
      <w:pPr>
        <w:spacing w:after="140"/>
      </w:pPr>
      <w:r>
        <w:rPr>
          <w:b/>
          <w:bCs/>
          <w:color w:val="1A1A2E"/>
        </w:rPr>
        <w:t xml:space="preserve">A. Ship the product layer to airpay.academy (the single biggest remaining step). </w:t>
      </w:r>
      <w:r>
        <w:rPr>
          <w:color w:val="1A1A2E"/>
        </w:rPr>
        <w:t xml:space="preserve">This quarter’s work is committed, pushed and staging-verified but not deployed to the live server. Deploy automation and a turnkey cutover runbook exist. </w:t>
      </w:r>
      <w:r>
        <w:rPr>
          <w:b/>
          <w:bCs/>
          <w:color w:val="1A1A2E"/>
        </w:rPr>
        <w:t xml:space="preserve">Ask:</w:t>
      </w:r>
      <w:r>
        <w:rPr>
          <w:color w:val="1A1A2E"/>
        </w:rPr>
        <w:t xml:space="preserve"> a scheduled deploy window with IT (file copy → upgrade → cache purge → smoke test) and sign-off on the rollout sequence.</w:t>
      </w:r>
    </w:p>
    <w:p>
      <w:pPr>
        <w:spacing w:after="140"/>
      </w:pPr>
      <w:r>
        <w:rPr>
          <w:b/>
          <w:bCs/>
          <w:color w:val="1A1A2E"/>
        </w:rPr>
        <w:t xml:space="preserve">B. Leadership decisions queued (each is a switch, not a build):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Enable one-click free enrolment per internal tenant (flag exists, default OFF).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Merge the five reviewed QA-fix branches (owner-gated by policy).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Deploy the payment-gateway security fix after one sandbox transaction test.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Pick the Moodle 5.3 cutover window once its validation gate has passed (the 5.2 upgrade is rehearsed and remains the fallback; the platform keeps its current Moodle release until we choose).</w:t>
      </w:r>
    </w:p>
    <w:p>
      <w:pPr>
        <w:spacing w:after="140"/>
      </w:pPr>
      <w:r>
        <w:rPr>
          <w:b/>
          <w:bCs/>
          <w:color w:val="1A1A2E"/>
        </w:rPr>
        <w:t xml:space="preserve">C. Budget asks to activate dormant features: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Anthropic API key → AI quiz generation, AI assistant and translation leave mock mode (cost-defended: caps, caching, per-customer limits).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ElevenLabs budget → the voice-over agent in the content pipeline goes live (~$0.30 per 1,000 characters, confirm-gated per run).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1A1A2E"/>
        </w:rPr>
        <w:t xml:space="preserve">Azure app registration → Microsoft 365 SSO and knowledge integration work begins.</w:t>
      </w:r>
    </w:p>
    <w:p>
      <w:pPr>
        <w:spacing w:after="140"/>
      </w:pPr>
      <w:r>
        <w:rPr>
          <w:b/>
          <w:bCs/>
          <w:color w:val="1A1A2E"/>
        </w:rPr>
        <w:t xml:space="preserve">D. Productization for customer #2 (the go-to-market workstream): </w:t>
      </w:r>
      <w:r>
        <w:rPr>
          <w:color w:val="1A1A2E"/>
        </w:rPr>
        <w:t xml:space="preserve">pricing and packaging, legal/trademark for the Sentientia name, a clean demo tenant, sales collateral (this guide is the first artifact), and a support/SLA model — plus a small engineering tail that makes a second deployment trivial (finish the app-shell rollout on admin pages, complete two placeholder surfaces, per-customer landing/legal-page content, logo-asset plumbing).</w:t>
      </w:r>
    </w:p>
    <w:p>
      <w:pPr>
        <w:spacing w:after="140"/>
      </w:pPr>
      <w:r>
        <w:rPr>
          <w:b/>
          <w:bCs/>
          <w:color w:val="1A1A2E"/>
        </w:rPr>
        <w:t xml:space="preserve">E. Small technical tail (tracked, low risk): </w:t>
      </w:r>
      <w:r>
        <w:rPr>
          <w:color w:val="1A1A2E"/>
        </w:rPr>
        <w:t xml:space="preserve">CI-seeded visual-diff baselines; the documented deferred white-label items; user-type migration phases.</w:t>
      </w:r>
    </w:p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10. Roadmap 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Horizon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Focus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Now → +30 days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Production rollout of the product layer to airpay.academy; flag-enable decisions; payment-fix deploy; visual-diff baselines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+1 → +3 months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AI live mode + content pipeline GA (keys/budget); Moodle 5.3 cutover (after its validation gate); app-shell completion; mobile wrapper decision (the PWA is live — wrappers add app-store presence)</w:t>
            </w:r>
          </w:p>
        </w:tc>
      </w:tr>
      <w:tr>
        <w:tc>
          <w:tcPr>
            <w:tcW w:type="dxa" w:w="22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+3 → +6 months</w:t>
            </w:r>
          </w:p>
        </w:tc>
        <w:tc>
          <w:tcPr>
            <w:tcW w:type="dxa" w:w="68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Customer-#2 readiness: demo tenant, packaging and pricing, first external pilot; M365 integration; subscriptions if the monetisation strategy wants it</w:t>
            </w:r>
          </w:p>
        </w:tc>
      </w:tr>
    </w:tbl>
    <w:p>
      <w:pPr>
        <w:pStyle w:val="Heading1"/>
        <w:pBdr>
          <w:bottom w:val="single" w:color="0066A7" w:sz="6" w:space="2"/>
        </w:pBdr>
        <w:spacing w:after="180" w:before="320"/>
      </w:pPr>
      <w:r>
        <w:rPr>
          <w:b/>
          <w:bCs/>
          <w:color w:val="1A1A2E"/>
        </w:rPr>
        <w:t xml:space="preserve">11. Where to look for more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4926"/>
      </w:tblGrid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Question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shd w:fill="E8F2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1A2E"/>
              </w:rPr>
              <w:t xml:space="preserve">Document (in the engineering repo)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Why a product, not a patch?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docs/adr/ADR-001 — fork strategy &amp; product pivot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Full capability matrix, all 8 personas, every gap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docs/audits/SENTIENTIA-CAPABILITY-AND-GAP-AUDIT-2026-06-09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White-label proof + what is deliberately kept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docs/WHITELABEL-DEBRAND-LEDGER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Quality-gate design + test coverage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docs/adr/ADR-027 + docs/COVERAGE-MATRIX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Per-persona user guides (8)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docs/user-guides/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From-scratch install (customer-#2 rehearsal)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docs/INSTALL-SENTIENTIA</w:t>
            </w:r>
          </w:p>
        </w:tc>
      </w:tr>
      <w:tr>
        <w:tc>
          <w:tcPr>
            <w:tcW w:type="dxa" w:w="4100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Current engineering state (always fresh)</w:t>
            </w:r>
          </w:p>
        </w:tc>
        <w:tc>
          <w:tcPr>
            <w:tcW w:type="dxa" w:w="4926"/>
            <w:tcBorders>
              <w:top w:val="single" w:color="C9D2E0" w:sz="1"/>
              <w:left w:val="single" w:color="C9D2E0" w:sz="1"/>
              <w:bottom w:val="single" w:color="C9D2E0" w:sz="1"/>
              <w:right w:val="single" w:color="C9D2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</w:rPr>
              <w:t xml:space="preserve">PROJECT-STATE</w:t>
            </w:r>
          </w:p>
        </w:tc>
      </w:tr>
    </w:tbl>
    <w:p>
      <w:pPr>
        <w:spacing w:after="140"/>
      </w:pPr>
      <w:r>
        <w:rPr>
          <w:color w:val="1A1A2E"/>
        </w:rPr>
        <w:t xml:space="preserve"/>
      </w:r>
    </w:p>
    <w:p>
      <w:pPr>
        <w:pBdr>
          <w:top w:val="single" w:color="C9D2E0" w:sz="4" w:space="4"/>
        </w:pBdr>
        <w:spacing w:before="200"/>
      </w:pPr>
      <w:r>
        <w:rPr>
          <w:i/>
          <w:iCs/>
          <w:color w:val="5A6070"/>
          <w:sz w:val="18"/>
          <w:szCs w:val="18"/>
        </w:rPr>
        <w:t xml:space="preserve">Prepared from the live engineering record (PROJECT-STATE, ADRs, audits) as of 10 June 2026. Numbers are from the May-2026 production snapshot and the June-2026 capability audit.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A6070"/>
        <w:sz w:val="16"/>
        <w:szCs w:val="16"/>
      </w:rPr>
      <w:t xml:space="preserve">Sentientia LMS — Product Guide · Confidential</w:t>
    </w:r>
    <w:r>
      <w:rPr>
        <w:sz w:val="16"/>
        <w:szCs w:val="16"/>
      </w:rPr>
      <w:t xml:space="preserve">	</w:t>
    </w:r>
    <w:r>
      <w:rPr>
        <w:color w:val="5A607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2026-10-08T03:59:11.949Z</dcterms:created>
  <dcterms:modified xsi:type="dcterms:W3CDTF">2026-10-08T03:59:11.953Z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