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6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6"/>
          <w:szCs w:val="26"/>
        </w:rPr>
        <w:t xml:space="preserve">ENTERPRISE AI CAPABILITY MAPPING</w:t>
      </w:r>
    </w:p>
    <w:p>
      <w:pPr>
        <w:spacing w:after="12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56"/>
          <w:szCs w:val="56"/>
        </w:rPr>
        <w:t xml:space="preserve">AI Insurance Playbook</w:t>
      </w:r>
    </w:p>
    <w:p>
      <w:pPr>
        <w:spacing w:after="40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24"/>
          <w:szCs w:val="24"/>
        </w:rPr>
        <w:t xml:space="preserve">46 AI Use Cases · Architecture · Data · Roadmap · Vendors · ROI · Benchmarking</w:t>
      </w:r>
    </w:p>
    <w:p>
      <w:pPr>
        <w:spacing w:after="6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4"/>
          <w:szCs w:val="24"/>
        </w:rPr>
        <w:t xml:space="preserve">VOLUME 1 — Strategy, Architecture &amp; Frameworks (PDF-aligned)</w:t>
      </w:r>
    </w:p>
    <w:p>
      <w:pPr>
        <w:spacing w:after="50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9"/>
          <w:szCs w:val="19"/>
        </w:rPr>
        <w:t xml:space="preserve">Volume 2 (per-use-case deep-dive profiles, ~140 pp.) generated per the confirmed 46 use-case definitions</w:t>
      </w:r>
    </w:p>
    <w:p>
      <w:pPr>
        <w:spacing w:after="14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375623"/>
          <w:sz w:val="18"/>
          <w:szCs w:val="18"/>
        </w:rPr>
        <w:t xml:space="preserve">Aligned to client source PDF &amp; use-case images 'Insurance Data Project Plan' · August 2026</w:t>
      </w:r>
    </w:p>
    <w:p>
      <w:pPr>
        <w:spacing w:after="14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Note: source PDF header states 8 Health use cases but lists 7 (incl. GTM &amp; MVP 2 milestones); Operations lists 18 rows (1–17 + 2B Automated KYC). 7 + 18 + 21 = 46.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This playbook defines an enterprise AI capability map for a pan-Asian life and health insurer, covering 46 AI initiatives across three domains as defined in the client source PDF: Health (7 listed, incl. the GTM and MVP 2 rollout milestones), Operations (18 listed, rows 1–17 plus 2B Automated KYC), and Agency distribution (21). It provides the business, data, AI/ML and GenAI architectures required to deliver them; a reference data model and source-system landscape; a feature-engineering framework; a vendor and technology-stack view; an ROI and KPI framework; competitive benchmarking against Prudential, AIA, Manulife, Sun Life, Allianz, AXA and Ping An; build-vs-buy recommendations; and a four-wave implementation roadmap (13 quick wins, 20 Phase 1, 9 Phase 2, 4 Phase 3 initiatives). Use-case names and the Health Phase-1 sequencing follow the client source images exactly.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1.1 AI Vision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To become an AI-native life &amp; health insurer where every underwriting, claims, service and distribution decision is augmented by trusted AI — delivering straight-through operations, hyper-personalised customer engagement, a digitally empowered agency force, and a proactive health partnership with every customer, governed end-to-end by a Responsible AI framework.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1.2 Strategic Themes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700"/>
        <w:gridCol w:w="2300"/>
      </w:tblGrid>
      <w:tr>
        <w:tc>
          <w:tcPr>
            <w:tcW w:type="dxa" w:w="23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47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Anchor use cases</w:t>
            </w:r>
          </w:p>
        </w:tc>
      </w:tr>
      <w:tr>
        <w:tc>
          <w:tcPr>
            <w:tcW w:type="dxa" w:w="2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T1 Straight-Through Operations</w:t>
            </w:r>
          </w:p>
        </w:tc>
        <w:tc>
          <w:tcPr>
            <w:tcW w:type="dxa" w:w="4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Automate document-heavy UW, claims and servicing to lift STP and cut unit cost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H1, H4, O1, O2, O2B, O4, O16, O17</w:t>
            </w:r>
          </w:p>
        </w:tc>
      </w:tr>
      <w:tr>
        <w:tc>
          <w:tcPr>
            <w:tcW w:type="dxa" w:w="23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T2 Augmented Distribution</w:t>
            </w:r>
          </w:p>
        </w:tc>
        <w:tc>
          <w:tcPr>
            <w:tcW w:type="dxa" w:w="47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Copilots, NBA and coaching AI that raise agent productivity and share of wallet</w:t>
            </w:r>
          </w:p>
        </w:tc>
        <w:tc>
          <w:tcPr>
            <w:tcW w:type="dxa" w:w="23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A1, A3, A6, A12</w:t>
            </w:r>
          </w:p>
        </w:tc>
      </w:tr>
      <w:tr>
        <w:tc>
          <w:tcPr>
            <w:tcW w:type="dxa" w:w="2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T3 Proactive Health Partner</w:t>
            </w:r>
          </w:p>
        </w:tc>
        <w:tc>
          <w:tcPr>
            <w:tcW w:type="dxa" w:w="4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Risk stratification, wellness and care navigation that bend the claims cost curve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H2, H3, H5</w:t>
            </w:r>
          </w:p>
        </w:tc>
      </w:tr>
      <w:tr>
        <w:tc>
          <w:tcPr>
            <w:tcW w:type="dxa" w:w="23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T4 Trusted &amp; Governed AI</w:t>
            </w:r>
          </w:p>
        </w:tc>
        <w:tc>
          <w:tcPr>
            <w:tcW w:type="dxa" w:w="47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Responsible AI, model risk management and human-in-the-loop as licence to scale</w:t>
            </w:r>
          </w:p>
        </w:tc>
        <w:tc>
          <w:tcPr>
            <w:tcW w:type="dxa" w:w="23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Cross-cutting</w:t>
            </w:r>
          </w:p>
        </w:tc>
      </w:tr>
      <w:tr>
        <w:tc>
          <w:tcPr>
            <w:tcW w:type="dxa" w:w="2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T5 Data &amp; Platform Foundations</w:t>
            </w:r>
          </w:p>
        </w:tc>
        <w:tc>
          <w:tcPr>
            <w:tcW w:type="dxa" w:w="4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Customer 360, MDM, document AI and enterprise RAG as multipliers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O3, O6, H6–H7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1.3 Where the Market Is (mid-2026)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Allianz leads the 2026 Evident AI Index of 30 insurers, with the industry's largest AI talent pool and agentic claims automation (Project Nemo) in production with human-in-the-loop.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Ping An claims 100% AI coverage of core P&amp;C business scenarios and 93% automated new vehicle policy issuance (6 minutes down to 1.2), the deepest end-to-end deployment among peers.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Manulife has set an explicit US$1B enterprise-value target from AI by 2027 (US$300M realised at end-2025), pairing 30,000+ Copilot seats with an agent-governance control plane.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Prudential and AIA are converting GenAI into agency-force advantage: GenAI performance coaching (PruAction), advisor Q&amp;A assistants, recruitment programmes and AI pre-underwriting.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competitive lesson: leaders industrialised the platform (secure LLM access, RAG, governance) first, then scaled dozens of use cases on top of it. This playbook follows that pattern.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Business Architecture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business architecture organises the insurer into value streams and Level-1/Level-2 capabilities, then maps each of the 46 AI initiatives to the capability it transforms. This ensures AI investment lands on the operating model, not beside it.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2.1 Value Streams and Capability Map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3200"/>
      </w:tblGrid>
      <w:tr>
        <w:tc>
          <w:tcPr>
            <w:tcW w:type="dxa" w:w="2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 stream</w:t>
            </w:r>
          </w:p>
        </w:tc>
        <w:tc>
          <w:tcPr>
            <w:tcW w:type="dxa" w:w="3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Level-2 business capabilities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AI initiatives (IDs)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Develop &amp; Price Products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Product design; pricing &amp; actuarial; illustrations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O8, O10, A5</w:t>
            </w:r>
          </w:p>
        </w:tc>
      </w:tr>
      <w:tr>
        <w:tc>
          <w:tcPr>
            <w:tcW w:type="dxa" w:w="22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Acquire Customers</w:t>
            </w:r>
          </w:p>
        </w:tc>
        <w:tc>
          <w:tcPr>
            <w:tcW w:type="dxa" w:w="39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Campaigns &amp; lead-gen; pre-sales; pitch; funnel; deal scoring</w:t>
            </w:r>
          </w:p>
        </w:tc>
        <w:tc>
          <w:tcPr>
            <w:tcW w:type="dxa" w:w="32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A1, A2, A3, A4, A6, A14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Onboard &amp; Underwrite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KYC; document &amp; data extraction; risk scoring; UW decisions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H1, H3, O1, O2, O2B, O4</w:t>
            </w:r>
          </w:p>
        </w:tc>
      </w:tr>
      <w:tr>
        <w:tc>
          <w:tcPr>
            <w:tcW w:type="dxa" w:w="22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Service Policies</w:t>
            </w:r>
          </w:p>
        </w:tc>
        <w:tc>
          <w:tcPr>
            <w:tcW w:type="dxa" w:w="39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Self-service; routing; live coaching; ops copilot; reactive servicing</w:t>
            </w:r>
          </w:p>
        </w:tc>
        <w:tc>
          <w:tcPr>
            <w:tcW w:type="dxa" w:w="32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O11, O12, O13, O14, A10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Manage Claims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FWA detection; decision automation; adjudication; guided handling; provider analytics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H2, H4, H5, O16, O17</w:t>
            </w:r>
          </w:p>
        </w:tc>
      </w:tr>
      <w:tr>
        <w:tc>
          <w:tcPr>
            <w:tcW w:type="dxa" w:w="22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Manage Distribution</w:t>
            </w:r>
          </w:p>
        </w:tc>
        <w:tc>
          <w:tcPr>
            <w:tcW w:type="dxa" w:w="39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Agent/banca helpdesk; coaching; nudges; NBA; profiling; recruitment; training; compensation; performance</w:t>
            </w:r>
          </w:p>
        </w:tc>
        <w:tc>
          <w:tcPr>
            <w:tcW w:type="dxa" w:w="32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O6, A8, A11, A12, A13, A15, A16, A17, A18, A19, A20, A21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Manage Customers &amp; Retention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In-flow agent suggestions; renewals; behaviour prediction; segmentation; proactive service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O5, O9, O15, A7, A9</w:t>
            </w:r>
          </w:p>
        </w:tc>
      </w:tr>
      <w:tr>
        <w:tc>
          <w:tcPr>
            <w:tcW w:type="dxa" w:w="22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Enterprise Enablement</w:t>
            </w:r>
          </w:p>
        </w:tc>
        <w:tc>
          <w:tcPr>
            <w:tcW w:type="dxa" w:w="39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Data quality; partner/client/case value ranking; GTM &amp; MVP-2 programme waves</w:t>
            </w:r>
          </w:p>
        </w:tc>
        <w:tc>
          <w:tcPr>
            <w:tcW w:type="dxa" w:w="32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O3, O7, H6, H7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2.2 Operating-Model Implications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Hub-and-spoke AI organisation: a central AI Centre of Enablement (platform, governance, reusable services — document AI, RAG, MLOps) with federated squads embedded in Health, Operations and Agency.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Product-oriented delivery: each initiative is owned by a business product owner with a persistent squad; models are products with lifecycle funding, not projects.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Human-in-the-loop by design: every automated decision class (UW, claims, conduct) defines referral thresholds, override rights and audit trails before go-live.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Value tracking: each initiative carries a benefits case registered with Finance; realised value is measured against the KPI framework in Section 11 (the Manulife pattern of a published enterprise value target is recommended).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Data Architecture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target data architecture is a governed lakehouse with domain-oriented data products, feeding both analytical ML and low-latency operational AI, plus an unstructured-content pipeline for the document- and language-heavy use cases that dominate this portfolio.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3.1 Layered Target Architecture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3800"/>
      </w:tblGrid>
      <w:tr>
        <w:tc>
          <w:tcPr>
            <w:tcW w:type="dxa" w:w="1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8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Representative technology options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Sources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Core admin, claims, CRM/SFA, finance, telephony, digital, external feeds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PAS, claims platform, CRM, martech, CTI, wearables APIs</w:t>
            </w:r>
          </w:p>
        </w:tc>
      </w:tr>
      <w:tr>
        <w:tc>
          <w:tcPr>
            <w:tcW w:type="dxa" w:w="19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Ingestion</w:t>
            </w:r>
          </w:p>
        </w:tc>
        <w:tc>
          <w:tcPr>
            <w:tcW w:type="dxa" w:w="36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Batch CDC + streaming events + document capture</w:t>
            </w:r>
          </w:p>
        </w:tc>
        <w:tc>
          <w:tcPr>
            <w:tcW w:type="dxa" w:w="38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Kafka/Event Hubs, Fivetran/ADF/Glue, capture services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Lakehouse storage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Bronze (raw) / Silver (conformed) / Gold (data products)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Delta Lake or Iceberg on ADLS/S3; Databricks, Snowflake</w:t>
            </w:r>
          </w:p>
        </w:tc>
      </w:tr>
      <w:tr>
        <w:tc>
          <w:tcPr>
            <w:tcW w:type="dxa" w:w="19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Semantic &amp; serving</w:t>
            </w:r>
          </w:p>
        </w:tc>
        <w:tc>
          <w:tcPr>
            <w:tcW w:type="dxa" w:w="36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Curated marts, feature store, vector store, low-latency APIs</w:t>
            </w:r>
          </w:p>
        </w:tc>
        <w:tc>
          <w:tcPr>
            <w:tcW w:type="dxa" w:w="38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Feature store (Feast/Databricks), vector DB, GraphQL/REST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Consumption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ML training/inference, GenAI/RAG, BI, operational apps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MLOps platform, LLM gateway, BI tools, workflow engines</w:t>
            </w:r>
          </w:p>
        </w:tc>
      </w:tr>
      <w:tr>
        <w:tc>
          <w:tcPr>
            <w:tcW w:type="dxa" w:w="19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Governance (cross-cutting)</w:t>
            </w:r>
          </w:p>
        </w:tc>
        <w:tc>
          <w:tcPr>
            <w:tcW w:type="dxa" w:w="36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Catalog, lineage, quality, privacy, access control, retention</w:t>
            </w:r>
          </w:p>
        </w:tc>
        <w:tc>
          <w:tcPr>
            <w:tcW w:type="dxa" w:w="38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Unity Catalog/Purview/Collibra; DQ monitors; consent registry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3.2 Data Domains and Data Products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Nine data domains carry the portfolio: Customer &amp; Household, Policy, Claims, Product &amp; Rates, Provider &amp; Network, Agent &amp; Distribution, Payments &amp; Commissions, Interaction &amp; Engagement, and Reference &amp; External. Each publishes governed data products (e.g., Customer-360 profile, Claims history mart, Agent activity mart, Medical document corpus) with owners, SLAs, quality scores and documented consumers — the 46 initiatives are the consumer registry.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3.3 Unstructured Content Pipeline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Capture → classify → OCR/parse → extract entities → validate → index: a single document AI pipeline serving H1, O1, O2, O2B and O16 rather than per-project silos.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All extracted content lands with source lineage and confidence scores; low-confidence fields route to human verification queues that also generate training labels.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Chunked, embedded and permission-tagged content feeds the enterprise vector store used by every RAG use case (O6, O11, O14, A6).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3.4 Data Governance and Privacy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Consent and purpose-of-use registry enforced at query time, critical for health/wellness data (H5, H7) and live-audio coaching use cases (O13, A8, A18).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PII tokenisation in analytical zones; role- and attribute-based access; regional data-residency controls for multi-market deployment.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Model-facing data contracts: each initiative declares required tables, freshness and quality thresholds (Workbook Sheet 6 is the seed of this contract register).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Reference Data Model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 conceptual insurance data model (aligned to industry models such as ACORD/IAA patterns) anchors integration. Core subject areas and key entities: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00"/>
      </w:tblGrid>
      <w:tr>
        <w:tc>
          <w:tcPr>
            <w:tcW w:type="dxa" w:w="18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Subject area</w:t>
            </w:r>
          </w:p>
        </w:tc>
        <w:tc>
          <w:tcPr>
            <w:tcW w:type="dxa" w:w="4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Core entities</w:t>
            </w:r>
          </w:p>
        </w:tc>
        <w:tc>
          <w:tcPr>
            <w:tcW w:type="dxa" w:w="35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relationships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Party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Customer, Household, Agent, Provider, Beneficiary, Employer, Partner/Bank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Party ↔ Role ↔ Agreement; Household groups Customers</w:t>
            </w:r>
          </w:p>
        </w:tc>
      </w:tr>
      <w:tr>
        <w:tc>
          <w:tcPr>
            <w:tcW w:type="dxa" w:w="18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Agreement</w:t>
            </w:r>
          </w:p>
        </w:tc>
        <w:tc>
          <w:tcPr>
            <w:tcW w:type="dxa" w:w="40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Application, Policy, Coverage/Benefit, Rider, Reinsurance Cession</w:t>
            </w:r>
          </w:p>
        </w:tc>
        <w:tc>
          <w:tcPr>
            <w:tcW w:type="dxa" w:w="35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Policy has Coverages; Application precedes Policy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Claim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Claim, Claim Line Item, Diagnosis, Procedure, Investigation, Payment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Claim ↔ Policy ↔ Coverage; Lines reference Provider &amp; Codes</w:t>
            </w:r>
          </w:p>
        </w:tc>
      </w:tr>
      <w:tr>
        <w:tc>
          <w:tcPr>
            <w:tcW w:type="dxa" w:w="18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Product</w:t>
            </w:r>
          </w:p>
        </w:tc>
        <w:tc>
          <w:tcPr>
            <w:tcW w:type="dxa" w:w="40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Product, Plan, Rate Table, Clause, Illustration Template</w:t>
            </w:r>
          </w:p>
        </w:tc>
        <w:tc>
          <w:tcPr>
            <w:tcW w:type="dxa" w:w="35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Product defines Coverages and Rates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Money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Premium, Payment, Commission, Fee, Refund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Payments settle Premiums; Commissions accrue to Agents</w:t>
            </w:r>
          </w:p>
        </w:tc>
      </w:tr>
      <w:tr>
        <w:tc>
          <w:tcPr>
            <w:tcW w:type="dxa" w:w="18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Event &amp; Interaction</w:t>
            </w:r>
          </w:p>
        </w:tc>
        <w:tc>
          <w:tcPr>
            <w:tcW w:type="dxa" w:w="40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Interaction, Service Request, Complaint, Digital Event, Life Event</w:t>
            </w:r>
          </w:p>
        </w:tc>
        <w:tc>
          <w:tcPr>
            <w:tcW w:type="dxa" w:w="35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Events attach to Party and Agreement timelines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Content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Document, Medical Document, Knowledge Article, Template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Content links to Party/Agreement/Claim with lineage</w:t>
            </w:r>
          </w:p>
        </w:tc>
      </w:tr>
      <w:tr>
        <w:tc>
          <w:tcPr>
            <w:tcW w:type="dxa" w:w="18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Reference</w:t>
            </w:r>
          </w:p>
        </w:tc>
        <w:tc>
          <w:tcPr>
            <w:tcW w:type="dxa" w:w="40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ICD/procedure codes, Occupation, Geography, Watchlists, Tariffs</w:t>
            </w:r>
          </w:p>
        </w:tc>
        <w:tc>
          <w:tcPr>
            <w:tcW w:type="dxa" w:w="35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Consumed enterprise-wide via code-set services</w:t>
            </w: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Master data management operates on Customer, Product, Agent and Provider (golden records via probabilistic matching — initiative O17), with survivorship rules, stewardship workflow, and identifiers propagated to every downstream data product.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Required Source Systems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00"/>
      </w:tblGrid>
      <w:tr>
        <w:tc>
          <w:tcPr>
            <w:tcW w:type="dxa" w:w="2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System class</w:t>
            </w:r>
          </w:p>
        </w:tc>
        <w:tc>
          <w:tcPr>
            <w:tcW w:type="dxa" w:w="35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Feeds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Consuming initiative clusters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Policy Administration System(s)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Policies, coverages, endorsements, status history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UW, servicing, renewals, NBA (most initiatives)</w:t>
            </w:r>
          </w:p>
        </w:tc>
      </w:tr>
      <w:tr>
        <w:tc>
          <w:tcPr>
            <w:tcW w:type="dxa" w:w="26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Claims Management System</w:t>
            </w:r>
          </w:p>
        </w:tc>
        <w:tc>
          <w:tcPr>
            <w:tcW w:type="dxa" w:w="35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Claims, line items, adjudication, payments</w:t>
            </w:r>
          </w:p>
        </w:tc>
        <w:tc>
          <w:tcPr>
            <w:tcW w:type="dxa" w:w="32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H2, H4, H5, O16, O17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CRM / SFA &amp; Agency Portal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Leads, activities, pipeline, agent hierarchy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A1–A4, A11–A15, A20, A21</w:t>
            </w:r>
          </w:p>
        </w:tc>
      </w:tr>
      <w:tr>
        <w:tc>
          <w:tcPr>
            <w:tcW w:type="dxa" w:w="26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New Business &amp; UW Workbench</w:t>
            </w:r>
          </w:p>
        </w:tc>
        <w:tc>
          <w:tcPr>
            <w:tcW w:type="dxa" w:w="35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Applications, requirements, decisions</w:t>
            </w:r>
          </w:p>
        </w:tc>
        <w:tc>
          <w:tcPr>
            <w:tcW w:type="dxa" w:w="32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H3, O2, O4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Document Management (ECM)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All inbound/outbound documents &amp; images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H1, O1, O2, O2B, O16</w:t>
            </w:r>
          </w:p>
        </w:tc>
      </w:tr>
      <w:tr>
        <w:tc>
          <w:tcPr>
            <w:tcW w:type="dxa" w:w="26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Contact Centre / CTI &amp; Recordings</w:t>
            </w:r>
          </w:p>
        </w:tc>
        <w:tc>
          <w:tcPr>
            <w:tcW w:type="dxa" w:w="35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Calls, transcripts, dispositions</w:t>
            </w:r>
          </w:p>
        </w:tc>
        <w:tc>
          <w:tcPr>
            <w:tcW w:type="dxa" w:w="32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O11, O13, A8, A18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Finance / Billing / Commissions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Premiums, payments, commissions, clawbacks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O9, O15, A19</w:t>
            </w:r>
          </w:p>
        </w:tc>
      </w:tr>
      <w:tr>
        <w:tc>
          <w:tcPr>
            <w:tcW w:type="dxa" w:w="26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Martech / Campaign Platform</w:t>
            </w:r>
          </w:p>
        </w:tc>
        <w:tc>
          <w:tcPr>
            <w:tcW w:type="dxa" w:w="35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Campaigns, segments, responses, content</w:t>
            </w:r>
          </w:p>
        </w:tc>
        <w:tc>
          <w:tcPr>
            <w:tcW w:type="dxa" w:w="32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A2, A7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LMS / HR systems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Training, certifications, recruitment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A16, A17, A13</w:t>
            </w:r>
          </w:p>
        </w:tc>
      </w:tr>
      <w:tr>
        <w:tc>
          <w:tcPr>
            <w:tcW w:type="dxa" w:w="26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Wellness / Health Platform</w:t>
            </w:r>
          </w:p>
        </w:tc>
        <w:tc>
          <w:tcPr>
            <w:tcW w:type="dxa" w:w="35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Wearables, program participation (MVP-2 wave)</w:t>
            </w:r>
          </w:p>
        </w:tc>
        <w:tc>
          <w:tcPr>
            <w:tcW w:type="dxa" w:w="32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H7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Provider Network System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Provider master, contracts, tariffs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H2, H5, O7</w:t>
            </w:r>
          </w:p>
        </w:tc>
      </w:tr>
      <w:tr>
        <w:tc>
          <w:tcPr>
            <w:tcW w:type="dxa" w:w="26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Compliance / Screening</w:t>
            </w:r>
          </w:p>
        </w:tc>
        <w:tc>
          <w:tcPr>
            <w:tcW w:type="dxa" w:w="35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Watchlists, alerts, cases</w:t>
            </w:r>
          </w:p>
        </w:tc>
        <w:tc>
          <w:tcPr>
            <w:tcW w:type="dxa" w:w="32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O2B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External data services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e-health records, market/competitor rates, bureau, sanctions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H3, H7, O10, O2B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AI/ML Architecture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6.1 Platform Blueprint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Experimentation: governed workspaces (notebooks, AutoML) reading Gold data products and the feature store; experiment tracking (MLflow) mandatory.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Feature store: offline (training) and online (low-latency serving) parity for the propensity, lapse, fraud and NBA model families; features are owned, documented, and reused across initiatives (Section 9).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Training &amp; registry: pipeline-based training (CI/CD for models), model registry with lineage to data, code and approval records.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Serving: batch scoring for campaign-style use cases (A1, A5, A14); real-time APIs for in-flow decisions (H2, H3, O5, A2); embedded scoring in workflow engines for agentic orchestration (O6, O9).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Monitoring: data drift, performance decay, fairness metrics, and business-KPI telemetry feeding the ROI framework; champion–challenger as standard.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Model risk management: three-lines model — development standards (1st), independent validation (2nd), audit (3rd); materiality-tiered review depth; regulator-ready documentation (e.g., HK IA GenAI sandbox and MAS FEAT-style expectations).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6.2 Model Family Coverage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46 initiatives resolve to nine model families (Workbook Sheet 7): classification (risk, fraud, propensity, churn), regression/forecasting (claims cost, volumes, commissions), recommendation (NBA, cross-sell, wellness), clustering/segmentation, NLP (medical, complaints, voice), computer vision/OCR, GenAI/LLM, RAG, and agentic AI. Platform investment is prioritised by family reuse: classification and GenAI/RAG each serve roughly half the portfolio.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GenAI Architecture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7.1 Reference Stack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3600"/>
      </w:tblGrid>
      <w:tr>
        <w:tc>
          <w:tcPr>
            <w:tcW w:type="dxa" w:w="21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Design decisions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LLM gateway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Single secure entry to all models; auth, quotas, logging, PII redaction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AXA Secure GPT pattern: one governed door, many models</w:t>
            </w:r>
          </w:p>
        </w:tc>
      </w:tr>
      <w:tr>
        <w:tc>
          <w:tcPr>
            <w:tcW w:type="dxa" w:w="21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Model portfolio</w:t>
            </w:r>
          </w:p>
        </w:tc>
        <w:tc>
          <w:tcPr>
            <w:tcW w:type="dxa" w:w="36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Frontier APIs (e.g., Claude, GPT, Gemini) + smaller hosted models</w:t>
            </w:r>
          </w:p>
        </w:tc>
        <w:tc>
          <w:tcPr>
            <w:tcW w:type="dxa" w:w="36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Route by task risk/cost; no single-vendor lock-in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RAG services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Chunking, embeddings, hybrid retrieval, permission filtering, citation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Mandatory citations for UW/claims answers (Allianz BRIAN pattern)</w:t>
            </w:r>
          </w:p>
        </w:tc>
      </w:tr>
      <w:tr>
        <w:tc>
          <w:tcPr>
            <w:tcW w:type="dxa" w:w="21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Prompt &amp; template registry</w:t>
            </w:r>
          </w:p>
        </w:tc>
        <w:tc>
          <w:tcPr>
            <w:tcW w:type="dxa" w:w="36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Versioned prompts, approved clause libraries, evaluation sets</w:t>
            </w:r>
          </w:p>
        </w:tc>
        <w:tc>
          <w:tcPr>
            <w:tcW w:type="dxa" w:w="36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Prompts governed like code with owners and tests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Agent framework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Tool-calling, multi-agent orchestration, human checkpoints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Agent registry + control plane (Manulife/Agent 365 pattern)</w:t>
            </w:r>
          </w:p>
        </w:tc>
      </w:tr>
      <w:tr>
        <w:tc>
          <w:tcPr>
            <w:tcW w:type="dxa" w:w="21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Evaluation &amp; guardrails</w:t>
            </w:r>
          </w:p>
        </w:tc>
        <w:tc>
          <w:tcPr>
            <w:tcW w:type="dxa" w:w="36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Groundedness, toxicity, leakage, jailbreak testing; confidence scoring</w:t>
            </w:r>
          </w:p>
        </w:tc>
        <w:tc>
          <w:tcPr>
            <w:tcW w:type="dxa" w:w="36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Pre-release eval gates; production sampling review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Full traces of prompts, retrievals, tool calls, human overrides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Required for audit and incident forensics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7.2 GenAI Use-Case Patterns in this Portfolio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Summarise-and-cite: medical summaries (H1, O1), claim evidence summaries (O16), pre-sales customer briefings (A3).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Retrieve-and-answer: agent/banca helpdesk (O6), customer self-service (O11), servicing-staff support (O14), pre-pitch support (A6).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Draft-for-approval: reactive-servicing responses (A10), personalised nudges (A11, A15), intervention plans (A21) — always human-approved where customer-facing or conduct-relevant.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Orchestrate-with-checkpoints: guided claims handling (O17), decision automation (H4), smart routing (O12) with explicit human-in-the-loop gates and full audit trails.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8. Feature Engineering Framework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Features are treated as shared enterprise assets. Ten reusable feature groups cover most of the predictive portfolio: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100"/>
      </w:tblGrid>
      <w:tr>
        <w:tc>
          <w:tcPr>
            <w:tcW w:type="dxa" w:w="2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 group</w:t>
            </w:r>
          </w:p>
        </w:tc>
        <w:tc>
          <w:tcPr>
            <w:tcW w:type="dxa" w:w="38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 features</w:t>
            </w:r>
          </w:p>
        </w:tc>
        <w:tc>
          <w:tcPr>
            <w:tcW w:type="dxa" w:w="21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Consuming initiatives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Customer demographics &amp; household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Age band, life stage, household size/value, occupation class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A1, A2, A7, H3</w:t>
            </w:r>
          </w:p>
        </w:tc>
      </w:tr>
      <w:tr>
        <w:tc>
          <w:tcPr>
            <w:tcW w:type="dxa" w:w="24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Policy &amp; holdings</w:t>
            </w:r>
          </w:p>
        </w:tc>
        <w:tc>
          <w:tcPr>
            <w:tcW w:type="dxa" w:w="38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Product mix, coverage gaps vs peer, tenure, rider density</w:t>
            </w:r>
          </w:p>
        </w:tc>
        <w:tc>
          <w:tcPr>
            <w:tcW w:type="dxa" w:w="21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A1, A9, O9, O15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Payment behaviour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Days-late distribution, method changes, dishonour count, premium/income ratio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O9, O15, A9, A11</w:t>
            </w:r>
          </w:p>
        </w:tc>
      </w:tr>
      <w:tr>
        <w:tc>
          <w:tcPr>
            <w:tcW w:type="dxa" w:w="24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Claims history</w:t>
            </w:r>
          </w:p>
        </w:tc>
        <w:tc>
          <w:tcPr>
            <w:tcW w:type="dxa" w:w="38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Frequency/severity by cause, provider mix, time-since-claim</w:t>
            </w:r>
          </w:p>
        </w:tc>
        <w:tc>
          <w:tcPr>
            <w:tcW w:type="dxa" w:w="21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H2, H3, H5, O16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Medical &amp; health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Extracted ICD history, biometric bands, wellness engagement score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H1, H3, O1, O2</w:t>
            </w:r>
          </w:p>
        </w:tc>
      </w:tr>
      <w:tr>
        <w:tc>
          <w:tcPr>
            <w:tcW w:type="dxa" w:w="24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Interaction &amp; sentiment</w:t>
            </w:r>
          </w:p>
        </w:tc>
        <w:tc>
          <w:tcPr>
            <w:tcW w:type="dxa" w:w="38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Contact recency/frequency, complaint flags, sentiment trajectory</w:t>
            </w:r>
          </w:p>
        </w:tc>
        <w:tc>
          <w:tcPr>
            <w:tcW w:type="dxa" w:w="21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O13, O15, A9, A10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Digital behaviour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Portal/app usage, quote abandonment, content engagement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A1, A2, A4, O15</w:t>
            </w:r>
          </w:p>
        </w:tc>
      </w:tr>
      <w:tr>
        <w:tc>
          <w:tcPr>
            <w:tcW w:type="dxa" w:w="24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Agent &amp; distribution</w:t>
            </w:r>
          </w:p>
        </w:tc>
        <w:tc>
          <w:tcPr>
            <w:tcW w:type="dxa" w:w="38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Activity rates, conversion funnel, book persistency, tenure/cohort</w:t>
            </w:r>
          </w:p>
        </w:tc>
        <w:tc>
          <w:tcPr>
            <w:tcW w:type="dxa" w:w="21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A12, A13, A14, A15, A20, A21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Network/graph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Shared attributes (address, device, bank), provider-referral centrality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H2, H5, O7</w:t>
            </w:r>
          </w:p>
        </w:tc>
      </w:tr>
      <w:tr>
        <w:tc>
          <w:tcPr>
            <w:tcW w:type="dxa" w:w="24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Temporal/seasonal</w:t>
            </w:r>
          </w:p>
        </w:tc>
        <w:tc>
          <w:tcPr>
            <w:tcW w:type="dxa" w:w="38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Renewal cycles, campaign calendar, macro indices</w:t>
            </w:r>
          </w:p>
        </w:tc>
        <w:tc>
          <w:tcPr>
            <w:tcW w:type="dxa" w:w="21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O8, O9, O10, O12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Every feature has an owner, definition, lineage, refresh SLA and privacy classification in the feature catalog.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Point-in-time correctness is enforced for all training sets to prevent leakage (especially renewals, behaviour prediction, fraud).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Document- and LLM-derived features (e.g., extracted risk indicators from H1/O1) enter the same store with confidence metadata.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9. Vendor Landscape &amp; Technology Stack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9.1 Vendor Landscape by Category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200"/>
        <w:gridCol w:w="2800"/>
      </w:tblGrid>
      <w:tr>
        <w:tc>
          <w:tcPr>
            <w:tcW w:type="dxa" w:w="23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Representative vendors (illustrative, 2026)</w:t>
            </w:r>
          </w:p>
        </w:tc>
        <w:tc>
          <w:tcPr>
            <w:tcW w:type="dxa" w:w="28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Cloud &amp; lakehouse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Azure, AWS, GCP; Databricks, Snowflake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Most peer insurers anchor on one hyperscaler (AXA/Manulife: Microsoft)</w:t>
            </w:r>
          </w:p>
        </w:tc>
      </w:tr>
      <w:tr>
        <w:tc>
          <w:tcPr>
            <w:tcW w:type="dxa" w:w="23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Frontier LLMs</w:t>
            </w:r>
          </w:p>
        </w:tc>
        <w:tc>
          <w:tcPr>
            <w:tcW w:type="dxa" w:w="42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Anthropic Claude, OpenAI GPT, Google Gemini</w:t>
            </w:r>
          </w:p>
        </w:tc>
        <w:tc>
          <w:tcPr>
            <w:tcW w:type="dxa" w:w="28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Allianz–Anthropic and AXA/Manulife–Microsoft partnerships set the pattern</w:t>
            </w:r>
          </w:p>
        </w:tc>
      </w:tr>
      <w:tr>
        <w:tc>
          <w:tcPr>
            <w:tcW w:type="dxa" w:w="2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Document AI / IDP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Azure Document Intelligence, Google DocAI, ABBYY, Hyperscience, Instabase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Core for H1, O1, O2, O2B</w:t>
            </w:r>
          </w:p>
        </w:tc>
      </w:tr>
      <w:tr>
        <w:tc>
          <w:tcPr>
            <w:tcW w:type="dxa" w:w="23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Insurance UW/claims AI</w:t>
            </w:r>
          </w:p>
        </w:tc>
        <w:tc>
          <w:tcPr>
            <w:tcW w:type="dxa" w:w="42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Sapiens, EIS, FINEOS, Shift Technology, FRISS, EvolutionIQ (Prudential partner)</w:t>
            </w:r>
          </w:p>
        </w:tc>
        <w:tc>
          <w:tcPr>
            <w:tcW w:type="dxa" w:w="28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Fraud (H2) and claims-guidance (O16, O17) specialists</w:t>
            </w:r>
          </w:p>
        </w:tc>
      </w:tr>
      <w:tr>
        <w:tc>
          <w:tcPr>
            <w:tcW w:type="dxa" w:w="2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Health/medical AI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Qumata (AIA partner), Lydia AI, ExamOne/clinical data networks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Digital health risk scoring for H3</w:t>
            </w:r>
          </w:p>
        </w:tc>
      </w:tr>
      <w:tr>
        <w:tc>
          <w:tcPr>
            <w:tcW w:type="dxa" w:w="23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Agent enablement</w:t>
            </w:r>
          </w:p>
        </w:tc>
        <w:tc>
          <w:tcPr>
            <w:tcW w:type="dxa" w:w="42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Vymo (AIA partner), Salesforce FSC, Microsoft D365, homegrown copilots</w:t>
            </w:r>
          </w:p>
        </w:tc>
        <w:tc>
          <w:tcPr>
            <w:tcW w:type="dxa" w:w="28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A-domain SFA + coaching</w:t>
            </w:r>
          </w:p>
        </w:tc>
      </w:tr>
      <w:tr>
        <w:tc>
          <w:tcPr>
            <w:tcW w:type="dxa" w:w="2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Speech &amp; CCAI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NICE, Genesys, Google CCAI, Uniphore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O13, A8, A18 real-time voice</w:t>
            </w:r>
          </w:p>
        </w:tc>
      </w:tr>
      <w:tr>
        <w:tc>
          <w:tcPr>
            <w:tcW w:type="dxa" w:w="23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MLOps &amp; governance</w:t>
            </w:r>
          </w:p>
        </w:tc>
        <w:tc>
          <w:tcPr>
            <w:tcW w:type="dxa" w:w="42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Databricks/MLflow, SageMaker, Vertex, Fiddler, Arthur, Credo AI</w:t>
            </w:r>
          </w:p>
        </w:tc>
        <w:tc>
          <w:tcPr>
            <w:tcW w:type="dxa" w:w="28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Model risk &amp; responsible AI tooling</w:t>
            </w:r>
          </w:p>
        </w:tc>
      </w:tr>
      <w:tr>
        <w:tc>
          <w:tcPr>
            <w:tcW w:type="dxa" w:w="2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Vector/RAG infra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pgvector, Pinecone, Elastic, Azure AI Search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Enterprise retrieval layer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9.2 Recommended Target Stack (opinionated)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One hyperscaler as primary (align to existing estate), lakehouse on Delta/Iceberg, enterprise catalog for governance.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LLM gateway with at least two frontier providers plus one hosted small-model tier; RAG as a shared service.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Buy specialist point solutions where models embed proprietary data network effects (fraud consortium data, medical evidence networks); build where differentiation lives (hyper-personalisation A1/A2, NBA A12, renewals O9, coaching A8/A18, technical/lifetime pricing O8/O10 on proprietary data).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10. ROI and KPI Framework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10.1 Value Tree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  <w:gridCol w:w="3300"/>
      </w:tblGrid>
      <w:tr>
        <w:tc>
          <w:tcPr>
            <w:tcW w:type="dxa" w:w="21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 lever</w:t>
            </w:r>
          </w:p>
        </w:tc>
        <w:tc>
          <w:tcPr>
            <w:tcW w:type="dxa" w:w="3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33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 KPI targets (indicative)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Revenue uplift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NBA/cross-sell, lead conversion, agent productivity, banca activation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+10–20% campaign conversion; +5–10% APE per active agent</w:t>
            </w:r>
          </w:p>
        </w:tc>
      </w:tr>
      <w:tr>
        <w:tc>
          <w:tcPr>
            <w:tcW w:type="dxa" w:w="21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Claims cost reduction</w:t>
            </w:r>
          </w:p>
        </w:tc>
        <w:tc>
          <w:tcPr>
            <w:tcW w:type="dxa" w:w="39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Fraud/FWA detection, STP accuracy, provider analytics, wellness</w:t>
            </w:r>
          </w:p>
        </w:tc>
        <w:tc>
          <w:tcPr>
            <w:tcW w:type="dxa" w:w="33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1–3 pts loss-ratio improvement; fraud savings 2–5% of claims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Productivity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STP rates, TAT, AHT, touches per claim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UW TAT −50%; claims STP 60–80% for eligible classes</w:t>
            </w:r>
          </w:p>
        </w:tc>
      </w:tr>
      <w:tr>
        <w:tc>
          <w:tcPr>
            <w:tcW w:type="dxa" w:w="21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Customer satisfaction</w:t>
            </w:r>
          </w:p>
        </w:tc>
        <w:tc>
          <w:tcPr>
            <w:tcW w:type="dxa" w:w="39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Faster settlement, first-contact resolution, proactive care</w:t>
            </w:r>
          </w:p>
        </w:tc>
        <w:tc>
          <w:tcPr>
            <w:tcW w:type="dxa" w:w="33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+10–15 NPS pts in automated journeys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Agent productivity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Copilots, coaching, persistency saves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+15% NBP/active agent (Prudential-style momentum)</w:t>
            </w:r>
          </w:p>
        </w:tc>
      </w:tr>
      <w:tr>
        <w:tc>
          <w:tcPr>
            <w:tcW w:type="dxa" w:w="21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Cost reduction</w:t>
            </w:r>
          </w:p>
        </w:tc>
        <w:tc>
          <w:tcPr>
            <w:tcW w:type="dxa" w:w="39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Deflection, workforce optimisation, false-positive reduction</w:t>
            </w:r>
          </w:p>
        </w:tc>
        <w:tc>
          <w:tcPr>
            <w:tcW w:type="dxa" w:w="33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−20–30% unit cost in targeted processes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10.2 Measurement Discipline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Every initiative registers a baseline, target and measurement method before build (Workbook Sheet 8 defines the KPI mapping per initiative).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Uplift is measured with control groups or phased rollouts wherever feasible; model metrics (AUC, precision) never substitute for business KPIs.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Value is reported quarterly against a published enterprise target (Manulife pattern: $1B by 2027, tracked publicly), separating run-rate savings, revenue uplift and avoided cost.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11. Competitive Benchmarking (August 2026)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Full matrix in Workbook Sheet 9. Summary based on public information: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00"/>
        <w:gridCol w:w="1600"/>
      </w:tblGrid>
      <w:tr>
        <w:tc>
          <w:tcPr>
            <w:tcW w:type="dxa" w:w="15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6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 AI focus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Relative maturity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Ping An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'AI in All': 100% AI coverage of core P&amp;C scenarios; 93% auto vehicle issuance; EagleX risk platform; AI Family Doctor (90M MAU); disease-specific AI products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Very High</w:t>
            </w:r>
          </w:p>
        </w:tc>
      </w:tr>
      <w:tr>
        <w:tc>
          <w:tcPr>
            <w:tcW w:type="dxa" w:w="15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Allianz</w:t>
            </w:r>
          </w:p>
        </w:tc>
        <w:tc>
          <w:tcPr>
            <w:tcW w:type="dxa" w:w="62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Evident AI Index #1 (2026); AllianzGPT; Insurance Copilot; agentic Project Nemo (~80% faster claims); BRIAN RAG for underwriters; Anthropic partnership</w:t>
            </w:r>
          </w:p>
        </w:tc>
        <w:tc>
          <w:tcPr>
            <w:tcW w:type="dxa" w:w="16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Very High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AXA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Secure GPT for 140k staff (3 yrs); global M365 Copilot rollout (Jul 2026); RAG UW guidance (10 min → &lt;3 min lookups); governance-first scaling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5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Manulife</w:t>
            </w:r>
          </w:p>
        </w:tc>
        <w:tc>
          <w:tcPr>
            <w:tcW w:type="dxa" w:w="62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$1B AI value target by 2027 ($300M realised); ChatMFC; John Hancock Quick Quote GenAI UW; GenAI across 110M+ calls/yr; Agent 365 governance</w:t>
            </w:r>
          </w:p>
        </w:tc>
        <w:tc>
          <w:tcPr>
            <w:tcW w:type="dxa" w:w="16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Prudential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PruAction GenAI agent coaching (SG, expanding); 'Just Ask' UW assistant; 260+ active use cases (US affiliate); agentic concierge pilots; health &amp; claims AI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5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AIA</w:t>
            </w:r>
          </w:p>
        </w:tc>
        <w:tc>
          <w:tcPr>
            <w:tcW w:type="dxa" w:w="62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AI pre-underwriting &amp; claims transformation (Celent-recognised); Vitality wellness data; GenAI sales coaching &amp; lead prioritisation; Qumata/AiDa/Vymo partnerships</w:t>
            </w:r>
          </w:p>
        </w:tc>
        <w:tc>
          <w:tcPr>
            <w:tcW w:type="dxa" w:w="16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Sun Life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Sun Life Asks (3M+ queries); advisor Notes Assistant; GenAI APS summarisation; issuance in minutes via AI UW; named Responsible AI framework; HK sandbox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Medium-High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Implication 1 — platform first: every leader built a secure enterprise GenAI platform before scaling use cases.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Implication 2 — agency is the Asian battleground: Prudential and AIA are weaponising GenAI for the tied-agency model; the 21 Agency initiatives here are the competitive response.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Implication 3 — governance is an accelerant: Evident leaders pair scale with visible responsible-AI machinery (Agent 365, human-in-the-loop mandates, sandboxes), converting trust into deployment speed.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12. Build vs. Buy Recommendations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700"/>
        <w:gridCol w:w="3500"/>
      </w:tblGrid>
      <w:tr>
        <w:tc>
          <w:tcPr>
            <w:tcW w:type="dxa" w:w="21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Decision archetype</w:t>
            </w:r>
          </w:p>
        </w:tc>
        <w:tc>
          <w:tcPr>
            <w:tcW w:type="dxa" w:w="37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Guidance</w:t>
            </w:r>
          </w:p>
        </w:tc>
        <w:tc>
          <w:tcPr>
            <w:tcW w:type="dxa" w:w="35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Applies to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BUY (SaaS/point solution)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Commodity capability, vendor data network effects, fast time-to-value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OCR/IDP engines (H1, O1, O2, O2B); speech/transcription for live coaching (O13, A8, A18); KYC screening (O2B); fraud consortium scoring components (H2)</w:t>
            </w:r>
          </w:p>
        </w:tc>
      </w:tr>
      <w:tr>
        <w:tc>
          <w:tcPr>
            <w:tcW w:type="dxa" w:w="21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BUY + CONFIGURE</w:t>
            </w:r>
          </w:p>
        </w:tc>
        <w:tc>
          <w:tcPr>
            <w:tcW w:type="dxa" w:w="37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Insurance-specific platforms where process, not model, differentiates</w:t>
            </w:r>
          </w:p>
        </w:tc>
        <w:tc>
          <w:tcPr>
            <w:tcW w:type="dxa" w:w="35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Claims adjudication &amp; guided handling shells (O16, O17), CCAI/self-service (O11), smart routing (O12)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BUILD (differentiating)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Proprietary data creates moat; ties to agency model and pricing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Hyper-personalised offers/campaigns &amp; lead-gen (A1, A2), NBA &amp; goal planning (A12), proactive renewals (O9), risk scoring (H3), technical/lifetime pricing (O8, O10)</w:t>
            </w:r>
          </w:p>
        </w:tc>
      </w:tr>
      <w:tr>
        <w:tc>
          <w:tcPr>
            <w:tcW w:type="dxa" w:w="21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BUILD ON PLATFORM</w:t>
            </w:r>
          </w:p>
        </w:tc>
        <w:tc>
          <w:tcPr>
            <w:tcW w:type="dxa" w:w="37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Assemble from cloud AI services behind own gateway</w:t>
            </w:r>
          </w:p>
        </w:tc>
        <w:tc>
          <w:tcPr>
            <w:tcW w:type="dxa" w:w="35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RAG assistants for agents/banca &amp; staff (O6, O11, O14, A6), pre-sales briefings (A3), nudge generation (A11, A15)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PARTNER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Ecosystem data or clinical expertise required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Digital health scoring (Qumata-style, feeds H3/H7), provider &amp; partner analytics data (H5, O7)</w:t>
            </w: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Rule of thumb: buy the plumbing, build the brain, govern everything. Re-evaluate annually — the 2026 vendor market is consolidating quickly and agentic platforms are commoditising orchestration.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13. Implementation Roadmap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3300"/>
        <w:gridCol w:w="2800"/>
      </w:tblGrid>
      <w:tr>
        <w:tc>
          <w:tcPr>
            <w:tcW w:type="dxa" w:w="17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Wave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33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Initiatives</w:t>
            </w:r>
          </w:p>
        </w:tc>
        <w:tc>
          <w:tcPr>
            <w:tcW w:type="dxa" w:w="28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Quick Wins (13)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0–6 months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O1, O2, O2B, O3, O6, A3, A5, A6, A7, A11, A13, A15, A20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Document AI + agent/banca helpdesk + data quality + agent enablement on existing data; funds the journey</w:t>
            </w:r>
          </w:p>
        </w:tc>
      </w:tr>
      <w:tr>
        <w:tc>
          <w:tcPr>
            <w:tcW w:type="dxa" w:w="17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Phase 1 (20)</w:t>
            </w:r>
          </w:p>
        </w:tc>
        <w:tc>
          <w:tcPr>
            <w:tcW w:type="dxa" w:w="15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6–18 months</w:t>
            </w:r>
          </w:p>
        </w:tc>
        <w:tc>
          <w:tcPr>
            <w:tcW w:type="dxa" w:w="33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H1, H2, H3, H4, H5, H6, O4, O5, O9, O11, O12, O14, O15, A1, A2, A4, A10, A12, A14, A21</w:t>
            </w:r>
          </w:p>
        </w:tc>
        <w:tc>
          <w:tcPr>
            <w:tcW w:type="dxa" w:w="28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All client-designated Health Phase-1 items (digitization, FWA, risk scoring, rule-engine decisioning, provider analytics) + GTM; plus core Ops/Agency value engines: indicative UW, renewals, self-service, copilots, personalisation, NBA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Phase 2 (9)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18–30 months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H7, O7, O8, O13, O16, A9, A16, A17, A19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Health MVP 2; partner/client/case value ranking; technical pricing; real-time coaching; AI-enabled adjudication; recruitment, training &amp; compensation</w:t>
            </w:r>
          </w:p>
        </w:tc>
      </w:tr>
      <w:tr>
        <w:tc>
          <w:tcPr>
            <w:tcW w:type="dxa" w:w="17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Phase 3 (4)</w:t>
            </w:r>
          </w:p>
        </w:tc>
        <w:tc>
          <w:tcPr>
            <w:tcW w:type="dxa" w:w="15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30–42 months</w:t>
            </w:r>
          </w:p>
        </w:tc>
        <w:tc>
          <w:tcPr>
            <w:tcW w:type="dxa" w:w="33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O10, O17, A8, A18</w:t>
            </w:r>
          </w:p>
        </w:tc>
        <w:tc>
          <w:tcPr>
            <w:tcW w:type="dxa" w:w="2800"/>
            <w:shd w:fill="F2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Market/lifetime-based pricing, agentic guided claims, and live sales/meeting coaching — frontier plays requiring mature governance and consent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13.1 Critical Path &amp; Dependencies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Foundations in parallel with quick wins: LLM gateway + RAG service (month 1–3), document AI pipeline (1–4), feature store and data-quality/O3 kickoff (3–6).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Structured UW data (O2) gates indicative underwriting decisions (O4); document AI (H1/O1) gates claims adjudication (O16) and guided claims (O17); technical pricing (O8) gates market/lifetime-based pricing (O10); governance maturity gates all real-time/agentic work (O17, A8, A18).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Change management is half the programme: agency adoption squads, underwriter/claims champion networks, and AI literacy at Allianz/AXA scale.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13.2 Governance &amp; Risk Gates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Stage gates per initiative: data-readiness, model-validation, human-in-the-loop design, regulatory review (e.g., HK IA Gen A.I. Sandbox++ style engagement), and value-confirmation at 6 months post-launch; the PDF's GTM (H6) and MVP 2 (H7) milestones are managed as these gates for the Health domain.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Portfolio review quarterly: kill or pivot initiatives missing value gates; recycle capacity to over-performers.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14. Volume 2 — Use-Case Deep-Dive Specification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Volume 2 delivers a standardised ~3-page profile per use case (≈140 pages for 46), generated against the confirmed source-PDF definitions. Each profile contains: initiative charter (goal, problem, users, KPIs per the 14-column schema); solution architecture (data flow, models, integration points, human-in-the-loop design); data specification (source systems, tables, features, quality thresholds); delivery plan (build-vs-buy choice, vendor shortlist, complexity drivers, dependencies, 90-day plan); and value case (baseline, target KPIs, benefits phasing, benchmark reference).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1"/>
          <w:szCs w:val="21"/>
        </w:rPr>
        <w:t xml:space="preserve">The Excel workbook accompanying this playbook (10 sheets) is the structured counterpart: the master portfolio, domain breakdowns, data requirements, model matrix, KPI matrix, benchmark matrix and roadmap are maintained there as the living registry.</w:t>
      </w:r>
    </w:p>
    <w:sectPr>
      <w:footerReference w:type="default" r:id="rId7"/>
      <w:pgSz w:w="11906" w:h="16838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AI Insurance Playbook · Volume 1 ·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2026-08-01T05:14:59.124Z</dcterms:created>
  <dcterms:modified xsi:type="dcterms:W3CDTF">2026-08-01T05:14:59.151Z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