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bookmarkStart w:id="0" w:name="_GoBack"/>
      <w:bookmarkEnd w:id="0"/>
      <w:r w:rsidRPr="00A97FD4">
        <w:rPr>
          <w:rFonts w:ascii="Arial" w:eastAsia="Times New Roman" w:hAnsi="Arial" w:cs="Arial"/>
          <w:b/>
          <w:bCs/>
          <w:color w:val="000000"/>
          <w:kern w:val="36"/>
          <w:sz w:val="48"/>
          <w:szCs w:val="48"/>
          <w:lang w:val="en-US" w:eastAsia="nb-NO"/>
        </w:rPr>
        <w:t>Research programme</w:t>
      </w:r>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r w:rsidRPr="0053544C">
        <w:rPr>
          <w:rFonts w:ascii="Arial" w:eastAsia="Times New Roman" w:hAnsi="Arial" w:cs="Arial"/>
          <w:b/>
          <w:bCs/>
          <w:color w:val="2F2F2F"/>
          <w:sz w:val="20"/>
          <w:szCs w:val="20"/>
          <w:lang w:val="en-US" w:eastAsia="nb-NO"/>
        </w:rPr>
        <w:t>Formas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E70859" w:rsidRPr="00654519" w:rsidRDefault="00A97FD4">
      <w:pPr>
        <w:rPr>
          <w:rFonts w:ascii="Arial" w:hAnsi="Arial" w:cs="Arial"/>
          <w:sz w:val="24"/>
          <w:szCs w:val="24"/>
          <w:lang w:val="en-US"/>
        </w:rPr>
      </w:pP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of the present day soil organic C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hindcast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intercompare </w:t>
      </w:r>
      <w:r w:rsidR="00E73271">
        <w:rPr>
          <w:rFonts w:ascii="Arial" w:eastAsia="Times New Roman" w:hAnsi="Arial" w:cs="Arial"/>
          <w:color w:val="000000"/>
          <w:sz w:val="24"/>
          <w:szCs w:val="24"/>
          <w:lang w:val="en-US" w:eastAsia="nb-NO"/>
        </w:rPr>
        <w:t>these</w:t>
      </w:r>
      <w:r w:rsidR="00E61CB6">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peatland models. </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654519" w:rsidRPr="00654519">
        <w:rPr>
          <w:rFonts w:ascii="Arial" w:eastAsia="Times New Roman" w:hAnsi="Arial" w:cs="Arial"/>
          <w:color w:val="000000"/>
          <w:sz w:val="24"/>
          <w:szCs w:val="24"/>
          <w:lang w:val="en-US" w:eastAsia="nb-NO"/>
        </w:rPr>
        <w:t>. To achieve this objective, a study has been proposed where major peatland modelling group</w:t>
      </w:r>
      <w:r w:rsidR="00E73271">
        <w:rPr>
          <w:rFonts w:ascii="Arial" w:eastAsia="Times New Roman" w:hAnsi="Arial" w:cs="Arial"/>
          <w:color w:val="000000"/>
          <w:sz w:val="24"/>
          <w:szCs w:val="24"/>
          <w:lang w:val="en-US" w:eastAsia="nb-NO"/>
        </w:rPr>
        <w:t>s</w:t>
      </w:r>
      <w:r w:rsidR="00654519" w:rsidRPr="00654519">
        <w:rPr>
          <w:rFonts w:ascii="Arial" w:eastAsia="Times New Roman" w:hAnsi="Arial" w:cs="Arial"/>
          <w:color w:val="000000"/>
          <w:sz w:val="24"/>
          <w:szCs w:val="24"/>
          <w:lang w:val="en-US" w:eastAsia="nb-NO"/>
        </w:rPr>
        <w:t xml:space="preserve"> will </w:t>
      </w:r>
      <w:r w:rsidR="00E73271">
        <w:rPr>
          <w:rFonts w:ascii="Arial" w:eastAsia="Times New Roman" w:hAnsi="Arial" w:cs="Arial"/>
          <w:color w:val="000000"/>
          <w:sz w:val="24"/>
          <w:szCs w:val="24"/>
          <w:lang w:val="en-US" w:eastAsia="nb-NO"/>
        </w:rPr>
        <w:t>run their models and submit the</w:t>
      </w:r>
      <w:r>
        <w:rPr>
          <w:rFonts w:ascii="Arial" w:eastAsia="Times New Roman" w:hAnsi="Arial" w:cs="Arial"/>
          <w:color w:val="000000"/>
          <w:sz w:val="24"/>
          <w:szCs w:val="24"/>
          <w:lang w:val="en-US" w:eastAsia="nb-NO"/>
        </w:rPr>
        <w:t xml:space="preserve"> model outputs</w:t>
      </w:r>
      <w:r w:rsidR="00654519" w:rsidRPr="00654519">
        <w:rPr>
          <w:rFonts w:ascii="Arial" w:eastAsia="Times New Roman" w:hAnsi="Arial" w:cs="Arial"/>
          <w:color w:val="000000"/>
          <w:sz w:val="24"/>
          <w:szCs w:val="24"/>
          <w:lang w:val="en-US" w:eastAsia="nb-NO"/>
        </w:rPr>
        <w:t>.</w:t>
      </w:r>
      <w:r w:rsidR="00180E02">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W</w:t>
      </w:r>
      <w:r w:rsidR="00E73271" w:rsidRPr="00654519">
        <w:rPr>
          <w:rFonts w:ascii="Arial" w:eastAsia="Times New Roman" w:hAnsi="Arial" w:cs="Arial"/>
          <w:color w:val="000000"/>
          <w:sz w:val="24"/>
          <w:szCs w:val="24"/>
          <w:lang w:val="en-US" w:eastAsia="nb-NO"/>
        </w:rPr>
        <w:t xml:space="preserve">e have been invited in </w:t>
      </w:r>
      <w:r w:rsidR="009510B9">
        <w:rPr>
          <w:rFonts w:ascii="Arial" w:eastAsia="Times New Roman" w:hAnsi="Arial" w:cs="Arial"/>
          <w:color w:val="000000"/>
          <w:sz w:val="24"/>
          <w:szCs w:val="24"/>
          <w:lang w:val="en-US" w:eastAsia="nb-NO"/>
        </w:rPr>
        <w:t>this</w:t>
      </w:r>
      <w:r w:rsidR="00E73271" w:rsidRPr="0053544C">
        <w:rPr>
          <w:rFonts w:ascii="Arial" w:eastAsia="Times New Roman" w:hAnsi="Arial" w:cs="Arial"/>
          <w:color w:val="000000"/>
          <w:sz w:val="24"/>
          <w:szCs w:val="24"/>
          <w:lang w:val="en-US" w:eastAsia="nb-NO"/>
        </w:rPr>
        <w:t xml:space="preserve"> model intercomparis</w:t>
      </w:r>
      <w:r w:rsidR="00E73271" w:rsidRPr="00654519">
        <w:rPr>
          <w:rFonts w:ascii="Arial" w:eastAsia="Times New Roman" w:hAnsi="Arial" w:cs="Arial"/>
          <w:color w:val="000000"/>
          <w:sz w:val="24"/>
          <w:szCs w:val="24"/>
          <w:lang w:val="en-US" w:eastAsia="nb-NO"/>
        </w:rPr>
        <w:t xml:space="preserve">ion study </w:t>
      </w:r>
      <w:r w:rsidR="00E73271">
        <w:rPr>
          <w:rFonts w:ascii="Arial" w:eastAsia="Times New Roman" w:hAnsi="Arial" w:cs="Arial"/>
          <w:color w:val="000000"/>
          <w:sz w:val="24"/>
          <w:szCs w:val="24"/>
          <w:lang w:val="en-US" w:eastAsia="nb-NO"/>
        </w:rPr>
        <w:t xml:space="preserve">in which we </w:t>
      </w:r>
      <w:r w:rsidR="009510B9">
        <w:rPr>
          <w:rFonts w:ascii="Arial" w:eastAsia="Times New Roman" w:hAnsi="Arial" w:cs="Arial"/>
          <w:color w:val="000000"/>
          <w:sz w:val="24"/>
          <w:szCs w:val="24"/>
          <w:lang w:val="en-US" w:eastAsia="nb-NO"/>
        </w:rPr>
        <w:t xml:space="preserve">will </w:t>
      </w:r>
      <w:r w:rsidR="00E73271">
        <w:rPr>
          <w:rFonts w:ascii="Arial" w:eastAsia="Times New Roman" w:hAnsi="Arial" w:cs="Arial"/>
          <w:color w:val="000000"/>
          <w:sz w:val="24"/>
          <w:szCs w:val="24"/>
          <w:lang w:val="en-US" w:eastAsia="nb-NO"/>
        </w:rPr>
        <w:t>perform hindcast and future experiments with</w:t>
      </w:r>
      <w:r w:rsidR="00E73271" w:rsidRPr="00654519">
        <w:rPr>
          <w:rFonts w:ascii="Arial" w:eastAsia="Times New Roman" w:hAnsi="Arial" w:cs="Arial"/>
          <w:color w:val="000000"/>
          <w:sz w:val="24"/>
          <w:szCs w:val="24"/>
          <w:lang w:val="en-US" w:eastAsia="nb-NO"/>
        </w:rPr>
        <w:t xml:space="preserve"> our established state-of-the-art peatland</w:t>
      </w:r>
      <w:r w:rsidR="00E73271">
        <w:rPr>
          <w:rFonts w:ascii="Arial" w:eastAsia="Times New Roman" w:hAnsi="Arial" w:cs="Arial"/>
          <w:color w:val="000000"/>
          <w:sz w:val="24"/>
          <w:szCs w:val="24"/>
          <w:lang w:val="en-US" w:eastAsia="nb-NO"/>
        </w:rPr>
        <w:t>-vegetation</w:t>
      </w:r>
      <w:r w:rsidR="00E73271" w:rsidRPr="0053544C">
        <w:rPr>
          <w:rFonts w:ascii="Arial" w:eastAsia="Times New Roman" w:hAnsi="Arial" w:cs="Arial"/>
          <w:color w:val="000000"/>
          <w:sz w:val="24"/>
          <w:szCs w:val="24"/>
          <w:lang w:val="en-US" w:eastAsia="nb-NO"/>
        </w:rPr>
        <w:t xml:space="preserve"> model</w:t>
      </w:r>
      <w:r w:rsidR="00E73271">
        <w:rPr>
          <w:rFonts w:ascii="Arial" w:eastAsia="Times New Roman" w:hAnsi="Arial" w:cs="Arial"/>
          <w:color w:val="000000"/>
          <w:sz w:val="24"/>
          <w:szCs w:val="24"/>
          <w:lang w:val="en-US" w:eastAsia="nb-NO"/>
        </w:rPr>
        <w:t xml:space="preserve"> (LPJ-GUESS). Our model </w:t>
      </w:r>
      <w:r w:rsidR="00E73271" w:rsidRPr="0053544C">
        <w:rPr>
          <w:rFonts w:ascii="Arial" w:eastAsia="Times New Roman" w:hAnsi="Arial" w:cs="Arial"/>
          <w:color w:val="000000"/>
          <w:sz w:val="24"/>
          <w:szCs w:val="24"/>
          <w:lang w:val="en-US" w:eastAsia="nb-NO"/>
        </w:rPr>
        <w:t>which accumula</w:t>
      </w:r>
      <w:r w:rsidR="00E73271">
        <w:rPr>
          <w:rFonts w:ascii="Arial" w:eastAsia="Times New Roman" w:hAnsi="Arial" w:cs="Arial"/>
          <w:color w:val="000000"/>
          <w:sz w:val="24"/>
          <w:szCs w:val="24"/>
          <w:lang w:val="en-US" w:eastAsia="nb-NO"/>
        </w:rPr>
        <w:t xml:space="preserve">tes peat in the form of annually accumulating </w:t>
      </w:r>
      <w:r w:rsidR="00E73271" w:rsidRPr="0053544C">
        <w:rPr>
          <w:rFonts w:ascii="Arial" w:eastAsia="Times New Roman" w:hAnsi="Arial" w:cs="Arial"/>
          <w:color w:val="000000"/>
          <w:sz w:val="24"/>
          <w:szCs w:val="24"/>
          <w:lang w:val="en-US" w:eastAsia="nb-NO"/>
        </w:rPr>
        <w:t>layer</w:t>
      </w:r>
      <w:r w:rsidR="00E73271">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 significant amount of resources and data storage. </w:t>
      </w:r>
      <w:r w:rsidR="00654519" w:rsidRPr="00654519">
        <w:rPr>
          <w:rFonts w:ascii="Arial" w:eastAsia="Times New Roman" w:hAnsi="Arial" w:cs="Arial"/>
          <w:color w:val="000000"/>
          <w:sz w:val="24"/>
          <w:szCs w:val="24"/>
          <w:lang w:val="en-US" w:eastAsia="nb-NO"/>
        </w:rPr>
        <w:t xml:space="preserve">We will run the model </w:t>
      </w:r>
      <w:r w:rsidR="0053544C" w:rsidRPr="0053544C">
        <w:rPr>
          <w:rFonts w:ascii="Arial" w:eastAsia="Times New Roman" w:hAnsi="Arial" w:cs="Arial"/>
          <w:color w:val="000000"/>
          <w:sz w:val="24"/>
          <w:szCs w:val="24"/>
          <w:lang w:val="en-US" w:eastAsia="nb-NO"/>
        </w:rPr>
        <w:t xml:space="preserve">at </w:t>
      </w:r>
      <w:r>
        <w:rPr>
          <w:rFonts w:ascii="Arial" w:eastAsia="Times New Roman" w:hAnsi="Arial" w:cs="Arial"/>
          <w:color w:val="000000"/>
          <w:sz w:val="24"/>
          <w:szCs w:val="24"/>
          <w:lang w:val="en-US" w:eastAsia="nb-NO"/>
        </w:rPr>
        <w:t>1 to 1</w:t>
      </w:r>
      <w:r w:rsidR="0053544C" w:rsidRPr="0053544C">
        <w:rPr>
          <w:rFonts w:ascii="Arial" w:eastAsia="Times New Roman" w:hAnsi="Arial" w:cs="Arial"/>
          <w:color w:val="000000"/>
          <w:sz w:val="24"/>
          <w:szCs w:val="24"/>
          <w:lang w:val="en-US" w:eastAsia="nb-NO"/>
        </w:rPr>
        <w:t>-degree resolution</w:t>
      </w:r>
      <w:r w:rsidR="00654519" w:rsidRPr="00654519">
        <w:rPr>
          <w:rFonts w:ascii="Arial" w:eastAsia="Times New Roman" w:hAnsi="Arial" w:cs="Arial"/>
          <w:color w:val="000000"/>
          <w:sz w:val="24"/>
          <w:szCs w:val="24"/>
          <w:lang w:val="en-US" w:eastAsia="nb-NO"/>
        </w:rPr>
        <w:t xml:space="preserve"> across the pan-Arctic area</w:t>
      </w:r>
      <w:r w:rsidR="00E73271">
        <w:rPr>
          <w:rFonts w:ascii="Arial" w:eastAsia="Times New Roman" w:hAnsi="Arial" w:cs="Arial"/>
          <w:color w:val="000000"/>
          <w:sz w:val="24"/>
          <w:szCs w:val="24"/>
          <w:lang w:val="en-US" w:eastAsia="nb-NO"/>
        </w:rPr>
        <w:t xml:space="preserve"> for the last 12000 years</w:t>
      </w:r>
      <w:r w:rsidR="0053544C" w:rsidRPr="0053544C">
        <w:rPr>
          <w:rFonts w:ascii="Arial" w:eastAsia="Times New Roman" w:hAnsi="Arial" w:cs="Arial"/>
          <w:color w:val="000000"/>
          <w:sz w:val="24"/>
          <w:szCs w:val="24"/>
          <w:lang w:val="en-US" w:eastAsia="nb-NO"/>
        </w:rPr>
        <w:t xml:space="preserve">. 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 xml:space="preserve">urgently </w:t>
      </w:r>
      <w:r w:rsidR="0023201F" w:rsidRPr="0053544C">
        <w:rPr>
          <w:rFonts w:ascii="Arial" w:eastAsia="Times New Roman" w:hAnsi="Arial" w:cs="Arial"/>
          <w:color w:val="000000"/>
          <w:sz w:val="24"/>
          <w:szCs w:val="24"/>
          <w:lang w:val="en-US" w:eastAsia="nb-NO"/>
        </w:rPr>
        <w:t xml:space="preserve">requires </w:t>
      </w:r>
      <w:r w:rsidR="0023201F">
        <w:rPr>
          <w:rFonts w:ascii="Arial" w:eastAsia="Times New Roman" w:hAnsi="Arial" w:cs="Arial"/>
          <w:color w:val="000000"/>
          <w:sz w:val="24"/>
          <w:szCs w:val="24"/>
          <w:lang w:val="en-US" w:eastAsia="nb-NO"/>
        </w:rPr>
        <w:t>significant human as well as computing resources to fulfill the</w:t>
      </w:r>
      <w:r w:rsidR="008C3131">
        <w:rPr>
          <w:rFonts w:ascii="Arial" w:eastAsia="Times New Roman" w:hAnsi="Arial" w:cs="Arial"/>
          <w:color w:val="000000"/>
          <w:sz w:val="24"/>
          <w:szCs w:val="24"/>
          <w:lang w:val="en-US" w:eastAsia="nb-NO"/>
        </w:rPr>
        <w:t xml:space="preserve"> above</w:t>
      </w:r>
      <w:r w:rsidR="0023201F">
        <w:rPr>
          <w:rFonts w:ascii="Arial" w:eastAsia="Times New Roman" w:hAnsi="Arial" w:cs="Arial"/>
          <w:color w:val="000000"/>
          <w:sz w:val="24"/>
          <w:szCs w:val="24"/>
          <w:lang w:val="en-US" w:eastAsia="nb-NO"/>
        </w:rPr>
        <w:t xml:space="preserve"> objectives of this study</w:t>
      </w:r>
      <w:r w:rsidR="00E73271">
        <w:rPr>
          <w:rFonts w:ascii="Arial" w:eastAsia="Times New Roman" w:hAnsi="Arial" w:cs="Arial"/>
          <w:color w:val="000000"/>
          <w:sz w:val="24"/>
          <w:szCs w:val="24"/>
          <w:lang w:val="en-US" w:eastAsia="nb-NO"/>
        </w:rPr>
        <w:t xml:space="preserve"> and contribute in this study</w:t>
      </w:r>
      <w:r w:rsidR="004B3207">
        <w:rPr>
          <w:rFonts w:ascii="Arial" w:eastAsia="Times New Roman" w:hAnsi="Arial" w:cs="Arial"/>
          <w:color w:val="000000"/>
          <w:sz w:val="24"/>
          <w:szCs w:val="24"/>
          <w:lang w:val="en-US" w:eastAsia="nb-NO"/>
        </w:rPr>
        <w:t xml:space="preserve">. The main findings of these study will be conveyed to major international authorities working to curb the CO2 emission and mitigate climate change, particularly Intergovernmental Panel of Climate Change (IPCC). Failing to contribute in this project not only create a knowledge gap </w:t>
      </w:r>
    </w:p>
    <w:p w:rsidR="004B3207" w:rsidRDefault="004B3207" w:rsidP="00AF3901">
      <w:pPr>
        <w:spacing w:after="0" w:line="240" w:lineRule="auto"/>
        <w:jc w:val="both"/>
        <w:rPr>
          <w:rFonts w:ascii="Arial" w:eastAsia="Times New Roman" w:hAnsi="Arial" w:cs="Arial"/>
          <w:color w:val="000000"/>
          <w:sz w:val="24"/>
          <w:szCs w:val="24"/>
          <w:lang w:val="en-US" w:eastAsia="nb-NO"/>
        </w:rPr>
      </w:pPr>
    </w:p>
    <w:p w:rsidR="00654519" w:rsidRPr="00654519" w:rsidRDefault="009510B9"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to fulfill our commitment in this community effort model intercomparison study.</w:t>
      </w:r>
    </w:p>
    <w:p w:rsidR="00E23824" w:rsidRDefault="00E23824" w:rsidP="00654519">
      <w:pPr>
        <w:spacing w:after="0" w:line="240" w:lineRule="auto"/>
        <w:jc w:val="both"/>
        <w:rPr>
          <w:rFonts w:ascii="Arial" w:eastAsia="Times New Roman" w:hAnsi="Arial" w:cs="Arial"/>
          <w:color w:val="000000"/>
          <w:sz w:val="24"/>
          <w:szCs w:val="24"/>
          <w:lang w:val="en-US" w:eastAsia="nb-NO"/>
        </w:rPr>
      </w:pPr>
    </w:p>
    <w:p w:rsidR="00E23824" w:rsidRPr="00E23824" w:rsidRDefault="00E23824" w:rsidP="00E23824">
      <w:pPr>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The aim of </w:t>
      </w:r>
      <w:r w:rsidRPr="003058D5">
        <w:rPr>
          <w:rFonts w:ascii="Arial" w:eastAsia="Times New Roman" w:hAnsi="Arial" w:cs="Arial"/>
          <w:b/>
          <w:color w:val="000000"/>
          <w:sz w:val="24"/>
          <w:szCs w:val="24"/>
          <w:lang w:val="en-US" w:eastAsia="nb-NO"/>
        </w:rPr>
        <w:t>SIMULATE-PEAT</w:t>
      </w:r>
      <w:r w:rsidRPr="00E23824">
        <w:rPr>
          <w:rFonts w:ascii="Arial" w:eastAsia="Times New Roman" w:hAnsi="Arial" w:cs="Arial"/>
          <w:color w:val="000000"/>
          <w:sz w:val="24"/>
          <w:szCs w:val="24"/>
          <w:lang w:val="en-US" w:eastAsia="nb-NO"/>
        </w:rPr>
        <w:t xml:space="preserve"> is to identify and explore important drivers that are responsible for modulating CO2 and CH4 fluxes in both peatland sites. In addition, this </w:t>
      </w:r>
      <w:r w:rsidRPr="00E23824">
        <w:rPr>
          <w:rFonts w:ascii="Arial" w:eastAsia="Times New Roman" w:hAnsi="Arial" w:cs="Arial"/>
          <w:color w:val="000000"/>
          <w:sz w:val="24"/>
          <w:szCs w:val="24"/>
          <w:lang w:val="en-US" w:eastAsia="nb-NO"/>
        </w:rPr>
        <w:lastRenderedPageBreak/>
        <w:t xml:space="preserve">community project will also determine the influences of different warming scenarios on carbon fluxes. 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In the first part of the study, the model will be run with two contrasting scenarios and in the second part, the remaining two mild-warming scenarios will be  performed in the later part of the study..  These model simulations will become a part of major reports and explore the role of peatlands in future climate. The focus of this study will be on the pan-Arctic region above (&gt; 30N) as majority of the peatlands (more than &gt;80 percent) are present in this area. The effects of changes in hydrological and structural conditions in future peatland dynamics will also be evaluated.  Initially, I will focus on the peatlands in Norway and Sweden and in the later part of the study, the scope will be Nordic (regional). Organizations such as Swedish Environmental agencies can benefit from the outputs of this study, as my results will have the potential to influence policy on the importance of peatland protection from a climate change perspective and influence regional planning when thinking about land use and management policy.     This work builds on my previous research work on modelling peatland-permafrost dynamics and terrestrial-climate feedbacks. The proposed project has the potential to make a step change progress in the field of peatland and Earth science.</w:t>
      </w:r>
    </w:p>
    <w:p w:rsidR="00654519" w:rsidRDefault="0053544C" w:rsidP="00654519">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br/>
        <w:t xml:space="preserve">The main </w:t>
      </w:r>
      <w:r w:rsidR="00AF3901"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00AF3901"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AF3901" w:rsidRPr="00654519">
        <w:rPr>
          <w:rFonts w:ascii="Arial" w:eastAsia="Times New Roman" w:hAnsi="Arial" w:cs="Arial"/>
          <w:color w:val="000000"/>
          <w:sz w:val="24"/>
          <w:szCs w:val="24"/>
          <w:lang w:val="en-US" w:eastAsia="nb-NO"/>
        </w:rPr>
        <w:t xml:space="preserve"> </w:t>
      </w:r>
      <w:r w:rsidR="004E146E" w:rsidRPr="00654519">
        <w:rPr>
          <w:rFonts w:ascii="Arial" w:eastAsia="Times New Roman" w:hAnsi="Arial" w:cs="Arial"/>
          <w:color w:val="000000"/>
          <w:sz w:val="24"/>
          <w:szCs w:val="24"/>
          <w:lang w:val="en-US" w:eastAsia="nb-NO"/>
        </w:rPr>
        <w:t xml:space="preserve"> The </w:t>
      </w:r>
      <w:r w:rsidR="00654519" w:rsidRPr="00654519">
        <w:rPr>
          <w:rFonts w:ascii="Arial" w:eastAsia="Times New Roman" w:hAnsi="Arial" w:cs="Arial"/>
          <w:color w:val="000000"/>
          <w:sz w:val="24"/>
          <w:szCs w:val="24"/>
          <w:lang w:val="en-US" w:eastAsia="nb-NO"/>
        </w:rPr>
        <w:t>sepcific</w:t>
      </w:r>
      <w:r w:rsidR="004E146E" w:rsidRPr="00654519">
        <w:rPr>
          <w:rFonts w:ascii="Arial" w:eastAsia="Times New Roman" w:hAnsi="Arial" w:cs="Arial"/>
          <w:color w:val="000000"/>
          <w:sz w:val="24"/>
          <w:szCs w:val="24"/>
          <w:lang w:val="en-US" w:eastAsia="nb-NO"/>
        </w:rPr>
        <w:t xml:space="preserve"> objectives</w:t>
      </w:r>
      <w:r w:rsidR="00654519" w:rsidRPr="00654519">
        <w:rPr>
          <w:rFonts w:ascii="Arial" w:eastAsia="Times New Roman" w:hAnsi="Arial" w:cs="Arial"/>
          <w:color w:val="000000"/>
          <w:sz w:val="24"/>
          <w:szCs w:val="24"/>
          <w:lang w:val="en-US" w:eastAsia="nb-NO"/>
        </w:rPr>
        <w:t xml:space="preserve"> of the study are:</w:t>
      </w:r>
    </w:p>
    <w:p w:rsidR="00180E02" w:rsidRPr="00654519" w:rsidRDefault="00180E02" w:rsidP="00654519">
      <w:pPr>
        <w:spacing w:after="0" w:line="240" w:lineRule="auto"/>
        <w:jc w:val="both"/>
        <w:rPr>
          <w:rFonts w:ascii="Arial" w:eastAsia="Times New Roman" w:hAnsi="Arial" w:cs="Arial"/>
          <w:color w:val="000000"/>
          <w:sz w:val="24"/>
          <w:szCs w:val="24"/>
          <w:lang w:val="en-US" w:eastAsia="nb-NO"/>
        </w:rPr>
      </w:pPr>
    </w:p>
    <w:p w:rsidR="0053544C" w:rsidRDefault="0053544C" w:rsidP="00654519">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study will focus on (1) performance of peatland models (agreement, disagreement); (2) historical and future CO</w:t>
      </w:r>
      <w:r w:rsidRPr="0053544C">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and CH</w:t>
      </w:r>
      <w:r w:rsidRPr="0053544C">
        <w:rPr>
          <w:rFonts w:ascii="Arial" w:eastAsia="Times New Roman" w:hAnsi="Arial" w:cs="Arial"/>
          <w:color w:val="000000"/>
          <w:sz w:val="24"/>
          <w:szCs w:val="24"/>
          <w:vertAlign w:val="subscript"/>
          <w:lang w:val="en-US" w:eastAsia="nb-NO"/>
        </w:rPr>
        <w:t>4</w:t>
      </w:r>
      <w:r w:rsidRPr="0053544C">
        <w:rPr>
          <w:rFonts w:ascii="Arial" w:eastAsia="Times New Roman" w:hAnsi="Arial" w:cs="Arial"/>
          <w:color w:val="000000"/>
          <w:sz w:val="24"/>
          <w:szCs w:val="24"/>
          <w:lang w:val="en-US" w:eastAsia="nb-NO"/>
        </w:rPr>
        <w:t> fluxes from northern peatlands; (3) Historical and future peatland area changes, and the effect of peat area changes on the carbon balance of peatland (For models that are capable to simulate peatland area)</w:t>
      </w: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8C3131" w:rsidRDefault="008C3131" w:rsidP="002E706D">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4B3207" w:rsidRDefault="004B3207" w:rsidP="002E706D">
      <w:pPr>
        <w:pStyle w:val="ListParagraph"/>
        <w:ind w:left="0"/>
        <w:jc w:val="both"/>
        <w:rPr>
          <w:rFonts w:ascii="Arial" w:eastAsia="Times New Roman" w:hAnsi="Arial" w:cs="Arial"/>
          <w:color w:val="000000"/>
          <w:sz w:val="24"/>
          <w:szCs w:val="24"/>
          <w:lang w:val="en-US" w:eastAsia="nb-NO"/>
        </w:rPr>
      </w:pPr>
    </w:p>
    <w:p w:rsidR="004B3207" w:rsidRDefault="004B3207" w:rsidP="002E706D">
      <w:pPr>
        <w:pStyle w:val="ListParagraph"/>
        <w:ind w:left="0"/>
        <w:jc w:val="both"/>
        <w:rPr>
          <w:rFonts w:ascii="Arial" w:hAnsi="Arial" w:cs="Arial"/>
          <w:color w:val="000000"/>
          <w:sz w:val="24"/>
          <w:szCs w:val="24"/>
          <w:lang w:val="en-US"/>
        </w:rPr>
      </w:pPr>
      <w:r w:rsidRPr="002950FA">
        <w:rPr>
          <w:rFonts w:ascii="Arial" w:hAnsi="Arial" w:cs="Arial"/>
          <w:sz w:val="24"/>
          <w:szCs w:val="24"/>
          <w:lang w:val="en-US"/>
        </w:rPr>
        <w:t>Peatlands are important C reserves in terrestrial ecosystem and cover 3% of the terrestrial globe (4 × 10</w:t>
      </w:r>
      <w:r w:rsidRPr="002950FA">
        <w:rPr>
          <w:rFonts w:ascii="Arial" w:hAnsi="Arial" w:cs="Arial"/>
          <w:sz w:val="24"/>
          <w:szCs w:val="24"/>
          <w:vertAlign w:val="superscript"/>
          <w:lang w:val="en-US"/>
        </w:rPr>
        <w:t>6</w:t>
      </w:r>
      <w:r w:rsidRPr="002950FA">
        <w:rPr>
          <w:rFonts w:ascii="Arial" w:hAnsi="Arial" w:cs="Arial"/>
          <w:sz w:val="24"/>
          <w:szCs w:val="24"/>
          <w:lang w:val="en-US"/>
        </w:rPr>
        <w:t xml:space="preserve"> km</w:t>
      </w:r>
      <w:r w:rsidRPr="002950FA">
        <w:rPr>
          <w:rFonts w:ascii="Arial" w:hAnsi="Arial" w:cs="Arial"/>
          <w:sz w:val="24"/>
          <w:szCs w:val="24"/>
          <w:vertAlign w:val="superscript"/>
          <w:lang w:val="en-US"/>
        </w:rPr>
        <w:t>2</w:t>
      </w:r>
      <w:r w:rsidRPr="002950FA">
        <w:rPr>
          <w:rFonts w:ascii="Arial" w:hAnsi="Arial" w:cs="Arial"/>
          <w:sz w:val="24"/>
          <w:szCs w:val="24"/>
          <w:lang w:val="en-US"/>
        </w:rPr>
        <w:t>)</w:t>
      </w:r>
      <w:hyperlink w:anchor="_ENREF_13" w:tooltip="Gorham, 1991 #272" w:history="1">
        <w:r w:rsidRPr="002950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 </w:instrText>
        </w:r>
        <w:r w:rsidRPr="002950FA">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EN.CITE.DATA </w:instrText>
        </w:r>
        <w:r w:rsidRPr="002950FA">
          <w:rPr>
            <w:rFonts w:ascii="Arial" w:hAnsi="Arial" w:cs="Arial"/>
            <w:sz w:val="24"/>
            <w:szCs w:val="24"/>
          </w:rPr>
        </w:r>
        <w:r w:rsidRPr="002950FA">
          <w:rPr>
            <w:rFonts w:ascii="Arial" w:hAnsi="Arial" w:cs="Arial"/>
            <w:sz w:val="24"/>
            <w:szCs w:val="24"/>
          </w:rPr>
          <w:fldChar w:fldCharType="end"/>
        </w:r>
        <w:r w:rsidRPr="002950FA">
          <w:rPr>
            <w:rFonts w:ascii="Arial" w:hAnsi="Arial" w:cs="Arial"/>
            <w:sz w:val="24"/>
            <w:szCs w:val="24"/>
          </w:rPr>
        </w:r>
        <w:r w:rsidRPr="002950FA">
          <w:rPr>
            <w:rFonts w:ascii="Arial" w:hAnsi="Arial" w:cs="Arial"/>
            <w:sz w:val="24"/>
            <w:szCs w:val="24"/>
          </w:rPr>
          <w:fldChar w:fldCharType="separate"/>
        </w:r>
        <w:r w:rsidRPr="002950FA">
          <w:rPr>
            <w:rFonts w:ascii="Arial" w:hAnsi="Arial" w:cs="Arial"/>
            <w:noProof/>
            <w:sz w:val="24"/>
            <w:szCs w:val="24"/>
            <w:vertAlign w:val="superscript"/>
            <w:lang w:val="en-US"/>
          </w:rPr>
          <w:t>13</w:t>
        </w:r>
        <w:r w:rsidRPr="002950FA">
          <w:rPr>
            <w:rFonts w:ascii="Arial" w:hAnsi="Arial" w:cs="Arial"/>
            <w:sz w:val="24"/>
            <w:szCs w:val="24"/>
          </w:rPr>
          <w:fldChar w:fldCharType="end"/>
        </w:r>
      </w:hyperlink>
      <w:r w:rsidRPr="002950FA">
        <w:rPr>
          <w:rFonts w:ascii="Arial" w:hAnsi="Arial" w:cs="Arial"/>
          <w:sz w:val="24"/>
          <w:szCs w:val="24"/>
          <w:lang w:val="en-US"/>
        </w:rPr>
        <w:t>. Since the Holocene, they have stored around 350-500 Petagrams [10</w:t>
      </w:r>
      <w:r w:rsidRPr="002950FA">
        <w:rPr>
          <w:rFonts w:ascii="Arial" w:hAnsi="Arial" w:cs="Arial"/>
          <w:sz w:val="24"/>
          <w:szCs w:val="24"/>
          <w:vertAlign w:val="superscript"/>
          <w:lang w:val="en-US"/>
        </w:rPr>
        <w:t>9</w:t>
      </w:r>
      <w:r w:rsidRPr="002950FA">
        <w:rPr>
          <w:rFonts w:ascii="Arial" w:hAnsi="Arial" w:cs="Arial"/>
          <w:sz w:val="24"/>
          <w:szCs w:val="24"/>
          <w:lang w:val="en-US"/>
        </w:rPr>
        <w:t>] of C (PgC), comprising around 30% of present-day soil organic C pool</w:t>
      </w:r>
      <w:hyperlink w:anchor="_ENREF_5" w:tooltip="Yu, 2010 #449" w:history="1">
        <w:r w:rsidRPr="002950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 </w:instrText>
        </w:r>
        <w:r w:rsidRPr="002950FA">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2950FA">
          <w:rPr>
            <w:rFonts w:ascii="Arial" w:hAnsi="Arial" w:cs="Arial"/>
            <w:sz w:val="24"/>
            <w:szCs w:val="24"/>
            <w:lang w:val="en-US"/>
          </w:rPr>
          <w:instrText xml:space="preserve"> ADDIN EN.CITE.DATA </w:instrText>
        </w:r>
        <w:r w:rsidRPr="002950FA">
          <w:rPr>
            <w:rFonts w:ascii="Arial" w:hAnsi="Arial" w:cs="Arial"/>
            <w:sz w:val="24"/>
            <w:szCs w:val="24"/>
          </w:rPr>
        </w:r>
        <w:r w:rsidRPr="002950FA">
          <w:rPr>
            <w:rFonts w:ascii="Arial" w:hAnsi="Arial" w:cs="Arial"/>
            <w:sz w:val="24"/>
            <w:szCs w:val="24"/>
          </w:rPr>
          <w:fldChar w:fldCharType="end"/>
        </w:r>
        <w:r w:rsidRPr="002950FA">
          <w:rPr>
            <w:rFonts w:ascii="Arial" w:hAnsi="Arial" w:cs="Arial"/>
            <w:sz w:val="24"/>
            <w:szCs w:val="24"/>
          </w:rPr>
        </w:r>
        <w:r w:rsidRPr="002950FA">
          <w:rPr>
            <w:rFonts w:ascii="Arial" w:hAnsi="Arial" w:cs="Arial"/>
            <w:sz w:val="24"/>
            <w:szCs w:val="24"/>
          </w:rPr>
          <w:fldChar w:fldCharType="separate"/>
        </w:r>
        <w:r w:rsidRPr="002950FA">
          <w:rPr>
            <w:rFonts w:ascii="Arial" w:hAnsi="Arial" w:cs="Arial"/>
            <w:noProof/>
            <w:sz w:val="24"/>
            <w:szCs w:val="24"/>
            <w:vertAlign w:val="superscript"/>
            <w:lang w:val="en-US"/>
          </w:rPr>
          <w:t>5</w:t>
        </w:r>
        <w:r w:rsidRPr="002950FA">
          <w:rPr>
            <w:rFonts w:ascii="Arial" w:hAnsi="Arial" w:cs="Arial"/>
            <w:sz w:val="24"/>
            <w:szCs w:val="24"/>
          </w:rPr>
          <w:fldChar w:fldCharType="end"/>
        </w:r>
      </w:hyperlink>
      <w:r w:rsidRPr="002950FA">
        <w:rPr>
          <w:rFonts w:ascii="Arial" w:hAnsi="Arial" w:cs="Arial"/>
          <w:sz w:val="24"/>
          <w:szCs w:val="24"/>
          <w:lang w:val="en-US"/>
        </w:rPr>
        <w:t xml:space="preserve">. </w:t>
      </w:r>
      <w:r w:rsidR="002950FA" w:rsidRPr="002950FA">
        <w:rPr>
          <w:rFonts w:ascii="Arial" w:hAnsi="Arial" w:cs="Arial"/>
          <w:sz w:val="24"/>
          <w:szCs w:val="24"/>
          <w:lang w:val="en-US"/>
        </w:rPr>
        <w:t>They have the potential to</w:t>
      </w:r>
      <w:r w:rsidR="00746D38">
        <w:rPr>
          <w:rFonts w:ascii="Arial" w:hAnsi="Arial" w:cs="Arial"/>
          <w:sz w:val="24"/>
          <w:szCs w:val="24"/>
          <w:lang w:val="en-US"/>
        </w:rPr>
        <w:t xml:space="preserve"> </w:t>
      </w:r>
      <w:r w:rsidR="002950FA" w:rsidRPr="002950FA">
        <w:rPr>
          <w:rFonts w:ascii="Arial" w:hAnsi="Arial" w:cs="Arial"/>
          <w:sz w:val="24"/>
          <w:szCs w:val="24"/>
          <w:lang w:val="en-US"/>
        </w:rPr>
        <w:t xml:space="preserve"> </w:t>
      </w:r>
      <w:r w:rsidRPr="002950FA">
        <w:rPr>
          <w:rFonts w:ascii="Arial" w:eastAsia="Times New Roman" w:hAnsi="Arial" w:cs="Arial"/>
          <w:color w:val="000000"/>
          <w:sz w:val="24"/>
          <w:szCs w:val="24"/>
          <w:lang w:val="en-US" w:eastAsia="nb-NO"/>
        </w:rPr>
        <w:t xml:space="preserve">The international community estimated that around </w:t>
      </w:r>
      <w:r w:rsidRPr="002950FA">
        <w:rPr>
          <w:rFonts w:ascii="Arial" w:eastAsia="Times New Roman" w:hAnsi="Arial" w:cs="Arial"/>
          <w:color w:val="000000"/>
          <w:sz w:val="24"/>
          <w:szCs w:val="24"/>
          <w:lang w:val="en-US" w:eastAsia="nb-NO"/>
        </w:rPr>
        <w:lastRenderedPageBreak/>
        <w:t>one trillion tonnes of Carbon (1000 PgC)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t>
      </w:r>
      <w:r w:rsidR="002950FA">
        <w:rPr>
          <w:rFonts w:ascii="Arial" w:eastAsia="Times New Roman" w:hAnsi="Arial" w:cs="Arial"/>
          <w:color w:val="000000"/>
          <w:sz w:val="24"/>
          <w:szCs w:val="24"/>
          <w:lang w:val="en-US" w:eastAsia="nb-NO"/>
        </w:rPr>
        <w:t>We have already burnt htorugh more than 50% of the allocated budget, emitting 515 PgC since the in</w:t>
      </w:r>
      <w:r w:rsidR="00746D38">
        <w:rPr>
          <w:rFonts w:ascii="Arial" w:eastAsia="Times New Roman" w:hAnsi="Arial" w:cs="Arial"/>
          <w:color w:val="000000"/>
          <w:sz w:val="24"/>
          <w:szCs w:val="24"/>
          <w:lang w:val="en-US" w:eastAsia="nb-NO"/>
        </w:rPr>
        <w:t xml:space="preserve">dustrial revolution (1861-1880), leaving 485 PgC in the budget. We are not clear how these climate sentive ecosystem will behave in the future and will they provide options to delay the effects of climate by effectivel managing these systems. If we continuve to emit the Co2 at thisrate we will burn out 1000 PgC by 2045. </w:t>
      </w:r>
      <w:r w:rsidR="002950FA">
        <w:rPr>
          <w:rFonts w:ascii="Arial" w:eastAsia="Times New Roman" w:hAnsi="Arial" w:cs="Arial"/>
          <w:color w:val="000000"/>
          <w:sz w:val="24"/>
          <w:szCs w:val="24"/>
          <w:lang w:val="en-US" w:eastAsia="nb-NO"/>
        </w:rPr>
        <w:t xml:space="preserve"> </w:t>
      </w:r>
      <w:r w:rsidR="00746D38" w:rsidRPr="002950FA">
        <w:rPr>
          <w:rFonts w:ascii="Arial" w:hAnsi="Arial" w:cs="Arial"/>
          <w:color w:val="000000"/>
          <w:sz w:val="24"/>
          <w:szCs w:val="24"/>
          <w:lang w:val="en-US"/>
        </w:rPr>
        <w:t xml:space="preserve">To achieve this goal, early and large-scale carbon emission </w:t>
      </w:r>
      <w:r w:rsidR="00746D38" w:rsidRPr="002950FA">
        <w:rPr>
          <w:rFonts w:ascii="Arial" w:hAnsi="Arial" w:cs="Arial"/>
          <w:color w:val="000000" w:themeColor="text1"/>
          <w:sz w:val="24"/>
          <w:szCs w:val="24"/>
          <w:lang w:val="en-US"/>
        </w:rPr>
        <w:t xml:space="preserve">reductions are immediately </w:t>
      </w:r>
      <w:r w:rsidR="00746D38" w:rsidRPr="002950FA">
        <w:rPr>
          <w:rFonts w:ascii="Arial" w:hAnsi="Arial" w:cs="Arial"/>
          <w:color w:val="000000"/>
          <w:sz w:val="24"/>
          <w:szCs w:val="24"/>
          <w:lang w:val="en-US"/>
        </w:rPr>
        <w:t xml:space="preserve">required to prevent any catastrophic damages. Peatlands are an important ecosystem type which not only store a huge amount of carbon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42" w:tooltip="Yu, 2012 #1007" w:history="1">
        <w:r w:rsidR="00746D38" w:rsidRPr="002950FA">
          <w:rPr>
            <w:rFonts w:ascii="Arial" w:hAnsi="Arial" w:cs="Arial"/>
            <w:noProof/>
            <w:color w:val="000000"/>
            <w:sz w:val="24"/>
            <w:szCs w:val="24"/>
            <w:lang w:val="en-US"/>
          </w:rPr>
          <w:t>Yu 2012</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(i.e. almost twice the size of the world’s forest) but have been playing a significant role in buffering the effects of climate change and have a big role to play in supporting climate adaptation and resilience </w:t>
      </w:r>
      <w:r w:rsidR="00746D38" w:rsidRPr="002950FA">
        <w:rPr>
          <w:rFonts w:ascii="Arial" w:hAnsi="Arial" w:cs="Arial"/>
          <w:color w:val="000000"/>
          <w:sz w:val="24"/>
          <w:szCs w:val="24"/>
          <w:lang w:val="en-US"/>
        </w:rPr>
        <w:fldChar w:fldCharType="begin"/>
      </w:r>
      <w:r w:rsidR="00746D38" w:rsidRPr="002950FA">
        <w:rPr>
          <w:rFonts w:ascii="Arial" w:hAnsi="Arial" w:cs="Arial"/>
          <w:color w:val="000000"/>
          <w:sz w:val="24"/>
          <w:szCs w:val="24"/>
          <w:lang w:val="en-US"/>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2" w:tooltip="Leifeld, 2018 #2060" w:history="1">
        <w:r w:rsidR="00746D38" w:rsidRPr="002950FA">
          <w:rPr>
            <w:rFonts w:ascii="Arial" w:hAnsi="Arial" w:cs="Arial"/>
            <w:noProof/>
            <w:color w:val="000000"/>
            <w:sz w:val="24"/>
            <w:szCs w:val="24"/>
            <w:lang w:val="en-US"/>
          </w:rPr>
          <w:t>Leifeld</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2018</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 xml:space="preserve"> in coming decades. If they continue to take up carbon in the future, their conservation could be a simple, inexpensive and reliable mitigation option </w: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 </w:instrText>
      </w:r>
      <w:r w:rsidR="00746D38"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746D38" w:rsidRPr="002950FA">
        <w:rPr>
          <w:rFonts w:ascii="Arial" w:hAnsi="Arial" w:cs="Arial"/>
          <w:color w:val="000000"/>
          <w:sz w:val="24"/>
          <w:szCs w:val="24"/>
          <w:lang w:val="en-US"/>
        </w:rPr>
        <w:instrText xml:space="preserve"> ADDIN EN.CITE.DATA </w:instrText>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r>
      <w:r w:rsidR="00746D38" w:rsidRPr="002950FA">
        <w:rPr>
          <w:rFonts w:ascii="Arial" w:hAnsi="Arial" w:cs="Arial"/>
          <w:color w:val="000000"/>
          <w:sz w:val="24"/>
          <w:szCs w:val="24"/>
          <w:lang w:val="en-US"/>
        </w:rPr>
        <w:fldChar w:fldCharType="separate"/>
      </w:r>
      <w:r w:rsidR="00746D38" w:rsidRPr="002950FA">
        <w:rPr>
          <w:rFonts w:ascii="Arial" w:hAnsi="Arial" w:cs="Arial"/>
          <w:noProof/>
          <w:color w:val="000000"/>
          <w:sz w:val="24"/>
          <w:szCs w:val="24"/>
          <w:lang w:val="en-US"/>
        </w:rPr>
        <w:t>(</w:t>
      </w:r>
      <w:hyperlink w:anchor="_ENREF_25" w:tooltip="Martin, 2009 #2124" w:history="1">
        <w:r w:rsidR="00746D38" w:rsidRPr="002950FA">
          <w:rPr>
            <w:rFonts w:ascii="Arial" w:hAnsi="Arial" w:cs="Arial"/>
            <w:noProof/>
            <w:color w:val="000000"/>
            <w:sz w:val="24"/>
            <w:szCs w:val="24"/>
            <w:lang w:val="en-US"/>
          </w:rPr>
          <w:t>Martin</w:t>
        </w:r>
        <w:r w:rsidR="00746D38" w:rsidRPr="002950FA">
          <w:rPr>
            <w:rFonts w:ascii="Arial" w:hAnsi="Arial" w:cs="Arial"/>
            <w:i/>
            <w:noProof/>
            <w:color w:val="000000"/>
            <w:sz w:val="24"/>
            <w:szCs w:val="24"/>
            <w:lang w:val="en-US"/>
          </w:rPr>
          <w:t>, et al.</w:t>
        </w:r>
        <w:r w:rsidR="00746D38" w:rsidRPr="002950FA">
          <w:rPr>
            <w:rFonts w:ascii="Arial" w:hAnsi="Arial" w:cs="Arial"/>
            <w:noProof/>
            <w:color w:val="000000"/>
            <w:sz w:val="24"/>
            <w:szCs w:val="24"/>
            <w:lang w:val="en-US"/>
          </w:rPr>
          <w:t xml:space="preserve"> 2009</w:t>
        </w:r>
      </w:hyperlink>
      <w:r w:rsidR="00746D38" w:rsidRPr="002950FA">
        <w:rPr>
          <w:rFonts w:ascii="Arial" w:hAnsi="Arial" w:cs="Arial"/>
          <w:noProof/>
          <w:color w:val="000000"/>
          <w:sz w:val="24"/>
          <w:szCs w:val="24"/>
          <w:lang w:val="en-US"/>
        </w:rPr>
        <w:t>)</w:t>
      </w:r>
      <w:r w:rsidR="00746D38" w:rsidRPr="002950FA">
        <w:rPr>
          <w:rFonts w:ascii="Arial" w:hAnsi="Arial" w:cs="Arial"/>
          <w:color w:val="000000"/>
          <w:sz w:val="24"/>
          <w:szCs w:val="24"/>
          <w:lang w:val="en-US"/>
        </w:rPr>
        <w:fldChar w:fldCharType="end"/>
      </w:r>
      <w:r w:rsidR="00746D38" w:rsidRPr="002950FA">
        <w:rPr>
          <w:rFonts w:ascii="Arial" w:hAnsi="Arial" w:cs="Arial"/>
          <w:color w:val="000000"/>
          <w:sz w:val="24"/>
          <w:szCs w:val="24"/>
          <w:lang w:val="en-US"/>
        </w:rPr>
        <w:t>.</w:t>
      </w:r>
    </w:p>
    <w:p w:rsidR="00742655" w:rsidRDefault="00742655" w:rsidP="002E706D">
      <w:pPr>
        <w:pStyle w:val="ListParagraph"/>
        <w:ind w:left="0"/>
        <w:jc w:val="both"/>
        <w:rPr>
          <w:rFonts w:ascii="Arial" w:hAnsi="Arial" w:cs="Arial"/>
          <w:color w:val="000000"/>
          <w:sz w:val="24"/>
          <w:szCs w:val="24"/>
          <w:lang w:val="en-US"/>
        </w:rPr>
      </w:pPr>
    </w:p>
    <w:p w:rsidR="00742655" w:rsidRPr="00F72094"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The three main pillars of sustainability are economy, society, and environment. Alteration in any one of these pillars directly affects the others. The proposed project mainly comprises the environmental dimension, and has major implications for the economy and society. First, this study will provide a better understanding of the role of peatland processes through their representations in regional and global models. Second, the study results can be used to predict the most probable demarcation of peatland and permafrost extent for the coming century and to reduce current uncertainties regarding CH</w:t>
      </w:r>
      <w:r w:rsidRPr="00F72094">
        <w:rPr>
          <w:rFonts w:ascii="Arial" w:hAnsi="Arial" w:cs="Arial"/>
          <w:color w:val="000000"/>
          <w:sz w:val="24"/>
          <w:szCs w:val="24"/>
          <w:vertAlign w:val="subscript"/>
          <w:lang w:val="en-US"/>
        </w:rPr>
        <w:t>4</w:t>
      </w:r>
      <w:r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Pr="00521E00">
        <w:rPr>
          <w:rFonts w:ascii="Arial" w:hAnsi="Arial" w:cs="Arial"/>
          <w:color w:val="000000"/>
          <w:sz w:val="24"/>
          <w:szCs w:val="24"/>
          <w:lang w:val="en-US"/>
        </w:rPr>
        <w:t>United Nations (UN) sustainable development goals</w:t>
      </w:r>
      <w:r w:rsidRPr="00F72094">
        <w:rPr>
          <w:rFonts w:ascii="Arial" w:hAnsi="Arial" w:cs="Arial"/>
          <w:color w:val="000000"/>
          <w:sz w:val="24"/>
          <w:szCs w:val="24"/>
          <w:lang w:val="en-US"/>
        </w:rPr>
        <w:t xml:space="preserve"> 13 (Climate change) and 15 (Biodiversity, forests and desertification). </w:t>
      </w:r>
      <w:r w:rsidR="00521E00">
        <w:rPr>
          <w:rFonts w:ascii="Arial" w:hAnsi="Arial" w:cs="Arial"/>
          <w:color w:val="000000"/>
          <w:sz w:val="24"/>
          <w:szCs w:val="24"/>
          <w:lang w:val="en-US"/>
        </w:rPr>
        <w:t xml:space="preserve">The project comes fulfill two of the </w:t>
      </w:r>
      <w:r w:rsidR="00521E00" w:rsidRPr="008774B9">
        <w:rPr>
          <w:rFonts w:ascii="Arial" w:hAnsi="Arial" w:cs="Arial"/>
          <w:b/>
          <w:color w:val="000000"/>
          <w:sz w:val="24"/>
          <w:szCs w:val="24"/>
          <w:lang w:val="en-US"/>
        </w:rPr>
        <w:t>Formas areas of responsibility – environment and spatial planning.</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built infrastructure (roads, buildings, communications). Hence, the results of my study will also address UN SDG 9 and SDG 13 UN (Infrastructure and Climate change).   </w:t>
      </w:r>
    </w:p>
    <w:p w:rsidR="00BF2B8F" w:rsidRDefault="00BF2B8F"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lastRenderedPageBreak/>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eastAsia="Times New Roman" w:hAnsi="Arial" w:cs="Arial"/>
          <w:b/>
          <w:bCs/>
          <w:color w:val="000000"/>
          <w:sz w:val="21"/>
          <w:szCs w:val="21"/>
          <w:lang w:val="en-US" w:eastAsia="nb-NO"/>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271DDB" w:rsidRPr="00232772" w:rsidRDefault="00271DDB" w:rsidP="00271DDB">
      <w:pPr>
        <w:shd w:val="clear" w:color="auto" w:fill="E6E0D9"/>
        <w:spacing w:after="45" w:line="288" w:lineRule="atLeast"/>
        <w:textAlignment w:val="top"/>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CF707A" w:rsidRPr="005B152B" w:rsidRDefault="005B152B" w:rsidP="00CF707A">
      <w:pPr>
        <w:jc w:val="both"/>
        <w:rPr>
          <w:rFonts w:ascii="Times New Roman" w:hAnsi="Times New Roman" w:cs="Times New Roman"/>
          <w:lang w:val="en-US"/>
        </w:rPr>
      </w:pPr>
      <w:r>
        <w:rPr>
          <w:rFonts w:ascii="Times New Roman" w:hAnsi="Times New Roman" w:cs="Times New Roman"/>
          <w:b/>
          <w:noProof/>
          <w:lang w:val="en-US" w:eastAsia="nb-NO"/>
        </w:rPr>
        <w:t>SIMULATE</w:t>
      </w:r>
      <w:r w:rsidRPr="00166049">
        <w:rPr>
          <w:rFonts w:ascii="Times New Roman" w:hAnsi="Times New Roman" w:cs="Times New Roman"/>
          <w:b/>
          <w:noProof/>
          <w:lang w:val="en-US" w:eastAsia="nb-NO"/>
        </w:rPr>
        <w:t>-PEAT</w:t>
      </w:r>
      <w:r w:rsidRPr="00166049">
        <w:rPr>
          <w:rFonts w:ascii="Times New Roman" w:hAnsi="Times New Roman" w:cs="Times New Roman"/>
          <w:color w:val="000000"/>
          <w:lang w:val="en-US"/>
        </w:rPr>
        <w:t xml:space="preserve"> focuses </w:t>
      </w:r>
      <w:r w:rsidRPr="00166049">
        <w:rPr>
          <w:rFonts w:ascii="Times New Roman" w:hAnsi="Times New Roman" w:cs="Times New Roman"/>
          <w:lang w:val="en-US"/>
        </w:rPr>
        <w:t>on integration of novel microbial CH</w:t>
      </w:r>
      <w:r w:rsidRPr="00166049">
        <w:rPr>
          <w:rFonts w:ascii="Times New Roman" w:hAnsi="Times New Roman" w:cs="Times New Roman"/>
          <w:vertAlign w:val="subscript"/>
          <w:lang w:val="en-US"/>
        </w:rPr>
        <w:t xml:space="preserve">4 </w:t>
      </w:r>
      <w:r w:rsidRPr="00166049">
        <w:rPr>
          <w:rFonts w:ascii="Times New Roman" w:hAnsi="Times New Roman" w:cs="Times New Roman"/>
          <w:lang w:val="en-US"/>
        </w:rPr>
        <w:t xml:space="preserve">and advanced hydrological schemes in an established peatland version of the dynamic vegetation model, LPJ-GUESS. The improved and adapted peatland-vegetation model will be used to increase our current understanding of the factors responsible for carbon sequestration and </w:t>
      </w:r>
      <w:r w:rsidRPr="00166049">
        <w:rPr>
          <w:rFonts w:ascii="Times New Roman" w:hAnsi="Times New Roman" w:cs="Times New Roman"/>
          <w:color w:val="000000"/>
          <w:lang w:val="en-US"/>
        </w:rPr>
        <w:t>CH</w:t>
      </w:r>
      <w:r w:rsidRPr="00166049">
        <w:rPr>
          <w:rFonts w:ascii="Times New Roman" w:hAnsi="Times New Roman" w:cs="Times New Roman"/>
          <w:color w:val="000000"/>
          <w:vertAlign w:val="subscript"/>
          <w:lang w:val="en-US"/>
        </w:rPr>
        <w:t xml:space="preserve">4 </w:t>
      </w:r>
      <w:r w:rsidRPr="00166049">
        <w:rPr>
          <w:rFonts w:ascii="Times New Roman" w:hAnsi="Times New Roman" w:cs="Times New Roman"/>
          <w:lang w:val="en-US"/>
        </w:rPr>
        <w:t xml:space="preserve">emissions in both disturbed and undisturbed peatland sites and will identify the best practices for managing peatlands. The current model has been employed in a number of global change impact and feedback studies at regional and global scales </w: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10" w:tooltip="Chaudhary, 2017 #225"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2017b</w:t>
        </w:r>
      </w:hyperlink>
      <w:r w:rsidRPr="00166049">
        <w:rPr>
          <w:rFonts w:ascii="Times New Roman" w:hAnsi="Times New Roman" w:cs="Times New Roman"/>
          <w:noProof/>
          <w:lang w:val="en-US"/>
        </w:rPr>
        <w:t xml:space="preserve">, </w:t>
      </w:r>
      <w:hyperlink w:anchor="_ENREF_12" w:tooltip="Chaudhary, 2020 #2166"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2020</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In this research project, I will improve, update, and benchmark the LPJ-GUESS model which is described below</w:t>
      </w:r>
      <w:r w:rsidR="00CF707A" w:rsidRPr="00BD150F">
        <w:rPr>
          <w:noProof/>
          <w:lang w:eastAsia="nb-NO"/>
        </w:rPr>
        <w:drawing>
          <wp:anchor distT="0" distB="0" distL="114300" distR="114300" simplePos="0" relativeHeight="251663360" behindDoc="0" locked="0" layoutInCell="1" allowOverlap="1" wp14:anchorId="1865C291" wp14:editId="12E5E8FB">
            <wp:simplePos x="0" y="0"/>
            <wp:positionH relativeFrom="margin">
              <wp:posOffset>-3810</wp:posOffset>
            </wp:positionH>
            <wp:positionV relativeFrom="paragraph">
              <wp:posOffset>785495</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707A">
        <w:rPr>
          <w:rFonts w:ascii="Times New Roman" w:hAnsi="Times New Roman" w:cs="Times New Roman"/>
          <w:b/>
          <w:noProof/>
          <w:lang w:val="en-US" w:eastAsia="nb-NO"/>
        </w:rPr>
        <w:t>MODEL</w:t>
      </w:r>
    </w:p>
    <w:p w:rsidR="00CF707A" w:rsidRDefault="00CF707A" w:rsidP="00CF707A">
      <w:pPr>
        <w:jc w:val="both"/>
        <w:rPr>
          <w:rFonts w:ascii="Times New Roman" w:hAnsi="Times New Roman" w:cs="Times New Roman"/>
          <w:lang w:val="en-US"/>
        </w:rPr>
      </w:pPr>
      <w:r>
        <w:rPr>
          <w:rFonts w:ascii="Times New Roman" w:hAnsi="Times New Roman" w:cs="Times New Roman"/>
          <w:b/>
          <w:noProof/>
          <w:lang w:val="en-US" w:eastAsia="nb-NO"/>
        </w:rPr>
        <w:t>SIMULATE</w:t>
      </w:r>
      <w:r w:rsidRPr="00166049">
        <w:rPr>
          <w:rFonts w:ascii="Times New Roman" w:hAnsi="Times New Roman" w:cs="Times New Roman"/>
          <w:b/>
          <w:noProof/>
          <w:lang w:val="en-US" w:eastAsia="nb-NO"/>
        </w:rPr>
        <w:t>-PEAT</w:t>
      </w:r>
      <w:r w:rsidRPr="00166049">
        <w:rPr>
          <w:rFonts w:ascii="Times New Roman" w:hAnsi="Times New Roman" w:cs="Times New Roman"/>
          <w:color w:val="000000"/>
          <w:lang w:val="en-US"/>
        </w:rPr>
        <w:t xml:space="preserve"> focuses </w:t>
      </w:r>
      <w:r w:rsidRPr="00166049">
        <w:rPr>
          <w:rFonts w:ascii="Times New Roman" w:hAnsi="Times New Roman" w:cs="Times New Roman"/>
          <w:lang w:val="en-US"/>
        </w:rPr>
        <w:t>on integration of novel microbial CH</w:t>
      </w:r>
      <w:r w:rsidRPr="00166049">
        <w:rPr>
          <w:rFonts w:ascii="Times New Roman" w:hAnsi="Times New Roman" w:cs="Times New Roman"/>
          <w:vertAlign w:val="subscript"/>
          <w:lang w:val="en-US"/>
        </w:rPr>
        <w:t xml:space="preserve">4 </w:t>
      </w:r>
      <w:r w:rsidRPr="00166049">
        <w:rPr>
          <w:rFonts w:ascii="Times New Roman" w:hAnsi="Times New Roman" w:cs="Times New Roman"/>
          <w:lang w:val="en-US"/>
        </w:rPr>
        <w:t xml:space="preserve">and advanced hydrological schemes in an established peatland version of the dynamic vegetation model, LPJ-GUESS. The improved and adapted peatland-vegetation model will be used to increase our current understanding of the factors responsible for carbon sequestration and </w:t>
      </w:r>
      <w:r w:rsidRPr="00166049">
        <w:rPr>
          <w:rFonts w:ascii="Times New Roman" w:hAnsi="Times New Roman" w:cs="Times New Roman"/>
          <w:color w:val="000000"/>
          <w:lang w:val="en-US"/>
        </w:rPr>
        <w:t>CH</w:t>
      </w:r>
      <w:r w:rsidRPr="00166049">
        <w:rPr>
          <w:rFonts w:ascii="Times New Roman" w:hAnsi="Times New Roman" w:cs="Times New Roman"/>
          <w:color w:val="000000"/>
          <w:vertAlign w:val="subscript"/>
          <w:lang w:val="en-US"/>
        </w:rPr>
        <w:t xml:space="preserve">4 </w:t>
      </w:r>
      <w:r w:rsidRPr="00166049">
        <w:rPr>
          <w:rFonts w:ascii="Times New Roman" w:hAnsi="Times New Roman" w:cs="Times New Roman"/>
          <w:lang w:val="en-US"/>
        </w:rPr>
        <w:t xml:space="preserve">emissions in both disturbed and undisturbed peatland sites and will identify the best practices for managing peatlands. The current model has been employed in a number of global change impact and feedback studies at regional and global scales </w: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10" w:tooltip="Chaudhary, 2017 #225"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2017b</w:t>
        </w:r>
      </w:hyperlink>
      <w:r w:rsidRPr="00166049">
        <w:rPr>
          <w:rFonts w:ascii="Times New Roman" w:hAnsi="Times New Roman" w:cs="Times New Roman"/>
          <w:noProof/>
          <w:lang w:val="en-US"/>
        </w:rPr>
        <w:t xml:space="preserve">, </w:t>
      </w:r>
      <w:hyperlink w:anchor="_ENREF_12" w:tooltip="Chaudhary, 2020 #2166" w:history="1">
        <w:r w:rsidRPr="00166049">
          <w:rPr>
            <w:rFonts w:ascii="Times New Roman" w:hAnsi="Times New Roman" w:cs="Times New Roman"/>
            <w:noProof/>
            <w:lang w:val="en-US"/>
          </w:rPr>
          <w:t>Chaudhary</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2020</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In this research project, I will improve, update, and benchmark the LPJ-GUESS model which is described below: </w:t>
      </w:r>
    </w:p>
    <w:p w:rsidR="00CF707A" w:rsidRPr="00166049" w:rsidRDefault="00CF707A" w:rsidP="00CF707A">
      <w:pPr>
        <w:jc w:val="both"/>
        <w:rPr>
          <w:rFonts w:ascii="Times New Roman" w:hAnsi="Times New Roman" w:cs="Times New Roman"/>
          <w:lang w:val="en-US"/>
        </w:rPr>
      </w:pPr>
      <w:r w:rsidRPr="00166049">
        <w:rPr>
          <w:rFonts w:ascii="Times New Roman" w:hAnsi="Times New Roman" w:cs="Times New Roman"/>
          <w:b/>
          <w:lang w:val="en-US"/>
        </w:rPr>
        <w:t xml:space="preserve">Key Model </w:t>
      </w:r>
      <w:r w:rsidRPr="00166049">
        <w:rPr>
          <w:rFonts w:ascii="Times New Roman" w:hAnsi="Times New Roman" w:cs="Times New Roman"/>
          <w:b/>
          <w:u w:val="single"/>
          <w:lang w:val="en-US"/>
        </w:rPr>
        <w:t>LPJ-GUESS</w:t>
      </w:r>
      <w:r w:rsidRPr="00166049">
        <w:rPr>
          <w:rFonts w:ascii="Times New Roman" w:hAnsi="Times New Roman" w:cs="Times New Roman"/>
          <w:lang w:val="en-US"/>
        </w:rPr>
        <w:t xml:space="preserve"> is a second-generation DGVM </w: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 </w:instrText>
      </w:r>
      <w:r w:rsidRPr="00166049">
        <w:rPr>
          <w:rFonts w:ascii="Times New Roman" w:hAnsi="Times New Roman" w:cs="Times New Roman"/>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166049">
        <w:rPr>
          <w:rFonts w:ascii="Times New Roman" w:hAnsi="Times New Roman" w:cs="Times New Roman"/>
          <w:lang w:val="en-US"/>
        </w:rPr>
        <w:instrText xml:space="preserve"> ADDIN EN.CITE.DATA </w:instrText>
      </w:r>
      <w:r w:rsidRPr="00166049">
        <w:rPr>
          <w:rFonts w:ascii="Times New Roman" w:hAnsi="Times New Roman" w:cs="Times New Roman"/>
          <w:lang w:val="en-US"/>
        </w:rPr>
      </w:r>
      <w:r w:rsidRPr="00166049">
        <w:rPr>
          <w:rFonts w:ascii="Times New Roman" w:hAnsi="Times New Roman" w:cs="Times New Roman"/>
          <w:lang w:val="en-US"/>
        </w:rPr>
        <w:fldChar w:fldCharType="end"/>
      </w:r>
      <w:r w:rsidRPr="00166049">
        <w:rPr>
          <w:rFonts w:ascii="Times New Roman" w:hAnsi="Times New Roman" w:cs="Times New Roman"/>
          <w:lang w:val="en-US"/>
        </w:rPr>
      </w:r>
      <w:r w:rsidRPr="00166049">
        <w:rPr>
          <w:rFonts w:ascii="Times New Roman" w:hAnsi="Times New Roman" w:cs="Times New Roman"/>
          <w:lang w:val="en-US"/>
        </w:rPr>
        <w:fldChar w:fldCharType="separate"/>
      </w:r>
      <w:r w:rsidRPr="00166049">
        <w:rPr>
          <w:rFonts w:ascii="Times New Roman" w:hAnsi="Times New Roman" w:cs="Times New Roman"/>
          <w:noProof/>
          <w:lang w:val="en-US"/>
        </w:rPr>
        <w:t>(</w:t>
      </w:r>
      <w:hyperlink w:anchor="_ENREF_31" w:tooltip="Smith, 2001 #2044" w:history="1">
        <w:r w:rsidRPr="00166049">
          <w:rPr>
            <w:rFonts w:ascii="Times New Roman" w:hAnsi="Times New Roman" w:cs="Times New Roman"/>
            <w:noProof/>
            <w:lang w:val="en-US"/>
          </w:rPr>
          <w:t>Smith</w:t>
        </w:r>
        <w:r w:rsidRPr="00166049">
          <w:rPr>
            <w:rFonts w:ascii="Times New Roman" w:hAnsi="Times New Roman" w:cs="Times New Roman"/>
            <w:i/>
            <w:noProof/>
            <w:lang w:val="en-US"/>
          </w:rPr>
          <w:t>, et al.</w:t>
        </w:r>
        <w:r w:rsidRPr="00166049">
          <w:rPr>
            <w:rFonts w:ascii="Times New Roman" w:hAnsi="Times New Roman" w:cs="Times New Roman"/>
            <w:noProof/>
            <w:lang w:val="en-US"/>
          </w:rPr>
          <w:t xml:space="preserve"> 2001</w:t>
        </w:r>
      </w:hyperlink>
      <w:r w:rsidRPr="00166049">
        <w:rPr>
          <w:rFonts w:ascii="Times New Roman" w:hAnsi="Times New Roman" w:cs="Times New Roman"/>
          <w:noProof/>
          <w:lang w:val="en-US"/>
        </w:rPr>
        <w:t>)</w:t>
      </w:r>
      <w:r w:rsidRPr="00166049">
        <w:rPr>
          <w:rFonts w:ascii="Times New Roman" w:hAnsi="Times New Roman" w:cs="Times New Roman"/>
          <w:lang w:val="en-US"/>
        </w:rPr>
        <w:fldChar w:fldCharType="end"/>
      </w:r>
      <w:r w:rsidRPr="00166049">
        <w:rPr>
          <w:rFonts w:ascii="Times New Roman" w:hAnsi="Times New Roman" w:cs="Times New Roman"/>
          <w:lang w:val="en-US"/>
        </w:rPr>
        <w:t xml:space="preserve">, which simulates vegetation structure and composition in response to a changing climate from local to global scales. It is </w:t>
      </w:r>
      <w:r w:rsidRPr="00166049">
        <w:rPr>
          <w:rFonts w:ascii="Times New Roman" w:hAnsi="Times New Roman" w:cs="Times New Roman"/>
          <w:lang w:val="en-US"/>
        </w:rPr>
        <w:lastRenderedPageBreak/>
        <w:t>a process-based model of vegetation dynamics incorporating the physiological changes and biogeochemistry of terrestrial ecosystems. LPJ-GUESS will be used as a modelling tool for the proposed project. This model has been applied in more than 200 published studies and evaluated against datasets across many ecosystem types including the pan-Arctic region.</w:t>
      </w:r>
    </w:p>
    <w:p w:rsidR="00CF707A" w:rsidRPr="0095155F" w:rsidRDefault="00CF707A" w:rsidP="00CF707A">
      <w:pPr>
        <w:jc w:val="both"/>
        <w:rPr>
          <w:rFonts w:ascii="Times New Roman" w:hAnsi="Times New Roman" w:cs="Times New Roman"/>
          <w:lang w:val="en-US"/>
        </w:rPr>
      </w:pPr>
      <w:r w:rsidRPr="0095155F">
        <w:rPr>
          <w:rFonts w:ascii="Times New Roman" w:hAnsi="Times New Roman" w:cs="Times New Roman"/>
          <w:b/>
          <w:lang w:val="en-US"/>
        </w:rPr>
        <w:t xml:space="preserve">Fig. </w:t>
      </w:r>
      <w:r>
        <w:rPr>
          <w:rFonts w:ascii="Times New Roman" w:hAnsi="Times New Roman" w:cs="Times New Roman"/>
          <w:b/>
          <w:lang w:val="en-US"/>
        </w:rPr>
        <w:t xml:space="preserve">1. A </w:t>
      </w:r>
      <w:r w:rsidRPr="0095155F">
        <w:rPr>
          <w:rFonts w:ascii="Times New Roman" w:hAnsi="Times New Roman" w:cs="Times New Roman"/>
          <w:b/>
          <w:lang w:val="en-US"/>
        </w:rPr>
        <w:t xml:space="preserve">schematic diagram showing </w:t>
      </w:r>
      <w:r>
        <w:rPr>
          <w:rFonts w:ascii="Times New Roman" w:hAnsi="Times New Roman" w:cs="Times New Roman"/>
          <w:b/>
          <w:lang w:val="en-US"/>
        </w:rPr>
        <w:t xml:space="preserve">the </w:t>
      </w:r>
      <w:r w:rsidRPr="0095155F">
        <w:rPr>
          <w:rFonts w:ascii="Times New Roman" w:hAnsi="Times New Roman" w:cs="Times New Roman"/>
          <w:b/>
          <w:lang w:val="en-US"/>
        </w:rPr>
        <w:t>LPJ-GUESS peatland structure and functioning</w:t>
      </w:r>
      <w:r w:rsidRPr="0095155F">
        <w:rPr>
          <w:rFonts w:ascii="Times New Roman" w:hAnsi="Times New Roman" w:cs="Times New Roman"/>
          <w:lang w:val="en-US"/>
        </w:rPr>
        <w:t xml:space="preserve"> </w:t>
      </w:r>
    </w:p>
    <w:p w:rsidR="00CF707A" w:rsidRDefault="00CF707A" w:rsidP="00CF707A">
      <w:pPr>
        <w:spacing w:line="276" w:lineRule="auto"/>
        <w:jc w:val="both"/>
        <w:rPr>
          <w:rFonts w:ascii="Times New Roman" w:hAnsi="Times New Roman" w:cs="Times New Roman"/>
          <w:lang w:val="en-US"/>
        </w:rPr>
      </w:pPr>
      <w:r w:rsidRPr="0095155F">
        <w:rPr>
          <w:rFonts w:ascii="Times New Roman" w:hAnsi="Times New Roman" w:cs="Times New Roman"/>
          <w:lang w:val="en-US"/>
        </w:rPr>
        <w:t>Recently, the multi-layer peat accumulation and permafrost functionalities</w:t>
      </w:r>
      <w:r>
        <w:rPr>
          <w:rFonts w:ascii="Times New Roman" w:hAnsi="Times New Roman" w:cs="Times New Roman"/>
          <w:lang w:val="en-US"/>
        </w:rPr>
        <w:t xml:space="preserve"> have been included </w:t>
      </w:r>
      <w:r>
        <w:rPr>
          <w:rFonts w:ascii="Times New Roman" w:hAnsi="Times New Roman" w:cs="Times New Roman"/>
          <w:lang w:val="en-US"/>
        </w:rPr>
        <w:fldChar w:fldCharType="begin"/>
      </w:r>
      <w:r>
        <w:rPr>
          <w:rFonts w:ascii="Times New Roman" w:hAnsi="Times New Roman" w:cs="Times New Roman"/>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Pr>
          <w:rFonts w:ascii="Times New Roman" w:hAnsi="Times New Roman" w:cs="Times New Roman"/>
          <w:lang w:val="en-US"/>
        </w:rPr>
        <w:fldChar w:fldCharType="separate"/>
      </w:r>
      <w:r>
        <w:rPr>
          <w:rFonts w:ascii="Times New Roman" w:hAnsi="Times New Roman" w:cs="Times New Roman"/>
          <w:noProof/>
          <w:lang w:val="en-US"/>
        </w:rPr>
        <w:t>(</w:t>
      </w:r>
      <w:hyperlink w:anchor="_ENREF_9" w:tooltip="Chaudhary, 2017 #269" w:history="1">
        <w:r>
          <w:rPr>
            <w:rFonts w:ascii="Times New Roman" w:hAnsi="Times New Roman" w:cs="Times New Roman"/>
            <w:noProof/>
            <w:lang w:val="en-US"/>
          </w:rPr>
          <w:t>Chaudhary</w:t>
        </w:r>
        <w:r w:rsidRPr="00D471B6">
          <w:rPr>
            <w:rFonts w:ascii="Times New Roman" w:hAnsi="Times New Roman" w:cs="Times New Roman"/>
            <w:i/>
            <w:noProof/>
            <w:lang w:val="en-US"/>
          </w:rPr>
          <w:t>, et al.</w:t>
        </w:r>
        <w:r>
          <w:rPr>
            <w:rFonts w:ascii="Times New Roman" w:hAnsi="Times New Roman" w:cs="Times New Roman"/>
            <w:noProof/>
            <w:lang w:val="en-US"/>
          </w:rPr>
          <w:t xml:space="preserve"> 2017a</w:t>
        </w:r>
      </w:hyperlink>
      <w:r>
        <w:rPr>
          <w:rFonts w:ascii="Times New Roman" w:hAnsi="Times New Roman" w:cs="Times New Roman"/>
          <w:noProof/>
          <w:lang w:val="en-US"/>
        </w:rPr>
        <w:t>)</w:t>
      </w:r>
      <w:r>
        <w:rPr>
          <w:rFonts w:ascii="Times New Roman" w:hAnsi="Times New Roman" w:cs="Times New Roman"/>
          <w:lang w:val="en-US"/>
        </w:rPr>
        <w:fldChar w:fldCharType="end"/>
      </w:r>
      <w:r>
        <w:rPr>
          <w:rFonts w:ascii="Times New Roman" w:hAnsi="Times New Roman" w:cs="Times New Roman"/>
          <w:lang w:val="en-US"/>
        </w:rPr>
        <w:t xml:space="preserve"> (see Fig. 1</w:t>
      </w:r>
      <w:r w:rsidRPr="0095155F">
        <w:rPr>
          <w:rFonts w:ascii="Times New Roman" w:hAnsi="Times New Roman" w:cs="Times New Roman"/>
          <w:lang w:val="en-US"/>
        </w:rPr>
        <w:t>) and the current version of the model will be further developed to include microbial CH</w:t>
      </w:r>
      <w:r w:rsidRPr="0095155F">
        <w:rPr>
          <w:rFonts w:ascii="Times New Roman" w:hAnsi="Times New Roman" w:cs="Times New Roman"/>
          <w:vertAlign w:val="subscript"/>
          <w:lang w:val="en-US"/>
        </w:rPr>
        <w:t>4</w:t>
      </w:r>
      <w:r w:rsidRPr="0095155F">
        <w:rPr>
          <w:rFonts w:ascii="Times New Roman" w:hAnsi="Times New Roman" w:cs="Times New Roman"/>
          <w:lang w:val="en-US"/>
        </w:rPr>
        <w:t xml:space="preserve"> biogeochemistry and advanced hydrological schemes. The new model will minimize the recent uncertainties related to anoxic carbon exchanges and peatland management practices. Later, this comprehensive model will be applied at the larger scale to carry out impact studies for the Nordic region.</w:t>
      </w:r>
    </w:p>
    <w:p w:rsidR="006054AC" w:rsidRDefault="006054AC" w:rsidP="006054AC">
      <w:pPr>
        <w:shd w:val="clear" w:color="auto" w:fill="FFFFFF"/>
        <w:spacing w:before="100" w:beforeAutospacing="1" w:after="100" w:afterAutospacing="1" w:line="336" w:lineRule="atLeast"/>
        <w:ind w:left="15"/>
        <w:rPr>
          <w:rFonts w:ascii="Arial" w:eastAsia="Times New Roman" w:hAnsi="Arial" w:cs="Arial"/>
          <w:color w:val="2F2F2F"/>
          <w:sz w:val="20"/>
          <w:szCs w:val="20"/>
          <w:lang w:val="en-US" w:eastAsia="nb-NO"/>
        </w:rPr>
      </w:pPr>
    </w:p>
    <w:p w:rsidR="004E146E" w:rsidRPr="009466BE" w:rsidRDefault="00F57736" w:rsidP="004E146E">
      <w:pPr>
        <w:spacing w:before="100" w:beforeAutospacing="1" w:after="100" w:afterAutospacing="1" w:line="240" w:lineRule="auto"/>
        <w:rPr>
          <w:rFonts w:ascii="Arial" w:eastAsia="Times New Roman" w:hAnsi="Arial" w:cs="Arial"/>
          <w:color w:val="000000"/>
          <w:lang w:val="en-US" w:eastAsia="nb-NO"/>
        </w:rPr>
      </w:pPr>
      <w:r w:rsidRPr="009466BE">
        <w:rPr>
          <w:rFonts w:ascii="Arial" w:eastAsia="Times New Roman" w:hAnsi="Arial" w:cs="Arial"/>
          <w:color w:val="000000"/>
          <w:lang w:val="en-US" w:eastAsia="nb-NO"/>
        </w:rPr>
        <w:t>Met</w:t>
      </w:r>
      <w:r w:rsidR="00745094" w:rsidRPr="009466BE">
        <w:rPr>
          <w:rFonts w:ascii="Arial" w:eastAsia="Times New Roman" w:hAnsi="Arial" w:cs="Arial"/>
          <w:color w:val="000000"/>
          <w:lang w:val="en-US" w:eastAsia="nb-NO"/>
        </w:rPr>
        <w:t>h</w:t>
      </w:r>
      <w:r w:rsidRPr="009466BE">
        <w:rPr>
          <w:rFonts w:ascii="Arial" w:eastAsia="Times New Roman" w:hAnsi="Arial" w:cs="Arial"/>
          <w:color w:val="000000"/>
          <w:lang w:val="en-US" w:eastAsia="nb-NO"/>
        </w:rPr>
        <w:t>odology</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All simulations should be performed at 1°x1° spatial resolution, for regions above 30°N</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Below is a flowchart demonstrating the simulation protocol.</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Verdana" w:eastAsia="Times New Roman" w:hAnsi="Verdana" w:cs="Times New Roman"/>
          <w:color w:val="000000"/>
          <w:sz w:val="17"/>
          <w:szCs w:val="17"/>
          <w:lang w:val="en-US" w:eastAsia="nb-NO"/>
        </w:rPr>
        <w:t>All models should do the S1 simulations (use fixed peatland extent of Xu et al., 2018), S2 simulations are for models that can simulate peatland extent dynamically.</w:t>
      </w:r>
      <w:r w:rsidRPr="0053544C">
        <w:rPr>
          <w:rFonts w:ascii="Verdana" w:eastAsia="Times New Roman" w:hAnsi="Verdana" w:cs="Times New Roman"/>
          <w:color w:val="000000"/>
          <w:sz w:val="17"/>
          <w:szCs w:val="17"/>
          <w:lang w:val="en-US" w:eastAsia="nb-NO"/>
        </w:rPr>
        <w:br/>
      </w:r>
      <w:r w:rsidRPr="0053544C">
        <w:rPr>
          <w:rFonts w:ascii="Verdana" w:eastAsia="Times New Roman" w:hAnsi="Verdana" w:cs="Times New Roman"/>
          <w:color w:val="000000"/>
          <w:sz w:val="17"/>
          <w:szCs w:val="17"/>
          <w:lang w:val="en-US" w:eastAsia="nb-NO"/>
        </w:rPr>
        <w:br/>
        <w:t>We have been invited to submit our simulation for this proposed study. However, we lack resources to run our model at such fine scale. Running more than 4000 points requires  </w:t>
      </w:r>
    </w:p>
    <w:p w:rsidR="0053544C" w:rsidRPr="0053544C" w:rsidRDefault="0053544C" w:rsidP="0053544C">
      <w:pPr>
        <w:spacing w:before="100" w:beforeAutospacing="1" w:after="100" w:afterAutospacing="1" w:line="240" w:lineRule="auto"/>
        <w:rPr>
          <w:rFonts w:ascii="Verdana" w:eastAsia="Times New Roman" w:hAnsi="Verdana" w:cs="Times New Roman"/>
          <w:color w:val="000000"/>
          <w:sz w:val="17"/>
          <w:szCs w:val="17"/>
          <w:lang w:val="en-US" w:eastAsia="nb-NO"/>
        </w:rPr>
      </w:pPr>
      <w:r w:rsidRPr="0053544C">
        <w:rPr>
          <w:rFonts w:ascii="Arial" w:eastAsia="Times New Roman" w:hAnsi="Arial" w:cs="Arial"/>
          <w:color w:val="000000"/>
          <w:sz w:val="24"/>
          <w:szCs w:val="24"/>
          <w:lang w:val="en-US" w:eastAsia="nb-NO"/>
        </w:rPr>
        <w:t> </w:t>
      </w:r>
    </w:p>
    <w:p w:rsidR="0053544C" w:rsidRPr="0053544C" w:rsidRDefault="0053544C" w:rsidP="0053544C">
      <w:pPr>
        <w:rPr>
          <w:lang w:val="en-US"/>
        </w:rPr>
      </w:pPr>
      <w:r w:rsidRPr="00AF3901">
        <w:rPr>
          <w:rFonts w:ascii="Arial" w:eastAsia="Times New Roman" w:hAnsi="Arial" w:cs="Arial"/>
          <w:color w:val="000000"/>
          <w:sz w:val="24"/>
          <w:szCs w:val="24"/>
          <w:lang w:val="en-US" w:eastAsia="nb-NO"/>
        </w:rPr>
        <w:br/>
      </w:r>
      <w:r w:rsidR="00AF3901" w:rsidRPr="0053544C">
        <w:rPr>
          <w:rFonts w:ascii="Arial" w:eastAsia="Times New Roman" w:hAnsi="Arial" w:cs="Arial"/>
          <w:color w:val="000000"/>
          <w:sz w:val="24"/>
          <w:szCs w:val="24"/>
          <w:lang w:val="en-US" w:eastAsia="nb-NO"/>
        </w:rPr>
        <w:t>Natural disturbance, i.e, fires, should be disabled from simulations. Anthropogenic land-use change should be kept fixed or disabled.</w:t>
      </w:r>
      <w:r w:rsidR="00AF3901"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180E02"/>
    <w:rsid w:val="0023201F"/>
    <w:rsid w:val="00232772"/>
    <w:rsid w:val="00271DDB"/>
    <w:rsid w:val="00277473"/>
    <w:rsid w:val="002950FA"/>
    <w:rsid w:val="002E706D"/>
    <w:rsid w:val="003036AD"/>
    <w:rsid w:val="003058D5"/>
    <w:rsid w:val="0035229E"/>
    <w:rsid w:val="00452137"/>
    <w:rsid w:val="004B3207"/>
    <w:rsid w:val="004E146E"/>
    <w:rsid w:val="00521E00"/>
    <w:rsid w:val="0053544C"/>
    <w:rsid w:val="005B152B"/>
    <w:rsid w:val="005F62C4"/>
    <w:rsid w:val="006054AC"/>
    <w:rsid w:val="00654519"/>
    <w:rsid w:val="00675CCE"/>
    <w:rsid w:val="00742655"/>
    <w:rsid w:val="00745094"/>
    <w:rsid w:val="00746D38"/>
    <w:rsid w:val="00875C24"/>
    <w:rsid w:val="008774B9"/>
    <w:rsid w:val="008C3131"/>
    <w:rsid w:val="00937E9B"/>
    <w:rsid w:val="009466BE"/>
    <w:rsid w:val="009510B9"/>
    <w:rsid w:val="00A97FD4"/>
    <w:rsid w:val="00AF3901"/>
    <w:rsid w:val="00BF2B8F"/>
    <w:rsid w:val="00BF5833"/>
    <w:rsid w:val="00CF707A"/>
    <w:rsid w:val="00E23824"/>
    <w:rsid w:val="00E61CB6"/>
    <w:rsid w:val="00E73271"/>
    <w:rsid w:val="00F57736"/>
    <w:rsid w:val="00F720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C62"/>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34"/>
    <w:qFormat/>
    <w:rsid w:val="002E706D"/>
    <w:pPr>
      <w:ind w:left="720"/>
      <w:contextualSpacing/>
    </w:pPr>
  </w:style>
  <w:style w:type="character" w:customStyle="1" w:styleId="ListParagraphChar">
    <w:name w:val="List Paragraph Char"/>
    <w:basedOn w:val="DefaultParagraphFont"/>
    <w:link w:val="ListParagraph"/>
    <w:uiPriority w:val="99"/>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3436</Words>
  <Characters>18217</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36</cp:revision>
  <dcterms:created xsi:type="dcterms:W3CDTF">2020-06-01T06:31:00Z</dcterms:created>
  <dcterms:modified xsi:type="dcterms:W3CDTF">2020-06-04T15:01:00Z</dcterms:modified>
</cp:coreProperties>
</file>