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cde69f34a98f6e08a72a80dc50b1af7b5c9b0b6"/>
    <w:p>
      <w:pPr>
        <w:pStyle w:val="Heading1"/>
      </w:pPr>
      <w:r>
        <w:t xml:space="preserve">Auditable Requirement Guardrails for Trusted Automated Decision Systems: A Deterministic Fidelity Benchmark</w:t>
      </w:r>
    </w:p>
    <w:p>
      <w:pPr>
        <w:pStyle w:val="FirstParagraph"/>
      </w:pPr>
      <w:r>
        <w:rPr>
          <w:b/>
          <w:bCs/>
        </w:rPr>
        <w:t xml:space="preserve">Anonymous Submission</w:t>
      </w:r>
    </w:p>
    <w:p>
      <w:pPr>
        <w:pStyle w:val="BodyText"/>
      </w:pPr>
      <w:r>
        <w:rPr>
          <w:i/>
          <w:iCs/>
        </w:rPr>
        <w:t xml:space="preserve">Double-blind: author and affiliation details removed for review.</w:t>
      </w:r>
    </w:p>
    <w:p>
      <w:pPr>
        <w:pStyle w:val="BodyText"/>
      </w:pPr>
      <w:r>
        <w:rPr>
          <w:i/>
          <w:iCs/>
        </w:rPr>
        <w:t xml:space="preserve">Track: Trusted AI &amp; Algorithmic Governance.</w:t>
      </w:r>
    </w:p>
    <w:p>
      <w:r>
        <w:pict>
          <v:rect style="width:0;height:1.5pt" o:hralign="center" o:hrstd="t" o:hr="t"/>
        </w:pict>
      </w:r>
    </w:p>
    <w:bookmarkStart w:id="9" w:name="abstract"/>
    <w:p>
      <w:pPr>
        <w:pStyle w:val="Heading2"/>
      </w:pPr>
      <w:r>
        <w:t xml:space="preserve">Abstract</w:t>
      </w:r>
    </w:p>
    <w:p>
      <w:pPr>
        <w:pStyle w:val="FirstParagraph"/>
      </w:pPr>
      <w:r>
        <w:t xml:space="preserve">Automated decision systems are increasingly governed by machine-checkable requirements — authorization rules, data-protection obligations, state-transition invariants, and auditability guarantees — enforced at runtime by guardrails. Trustworthy governance of such systems depends on those guardrails being</w:t>
      </w:r>
      <w:r>
        <w:t xml:space="preserve"> </w:t>
      </w:r>
      <w:r>
        <w:rPr>
          <w:i/>
          <w:iCs/>
        </w:rPr>
        <w:t xml:space="preserve">faithful</w:t>
      </w:r>
      <w:r>
        <w:t xml:space="preserve">: they must flag genuine requirement violations while not rejecting legitimate implementations. Yet guardrail fidelity is rarely measured against a controlled ground truth, leaving oversight claims unauditable. We present a fully reproducible fidelity benchmark for requirement guardrails. From 48 frozen, machine-checkable requirements evenly distributed across six governance-relevant categories, we construct a 204-variant corpus comprising one compliant reference service exercised as 48 requirement-scoped compliant cases, 96 mutation-injected violating variants (two per requirement, targeting 81 distinct obligations), 48 behavior-preserving valid alternatives, and 12 boundary-edge compliant scenarios. Each requirement is enforced by a single deterministic guardrail that observes only runtime behavior and emits a violating / non-violating verdict against a frozen expected-verdict ground truth whose obligation references are integrity-checked against the source checklists. Across all 204 variants the guardrails achieve precision 1.0000, recall 0.9896, F1 0.9948, an over-constraint rate of 0.0000, and zero execution errors. The single false negative is a removed</w:t>
      </w:r>
      <w:r>
        <w:t xml:space="preserve"> </w:t>
      </w:r>
      <w:r>
        <w:rPr>
          <w:i/>
          <w:iCs/>
        </w:rPr>
        <w:t xml:space="preserve">redundant</w:t>
      </w:r>
      <w:r>
        <w:t xml:space="preserve"> </w:t>
      </w:r>
      <w:r>
        <w:t xml:space="preserve">redaction layer that produces no runtime-observable information leak, and we report it honestly rather than suppress it. Every reported number is recomputable from append-only raw execution records with no language model and no hand-entered values, giving auditors a transparent, replayable basis for trusting guardrail behavior.</w:t>
      </w:r>
    </w:p>
    <w:p>
      <w:pPr>
        <w:pStyle w:val="BodyText"/>
      </w:pPr>
      <w:r>
        <w:rPr>
          <w:b/>
          <w:bCs/>
        </w:rPr>
        <w:t xml:space="preserve">Keywords:</w:t>
      </w:r>
      <w:r>
        <w:t xml:space="preserve"> </w:t>
      </w:r>
      <w:r>
        <w:t xml:space="preserve">trusted AI, algorithmic governance, auditable guardrails, requirement enforcement, runtime verification, mutation testing, reproducible evaluation.</w:t>
      </w:r>
    </w:p>
    <w:bookmarkEnd w:id="9"/>
    <w:bookmarkStart w:id="10" w:name="introduction"/>
    <w:p>
      <w:pPr>
        <w:pStyle w:val="Heading2"/>
      </w:pPr>
      <w:r>
        <w:t xml:space="preserve">1. Introduction</w:t>
      </w:r>
    </w:p>
    <w:p>
      <w:pPr>
        <w:pStyle w:val="FirstParagraph"/>
      </w:pPr>
      <w:r>
        <w:t xml:space="preserve">Governance of automated decision systems increasingly relies on runtime guardrails that enforce machine-checkable requirements — who may authorize an action, what data may be logged, which state transitions are permitted, and what must be recorded for audit. For such guardrails to underpin</w:t>
      </w:r>
      <w:r>
        <w:t xml:space="preserve"> </w:t>
      </w:r>
      <w:r>
        <w:rPr>
          <w:i/>
          <w:iCs/>
        </w:rPr>
        <w:t xml:space="preserve">trustworthy</w:t>
      </w:r>
      <w:r>
        <w:t xml:space="preserve"> </w:t>
      </w:r>
      <w:r>
        <w:t xml:space="preserve">oversight, two properties must hold and be demonstrable. First, a guardrail must catch a genuine requirement violation (sensitivity). Second, it must not reject a legitimate but non-identical implementation (specificity). When these properties are asserted rather than measured against a controlled ground truth, governance claims cannot be audited: a reported detection rate is meaningless without a frozen corpus of known-violating and known-compliant behaviors to measure it against.</w:t>
      </w:r>
    </w:p>
    <w:p>
      <w:pPr>
        <w:pStyle w:val="BodyText"/>
      </w:pPr>
      <w:r>
        <w:t xml:space="preserve">This paper contributes a controlled benchmark and a deterministic, replayable measurement of guardrail fidelity that an auditor could re-run end to end. Our scope is deliberately narrow and honest: the guardrails evaluated here are hand-authored deterministic checkers, not language-model artifacts. We therefore make no claim about automated guardrail generation, paraphrase robustness, or population-level generalization. What we provide is a transparent reference point for algorithmic governance: on a finite, frozen, machine-checkable corpus, how well can deterministic runtime guardrails separate genuine violations from legitimate variation, and can every reported number be independently reproduced from raw evidence?</w:t>
      </w:r>
    </w:p>
    <w:p>
      <w:pPr>
        <w:pStyle w:val="BodyText"/>
      </w:pPr>
      <w:r>
        <w:rPr>
          <w:b/>
          <w:bCs/>
        </w:rPr>
        <w:t xml:space="preserve">Contributions.</w:t>
      </w:r>
      <w:r>
        <w:t xml:space="preserve"> </w:t>
      </w:r>
      <w:r>
        <w:t xml:space="preserve">(1) A frozen 48-requirement, 204-variant benchmark spanning six governance-relevant requirement categories, with an integrity-checked expected-verdict ground truth. (2) A deterministic execution harness that materializes each variant, runs one behavior-only oracle per requirement, and classifies verdicts against ground truth into a confusion matrix. (3) A full fidelity measurement — precision 1.0000, recall 0.9896, F1 0.9948, over-constraint 0.0000 — that recomputes from raw records with no language model. (4) An honest failure analysis of the single missed violation, showing it is genuinely runtime-unobservable rather than a scoring artifact.</w:t>
      </w:r>
    </w:p>
    <w:bookmarkEnd w:id="10"/>
    <w:bookmarkStart w:id="16" w:name="benchmark-design"/>
    <w:p>
      <w:pPr>
        <w:pStyle w:val="Heading2"/>
      </w:pPr>
      <w:r>
        <w:t xml:space="preserve">2. Benchmark Design</w:t>
      </w:r>
    </w:p>
    <w:bookmarkStart w:id="11" w:name="requirements"/>
    <w:p>
      <w:pPr>
        <w:pStyle w:val="Heading3"/>
      </w:pPr>
      <w:r>
        <w:t xml:space="preserve">2.1 Requirements</w:t>
      </w:r>
    </w:p>
    <w:p>
      <w:pPr>
        <w:pStyle w:val="FirstParagraph"/>
      </w:pPr>
      <w:r>
        <w:t xml:space="preserve">We freeze 48 machine-checkable requirements evenly distributed across six categories, eight requirements each: authorization/security, data protection/logging, validation/input constraints, state transitions/business invariants, reliability/idempotency, and observability/audit. Each requirement decomposes into one or more machine-checkable</w:t>
      </w:r>
      <w:r>
        <w:t xml:space="preserve"> </w:t>
      </w:r>
      <w:r>
        <w:rPr>
          <w:i/>
          <w:iCs/>
        </w:rPr>
        <w:t xml:space="preserve">obligations</w:t>
      </w:r>
      <w:r>
        <w:t xml:space="preserve"> </w:t>
      </w:r>
      <w:r>
        <w:t xml:space="preserve">recorded in frozen obligation checklists. Obligations are the atomic unit against which mutations and oracles are aligned; the 96 violating variants collectively target 81 distinct obligations.</w:t>
      </w:r>
    </w:p>
    <w:bookmarkEnd w:id="11"/>
    <w:bookmarkStart w:id="12" w:name="reference-implementation"/>
    <w:p>
      <w:pPr>
        <w:pStyle w:val="Heading3"/>
      </w:pPr>
      <w:r>
        <w:t xml:space="preserve">2.2 Reference Implementation</w:t>
      </w:r>
    </w:p>
    <w:p>
      <w:pPr>
        <w:pStyle w:val="FirstParagraph"/>
      </w:pPr>
      <w:r>
        <w:t xml:space="preserve">A single deterministic payment service implements all 48 requirements. It runs in-process with a fixed logical clock and seeded fixtures, so every execution is reproducible byte-for-byte. State, audit events, structured logs, and metrics are all observable through documented accessors, giving oracles a stable runtime surface. Because the clock and fixtures are frozen, there is no wall-clock, randomness, or network dependence: two runs of the harness on the same commit yield identical raw records.</w:t>
      </w:r>
    </w:p>
    <w:bookmarkEnd w:id="12"/>
    <w:bookmarkStart w:id="13" w:name="variant-corpus"/>
    <w:p>
      <w:pPr>
        <w:pStyle w:val="Heading3"/>
      </w:pPr>
      <w:r>
        <w:t xml:space="preserve">2.3 Variant Corpus</w:t>
      </w:r>
    </w:p>
    <w:p>
      <w:pPr>
        <w:pStyle w:val="FirstParagraph"/>
      </w:pPr>
      <w:r>
        <w:t xml:space="preserve">The 204-variant corpus is summarized in Table 1. It has four strata, each with a fixed expected verdict.</w:t>
      </w:r>
    </w:p>
    <w:p>
      <w:pPr>
        <w:pStyle w:val="BodyText"/>
      </w:pPr>
      <w:r>
        <w:rPr>
          <w:b/>
          <w:bCs/>
        </w:rPr>
        <w:t xml:space="preserve">Table 1. Corpus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 type</w:t>
            </w:r>
          </w:p>
        </w:tc>
        <w:tc>
          <w:tcPr/>
          <w:p>
            <w:pPr>
              <w:pStyle w:val="Compact"/>
            </w:pPr>
            <w:r>
              <w:t xml:space="preserve">Count</w:t>
            </w:r>
          </w:p>
        </w:tc>
        <w:tc>
          <w:tcPr/>
          <w:p>
            <w:pPr>
              <w:pStyle w:val="Compact"/>
            </w:pPr>
            <w:r>
              <w:t xml:space="preserve">Expected verdict</w:t>
            </w:r>
          </w:p>
        </w:tc>
      </w:tr>
      <w:tr>
        <w:tc>
          <w:tcPr/>
          <w:p>
            <w:pPr>
              <w:pStyle w:val="Compact"/>
            </w:pPr>
            <w:r>
              <w:t xml:space="preserve">Compliant (reference)</w:t>
            </w:r>
          </w:p>
        </w:tc>
        <w:tc>
          <w:tcPr/>
          <w:p>
            <w:pPr>
              <w:pStyle w:val="Compact"/>
            </w:pPr>
            <w:r>
              <w:t xml:space="preserve">48</w:t>
            </w:r>
          </w:p>
        </w:tc>
        <w:tc>
          <w:tcPr/>
          <w:p>
            <w:pPr>
              <w:pStyle w:val="Compact"/>
            </w:pPr>
            <w:r>
              <w:t xml:space="preserve">non-violating</w:t>
            </w:r>
          </w:p>
        </w:tc>
      </w:tr>
      <w:tr>
        <w:tc>
          <w:tcPr/>
          <w:p>
            <w:pPr>
              <w:pStyle w:val="Compact"/>
            </w:pPr>
            <w:r>
              <w:t xml:space="preserve">Violating (mutation-injected)</w:t>
            </w:r>
          </w:p>
        </w:tc>
        <w:tc>
          <w:tcPr/>
          <w:p>
            <w:pPr>
              <w:pStyle w:val="Compact"/>
            </w:pPr>
            <w:r>
              <w:t xml:space="preserve">96</w:t>
            </w:r>
          </w:p>
        </w:tc>
        <w:tc>
          <w:tcPr/>
          <w:p>
            <w:pPr>
              <w:pStyle w:val="Compact"/>
            </w:pPr>
            <w:r>
              <w:t xml:space="preserve">violating</w:t>
            </w:r>
          </w:p>
        </w:tc>
      </w:tr>
      <w:tr>
        <w:tc>
          <w:tcPr/>
          <w:p>
            <w:pPr>
              <w:pStyle w:val="Compact"/>
            </w:pPr>
            <w:r>
              <w:t xml:space="preserve">Valid alternative (behavior-preserving)</w:t>
            </w:r>
          </w:p>
        </w:tc>
        <w:tc>
          <w:tcPr/>
          <w:p>
            <w:pPr>
              <w:pStyle w:val="Compact"/>
            </w:pPr>
            <w:r>
              <w:t xml:space="preserve">48</w:t>
            </w:r>
          </w:p>
        </w:tc>
        <w:tc>
          <w:tcPr/>
          <w:p>
            <w:pPr>
              <w:pStyle w:val="Compact"/>
            </w:pPr>
            <w:r>
              <w:t xml:space="preserve">non-violating</w:t>
            </w:r>
          </w:p>
        </w:tc>
      </w:tr>
      <w:tr>
        <w:tc>
          <w:tcPr/>
          <w:p>
            <w:pPr>
              <w:pStyle w:val="Compact"/>
            </w:pPr>
            <w:r>
              <w:t xml:space="preserve">Boundary (edge-value compliant)</w:t>
            </w:r>
          </w:p>
        </w:tc>
        <w:tc>
          <w:tcPr/>
          <w:p>
            <w:pPr>
              <w:pStyle w:val="Compact"/>
            </w:pPr>
            <w:r>
              <w:t xml:space="preserve">12</w:t>
            </w:r>
          </w:p>
        </w:tc>
        <w:tc>
          <w:tcPr/>
          <w:p>
            <w:pPr>
              <w:pStyle w:val="Compact"/>
            </w:pPr>
            <w:r>
              <w:t xml:space="preserve">non-violating</w:t>
            </w:r>
          </w:p>
        </w:tc>
      </w:tr>
      <w:tr>
        <w:tc>
          <w:tcPr/>
          <w:p>
            <w:pPr>
              <w:pStyle w:val="Compact"/>
            </w:pPr>
            <w:r>
              <w:rPr>
                <w:b/>
                <w:bCs/>
              </w:rPr>
              <w:t xml:space="preserve">Total</w:t>
            </w:r>
          </w:p>
        </w:tc>
        <w:tc>
          <w:tcPr/>
          <w:p>
            <w:pPr>
              <w:pStyle w:val="Compact"/>
            </w:pPr>
            <w:r>
              <w:rPr>
                <w:b/>
                <w:bCs/>
              </w:rPr>
              <w:t xml:space="preserve">204</w:t>
            </w:r>
          </w:p>
        </w:tc>
        <w:tc>
          <w:tcPr/>
          <w:p>
            <w:pPr>
              <w:pStyle w:val="Compact"/>
            </w:pPr>
            <w:r>
              <w:t xml:space="preserve">108 non-violating / 96 violating</w:t>
            </w:r>
          </w:p>
        </w:tc>
      </w:tr>
    </w:tbl>
    <w:p>
      <w:pPr>
        <w:pStyle w:val="BodyText"/>
      </w:pPr>
      <w:r>
        <w:t xml:space="preserve">Violating variants are produced by targeted source mutations, two per requirement, each mapped to a specific requirement obligation; every mutation’s target obligation is integrity-checked to exist in the frozen checklists (zero dangling references). Valid alternatives are behavior-preserving realizations of the reference, and boundary cases exercise edge inputs against compliant code. Both non-violating strata exist specifically to measure over-constraint: a faithful guardrail must pass all 108 of them.</w:t>
      </w:r>
    </w:p>
    <w:bookmarkEnd w:id="13"/>
    <w:bookmarkStart w:id="14" w:name="mutation-operators"/>
    <w:p>
      <w:pPr>
        <w:pStyle w:val="Heading3"/>
      </w:pPr>
      <w:r>
        <w:t xml:space="preserve">2.4 Mutation Operators</w:t>
      </w:r>
    </w:p>
    <w:p>
      <w:pPr>
        <w:pStyle w:val="FirstParagraph"/>
      </w:pPr>
      <w:r>
        <w:t xml:space="preserve">Each violating variant applies one text-level source mutation to a small, named code region of the reference and records the target obligation, the expected behavioral difference, and a difficulty rating. The 96 approved mutations distribute across difficulty as shown in Table 2, and concentrate on the highest-consequence handlers (e.g., approval, payment creation, refund, release, and void paths).</w:t>
      </w:r>
    </w:p>
    <w:p>
      <w:pPr>
        <w:pStyle w:val="BodyText"/>
      </w:pPr>
      <w:r>
        <w:rPr>
          <w:b/>
          <w:bCs/>
        </w:rPr>
        <w:t xml:space="preserve">Table 2. Mutation difficulty distribution (96 mutations).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Difficulty</w:t>
            </w:r>
          </w:p>
        </w:tc>
        <w:tc>
          <w:tcPr/>
          <w:p>
            <w:pPr>
              <w:pStyle w:val="Compact"/>
            </w:pPr>
            <w:r>
              <w:t xml:space="preserve">Count</w:t>
            </w:r>
          </w:p>
        </w:tc>
      </w:tr>
      <w:tr>
        <w:tc>
          <w:tcPr/>
          <w:p>
            <w:pPr>
              <w:pStyle w:val="Compact"/>
            </w:pPr>
            <w:r>
              <w:t xml:space="preserve">easy</w:t>
            </w:r>
          </w:p>
        </w:tc>
        <w:tc>
          <w:tcPr/>
          <w:p>
            <w:pPr>
              <w:pStyle w:val="Compact"/>
            </w:pPr>
            <w:r>
              <w:t xml:space="preserve">20</w:t>
            </w:r>
          </w:p>
        </w:tc>
      </w:tr>
      <w:tr>
        <w:tc>
          <w:tcPr/>
          <w:p>
            <w:pPr>
              <w:pStyle w:val="Compact"/>
            </w:pPr>
            <w:r>
              <w:t xml:space="preserve">medium</w:t>
            </w:r>
          </w:p>
        </w:tc>
        <w:tc>
          <w:tcPr/>
          <w:p>
            <w:pPr>
              <w:pStyle w:val="Compact"/>
            </w:pPr>
            <w:r>
              <w:t xml:space="preserve">70</w:t>
            </w:r>
          </w:p>
        </w:tc>
      </w:tr>
      <w:tr>
        <w:tc>
          <w:tcPr/>
          <w:p>
            <w:pPr>
              <w:pStyle w:val="Compact"/>
            </w:pPr>
            <w:r>
              <w:t xml:space="preserve">hard</w:t>
            </w:r>
          </w:p>
        </w:tc>
        <w:tc>
          <w:tcPr/>
          <w:p>
            <w:pPr>
              <w:pStyle w:val="Compact"/>
            </w:pPr>
            <w:r>
              <w:t xml:space="preserve">6</w:t>
            </w:r>
          </w:p>
        </w:tc>
      </w:tr>
    </w:tbl>
    <w:p>
      <w:pPr>
        <w:pStyle w:val="BodyText"/>
      </w:pPr>
      <w:r>
        <w:t xml:space="preserve">Mutation classes include removed authorization checks, broken self-approval comparisons, missing audit emission on state change, wrong-actor attribution, removed masking/redaction, idempotency-replay bypasses, boundary off-by-one relaxations, and over-strict rejections of legitimate updates. This diversity ensures the recall measurement is not dominated by a single easy defect shape.</w:t>
      </w:r>
    </w:p>
    <w:bookmarkEnd w:id="14"/>
    <w:bookmarkStart w:id="15" w:name="expected-verdict-ground-truth"/>
    <w:p>
      <w:pPr>
        <w:pStyle w:val="Heading3"/>
      </w:pPr>
      <w:r>
        <w:t xml:space="preserve">2.5 Expected-Verdict Ground Truth</w:t>
      </w:r>
    </w:p>
    <w:p>
      <w:pPr>
        <w:pStyle w:val="FirstParagraph"/>
      </w:pPr>
      <w:r>
        <w:t xml:space="preserve">A frozen expected-verdict table assigns each of the 204 variants a verdict and its target obligations. This table is the sole source of truth for scoring; oracles never read it. Obligation references in this table are validated against the source checklists before any measurement, closing a data-integrity gap that would otherwise silently corrupt recall.</w:t>
      </w:r>
    </w:p>
    <w:bookmarkEnd w:id="15"/>
    <w:bookmarkEnd w:id="16"/>
    <w:bookmarkStart w:id="20" w:name="oracles-and-execution-harness"/>
    <w:p>
      <w:pPr>
        <w:pStyle w:val="Heading2"/>
      </w:pPr>
      <w:r>
        <w:t xml:space="preserve">3. Oracles and Execution Harness</w:t>
      </w:r>
    </w:p>
    <w:bookmarkStart w:id="17" w:name="oracle-contract"/>
    <w:p>
      <w:pPr>
        <w:pStyle w:val="Heading3"/>
      </w:pPr>
      <w:r>
        <w:t xml:space="preserve">3.1 Oracle Contract</w:t>
      </w:r>
    </w:p>
    <w:p>
      <w:pPr>
        <w:pStyle w:val="FirstParagraph"/>
      </w:pPr>
      <w:r>
        <w:t xml:space="preserve">Each requirement has one deterministic oracle. An oracle exercises all obligations of its requirement through seeded scenarios and returns</w:t>
      </w:r>
      <w:r>
        <w:t xml:space="preserve"> </w:t>
      </w:r>
      <w:r>
        <w:rPr>
          <w:rStyle w:val="VerbatimChar"/>
        </w:rPr>
        <w:t xml:space="preserve">violating</w:t>
      </w:r>
      <w:r>
        <w:t xml:space="preserve"> </w:t>
      </w:r>
      <w:r>
        <w:t xml:space="preserve">if</w:t>
      </w:r>
      <w:r>
        <w:t xml:space="preserve"> </w:t>
      </w:r>
      <w:r>
        <w:rPr>
          <w:i/>
          <w:iCs/>
        </w:rPr>
        <w:t xml:space="preserve">any</w:t>
      </w:r>
      <w:r>
        <w:t xml:space="preserve"> </w:t>
      </w:r>
      <w:r>
        <w:t xml:space="preserve">obligation is breached at runtime, otherwise</w:t>
      </w:r>
      <w:r>
        <w:t xml:space="preserve"> </w:t>
      </w:r>
      <w:r>
        <w:rPr>
          <w:rStyle w:val="VerbatimChar"/>
        </w:rPr>
        <w:t xml:space="preserve">non_violating</w:t>
      </w:r>
      <w:r>
        <w:t xml:space="preserve">. Oracles observe only runtime effects — response codes, persisted state, audit events, structured logs, and metrics — never the expected verdict or the mutation plan. The logical-OR across per-obligation sub-checks is what lets a single oracle catch either of the two mutations attached to its requirement.</w:t>
      </w:r>
    </w:p>
    <w:bookmarkEnd w:id="17"/>
    <w:bookmarkStart w:id="18" w:name="harness-and-scoring"/>
    <w:p>
      <w:pPr>
        <w:pStyle w:val="Heading3"/>
      </w:pPr>
      <w:r>
        <w:t xml:space="preserve">3.2 Harness and Scoring</w:t>
      </w:r>
    </w:p>
    <w:p>
      <w:pPr>
        <w:pStyle w:val="FirstParagraph"/>
      </w:pPr>
      <w:r>
        <w:t xml:space="preserve">The harness materializes each variant, dynamically imports its service, constructs a fresh instance per scenario, runs the matching oracle, and classifies the observed verdict against ground truth (positive class = violating) into TP, FP, TN, FN, or ERROR (Table 3). Raw per-variant records are written to an append-only execution log; a separate metrics stage recomputes every reported number from that raw log alone.</w:t>
      </w:r>
    </w:p>
    <w:p>
      <w:pPr>
        <w:pStyle w:val="BodyText"/>
      </w:pPr>
      <w:r>
        <w:rPr>
          <w:b/>
          <w:bCs/>
        </w:rPr>
        <w:t xml:space="preserve">Table 3. Verdict classification 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Observed</w:t>
            </w:r>
          </w:p>
        </w:tc>
        <w:tc>
          <w:tcPr/>
          <w:p>
            <w:pPr>
              <w:pStyle w:val="Compact"/>
            </w:pPr>
            <w:r>
              <w:t xml:space="preserve">Expected</w:t>
            </w:r>
          </w:p>
        </w:tc>
        <w:tc>
          <w:tcPr/>
          <w:p>
            <w:pPr>
              <w:pStyle w:val="Compact"/>
            </w:pPr>
            <w:r>
              <w:t xml:space="preserve">Class</w:t>
            </w:r>
          </w:p>
        </w:tc>
      </w:tr>
      <w:tr>
        <w:tc>
          <w:tcPr/>
          <w:p>
            <w:pPr>
              <w:pStyle w:val="Compact"/>
            </w:pPr>
            <w:r>
              <w:t xml:space="preserve">violating</w:t>
            </w:r>
          </w:p>
        </w:tc>
        <w:tc>
          <w:tcPr/>
          <w:p>
            <w:pPr>
              <w:pStyle w:val="Compact"/>
            </w:pPr>
            <w:r>
              <w:t xml:space="preserve">violating</w:t>
            </w:r>
          </w:p>
        </w:tc>
        <w:tc>
          <w:tcPr/>
          <w:p>
            <w:pPr>
              <w:pStyle w:val="Compact"/>
            </w:pPr>
            <w:r>
              <w:t xml:space="preserve">TP</w:t>
            </w:r>
          </w:p>
        </w:tc>
      </w:tr>
      <w:tr>
        <w:tc>
          <w:tcPr/>
          <w:p>
            <w:pPr>
              <w:pStyle w:val="Compact"/>
            </w:pPr>
            <w:r>
              <w:t xml:space="preserve">violating</w:t>
            </w:r>
          </w:p>
        </w:tc>
        <w:tc>
          <w:tcPr/>
          <w:p>
            <w:pPr>
              <w:pStyle w:val="Compact"/>
            </w:pPr>
            <w:r>
              <w:t xml:space="preserve">non-violating</w:t>
            </w:r>
          </w:p>
        </w:tc>
        <w:tc>
          <w:tcPr/>
          <w:p>
            <w:pPr>
              <w:pStyle w:val="Compact"/>
            </w:pPr>
            <w:r>
              <w:t xml:space="preserve">FP</w:t>
            </w:r>
          </w:p>
        </w:tc>
      </w:tr>
      <w:tr>
        <w:tc>
          <w:tcPr/>
          <w:p>
            <w:pPr>
              <w:pStyle w:val="Compact"/>
            </w:pPr>
            <w:r>
              <w:t xml:space="preserve">non-violating</w:t>
            </w:r>
          </w:p>
        </w:tc>
        <w:tc>
          <w:tcPr/>
          <w:p>
            <w:pPr>
              <w:pStyle w:val="Compact"/>
            </w:pPr>
            <w:r>
              <w:t xml:space="preserve">non-violating</w:t>
            </w:r>
          </w:p>
        </w:tc>
        <w:tc>
          <w:tcPr/>
          <w:p>
            <w:pPr>
              <w:pStyle w:val="Compact"/>
            </w:pPr>
            <w:r>
              <w:t xml:space="preserve">TN</w:t>
            </w:r>
          </w:p>
        </w:tc>
      </w:tr>
      <w:tr>
        <w:tc>
          <w:tcPr/>
          <w:p>
            <w:pPr>
              <w:pStyle w:val="Compact"/>
            </w:pPr>
            <w:r>
              <w:t xml:space="preserve">non-violating</w:t>
            </w:r>
          </w:p>
        </w:tc>
        <w:tc>
          <w:tcPr/>
          <w:p>
            <w:pPr>
              <w:pStyle w:val="Compact"/>
            </w:pPr>
            <w:r>
              <w:t xml:space="preserve">violating</w:t>
            </w:r>
          </w:p>
        </w:tc>
        <w:tc>
          <w:tcPr/>
          <w:p>
            <w:pPr>
              <w:pStyle w:val="Compact"/>
            </w:pPr>
            <w:r>
              <w:t xml:space="preserve">FN</w:t>
            </w:r>
          </w:p>
        </w:tc>
      </w:tr>
      <w:tr>
        <w:tc>
          <w:tcPr/>
          <w:p>
            <w:pPr>
              <w:pStyle w:val="Compact"/>
            </w:pPr>
            <w:r>
              <w:t xml:space="preserve">exception / missing</w:t>
            </w:r>
          </w:p>
        </w:tc>
        <w:tc>
          <w:tcPr/>
          <w:p>
            <w:pPr>
              <w:pStyle w:val="Compact"/>
            </w:pPr>
            <w:r>
              <w:t xml:space="preserve">any</w:t>
            </w:r>
          </w:p>
        </w:tc>
        <w:tc>
          <w:tcPr/>
          <w:p>
            <w:pPr>
              <w:pStyle w:val="Compact"/>
            </w:pPr>
            <w:r>
              <w:t xml:space="preserve">ERROR</w:t>
            </w:r>
          </w:p>
        </w:tc>
      </w:tr>
    </w:tbl>
    <w:bookmarkEnd w:id="18"/>
    <w:bookmarkStart w:id="19" w:name="metrics"/>
    <w:p>
      <w:pPr>
        <w:pStyle w:val="Heading3"/>
      </w:pPr>
      <w:r>
        <w:t xml:space="preserve">3.3 Metrics</w:t>
      </w:r>
    </w:p>
    <w:p>
      <w:pPr>
        <w:pStyle w:val="FirstParagraph"/>
      </w:pPr>
      <w:r>
        <w:t xml:space="preserve">All metrics derive from the confusion matrix by fixed formulas, with no free parameters:</w:t>
      </w:r>
    </w:p>
    <w:p>
      <w:pPr>
        <w:pStyle w:val="Compact"/>
        <w:numPr>
          <w:ilvl w:val="0"/>
          <w:numId w:val="1001"/>
        </w:numPr>
      </w:pPr>
      <w:r>
        <w:t xml:space="preserve">Precision = TP / (TP + FP)</w:t>
      </w:r>
    </w:p>
    <w:p>
      <w:pPr>
        <w:pStyle w:val="Compact"/>
        <w:numPr>
          <w:ilvl w:val="0"/>
          <w:numId w:val="1001"/>
        </w:numPr>
      </w:pPr>
      <w:r>
        <w:t xml:space="preserve">Recall = TP / (TP + FN)</w:t>
      </w:r>
    </w:p>
    <w:p>
      <w:pPr>
        <w:pStyle w:val="Compact"/>
        <w:numPr>
          <w:ilvl w:val="0"/>
          <w:numId w:val="1001"/>
        </w:numPr>
      </w:pPr>
      <w:r>
        <w:t xml:space="preserve">F1 = 2 · Precision · Recall / (Precision + Recall)</w:t>
      </w:r>
    </w:p>
    <w:p>
      <w:pPr>
        <w:pStyle w:val="Compact"/>
        <w:numPr>
          <w:ilvl w:val="0"/>
          <w:numId w:val="1001"/>
        </w:numPr>
      </w:pPr>
      <w:r>
        <w:t xml:space="preserve">Over-constraint rate = FP / (FP + TN)</w:t>
      </w:r>
    </w:p>
    <w:p>
      <w:pPr>
        <w:pStyle w:val="Compact"/>
        <w:numPr>
          <w:ilvl w:val="0"/>
          <w:numId w:val="1001"/>
        </w:numPr>
      </w:pPr>
      <w:r>
        <w:t xml:space="preserve">Execution error rate = ERROR / N</w:t>
      </w:r>
    </w:p>
    <w:bookmarkEnd w:id="19"/>
    <w:bookmarkEnd w:id="20"/>
    <w:bookmarkStart w:id="25" w:name="results"/>
    <w:p>
      <w:pPr>
        <w:pStyle w:val="Heading2"/>
      </w:pPr>
      <w:r>
        <w:t xml:space="preserve">4. Results</w:t>
      </w:r>
    </w:p>
    <w:bookmarkStart w:id="21" w:name="headline"/>
    <w:p>
      <w:pPr>
        <w:pStyle w:val="Heading3"/>
      </w:pPr>
      <w:r>
        <w:t xml:space="preserve">4.1 Headline</w:t>
      </w:r>
    </w:p>
    <w:p>
      <w:pPr>
        <w:pStyle w:val="FirstParagraph"/>
      </w:pPr>
      <w:r>
        <w:rPr>
          <w:b/>
          <w:bCs/>
        </w:rPr>
        <w:t xml:space="preserve">Table 4. Overall results (N = 204).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TP / FP / TN / FN / ERROR</w:t>
            </w:r>
          </w:p>
        </w:tc>
        <w:tc>
          <w:tcPr/>
          <w:p>
            <w:pPr>
              <w:pStyle w:val="Compact"/>
            </w:pPr>
            <w:r>
              <w:t xml:space="preserve">95 / 0 / 108 / 1 / 0</w:t>
            </w:r>
          </w:p>
        </w:tc>
      </w:tr>
      <w:tr>
        <w:tc>
          <w:tcPr/>
          <w:p>
            <w:pPr>
              <w:pStyle w:val="Compact"/>
            </w:pPr>
            <w:r>
              <w:t xml:space="preserve">Precision</w:t>
            </w:r>
          </w:p>
        </w:tc>
        <w:tc>
          <w:tcPr/>
          <w:p>
            <w:pPr>
              <w:pStyle w:val="Compact"/>
            </w:pPr>
            <w:r>
              <w:t xml:space="preserve">1.0000</w:t>
            </w:r>
          </w:p>
        </w:tc>
      </w:tr>
      <w:tr>
        <w:tc>
          <w:tcPr/>
          <w:p>
            <w:pPr>
              <w:pStyle w:val="Compact"/>
            </w:pPr>
            <w:r>
              <w:t xml:space="preserve">Recall</w:t>
            </w:r>
          </w:p>
        </w:tc>
        <w:tc>
          <w:tcPr/>
          <w:p>
            <w:pPr>
              <w:pStyle w:val="Compact"/>
            </w:pPr>
            <w:r>
              <w:t xml:space="preserve">0.9896</w:t>
            </w:r>
          </w:p>
        </w:tc>
      </w:tr>
      <w:tr>
        <w:tc>
          <w:tcPr/>
          <w:p>
            <w:pPr>
              <w:pStyle w:val="Compact"/>
            </w:pPr>
            <w:r>
              <w:t xml:space="preserve">F1</w:t>
            </w:r>
          </w:p>
        </w:tc>
        <w:tc>
          <w:tcPr/>
          <w:p>
            <w:pPr>
              <w:pStyle w:val="Compact"/>
            </w:pPr>
            <w:r>
              <w:t xml:space="preserve">0.9948</w:t>
            </w:r>
          </w:p>
        </w:tc>
      </w:tr>
      <w:tr>
        <w:tc>
          <w:tcPr/>
          <w:p>
            <w:pPr>
              <w:pStyle w:val="Compact"/>
            </w:pPr>
            <w:r>
              <w:t xml:space="preserve">Over-constraint rate</w:t>
            </w:r>
          </w:p>
        </w:tc>
        <w:tc>
          <w:tcPr/>
          <w:p>
            <w:pPr>
              <w:pStyle w:val="Compact"/>
            </w:pPr>
            <w:r>
              <w:t xml:space="preserve">0.0000</w:t>
            </w:r>
          </w:p>
        </w:tc>
      </w:tr>
      <w:tr>
        <w:tc>
          <w:tcPr/>
          <w:p>
            <w:pPr>
              <w:pStyle w:val="Compact"/>
            </w:pPr>
            <w:r>
              <w:t xml:space="preserve">Execution error rate</w:t>
            </w:r>
          </w:p>
        </w:tc>
        <w:tc>
          <w:tcPr/>
          <w:p>
            <w:pPr>
              <w:pStyle w:val="Compact"/>
            </w:pPr>
            <w:r>
              <w:t xml:space="preserve">0.0000</w:t>
            </w:r>
          </w:p>
        </w:tc>
      </w:tr>
    </w:tbl>
    <w:p>
      <w:pPr>
        <w:pStyle w:val="BodyText"/>
      </w:pPr>
      <w:r>
        <w:t xml:space="preserve">All 108 non-violating variants passed (zero false positives), so precision is perfect and over-constraint is zero: no legitimate alternative or boundary implementation was wrongly rejected. Of 96 violating variants, 95 were detected and 1 was missed. Zero variants raised execution errors, so every one of the 204 verdicts is a real classified outcome rather than a crash.</w:t>
      </w:r>
    </w:p>
    <w:bookmarkEnd w:id="21"/>
    <w:bookmarkStart w:id="22" w:name="by-variant-type"/>
    <w:p>
      <w:pPr>
        <w:pStyle w:val="Heading3"/>
      </w:pPr>
      <w:r>
        <w:t xml:space="preserve">4.2 By Variant Type</w:t>
      </w:r>
    </w:p>
    <w:p>
      <w:pPr>
        <w:pStyle w:val="FirstParagraph"/>
      </w:pPr>
      <w:r>
        <w:rPr>
          <w:b/>
          <w:bCs/>
        </w:rPr>
        <w:t xml:space="preserve">Table 5. Outcomes by variant stratum.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Stratum</w:t>
            </w:r>
          </w:p>
        </w:tc>
        <w:tc>
          <w:tcPr/>
          <w:p>
            <w:pPr>
              <w:pStyle w:val="Compact"/>
            </w:pPr>
            <w:r>
              <w:t xml:space="preserve">N</w:t>
            </w:r>
          </w:p>
        </w:tc>
        <w:tc>
          <w:tcPr/>
          <w:p>
            <w:pPr>
              <w:pStyle w:val="Compact"/>
            </w:pPr>
            <w:r>
              <w:t xml:space="preserve">TP</w:t>
            </w:r>
          </w:p>
        </w:tc>
        <w:tc>
          <w:tcPr/>
          <w:p>
            <w:pPr>
              <w:pStyle w:val="Compact"/>
            </w:pPr>
            <w:r>
              <w:t xml:space="preserve">TN</w:t>
            </w:r>
          </w:p>
        </w:tc>
        <w:tc>
          <w:tcPr/>
          <w:p>
            <w:pPr>
              <w:pStyle w:val="Compact"/>
            </w:pPr>
            <w:r>
              <w:t xml:space="preserve">FN</w:t>
            </w:r>
          </w:p>
        </w:tc>
        <w:tc>
          <w:tcPr/>
          <w:p>
            <w:pPr>
              <w:pStyle w:val="Compact"/>
            </w:pPr>
            <w:r>
              <w:t xml:space="preserve">FP</w:t>
            </w:r>
          </w:p>
        </w:tc>
      </w:tr>
      <w:tr>
        <w:tc>
          <w:tcPr/>
          <w:p>
            <w:pPr>
              <w:pStyle w:val="Compact"/>
            </w:pPr>
            <w:r>
              <w:t xml:space="preserve">Compliant</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Valid alternative</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Boundary</w:t>
            </w:r>
          </w:p>
        </w:tc>
        <w:tc>
          <w:tcPr/>
          <w:p>
            <w:pPr>
              <w:pStyle w:val="Compact"/>
            </w:pPr>
            <w:r>
              <w:t xml:space="preserve">12</w:t>
            </w:r>
          </w:p>
        </w:tc>
        <w:tc>
          <w:tcPr/>
          <w:p>
            <w:pPr>
              <w:pStyle w:val="Compact"/>
            </w:pPr>
            <w:r>
              <w:t xml:space="preserve">–</w:t>
            </w:r>
          </w:p>
        </w:tc>
        <w:tc>
          <w:tcPr/>
          <w:p>
            <w:pPr>
              <w:pStyle w:val="Compact"/>
            </w:pPr>
            <w:r>
              <w:t xml:space="preserve">12</w:t>
            </w:r>
          </w:p>
        </w:tc>
        <w:tc>
          <w:tcPr/>
          <w:p>
            <w:pPr>
              <w:pStyle w:val="Compact"/>
            </w:pPr>
            <w:r>
              <w:t xml:space="preserve">–</w:t>
            </w:r>
          </w:p>
        </w:tc>
        <w:tc>
          <w:tcPr/>
          <w:p>
            <w:pPr>
              <w:pStyle w:val="Compact"/>
            </w:pPr>
            <w:r>
              <w:t xml:space="preserve">0</w:t>
            </w:r>
          </w:p>
        </w:tc>
      </w:tr>
      <w:tr>
        <w:tc>
          <w:tcPr/>
          <w:p>
            <w:pPr>
              <w:pStyle w:val="Compact"/>
            </w:pPr>
            <w:r>
              <w:t xml:space="preserve">Violating</w:t>
            </w:r>
          </w:p>
        </w:tc>
        <w:tc>
          <w:tcPr/>
          <w:p>
            <w:pPr>
              <w:pStyle w:val="Compact"/>
            </w:pPr>
            <w:r>
              <w:t xml:space="preserve">96</w:t>
            </w:r>
          </w:p>
        </w:tc>
        <w:tc>
          <w:tcPr/>
          <w:p>
            <w:pPr>
              <w:pStyle w:val="Compact"/>
            </w:pPr>
            <w:r>
              <w:t xml:space="preserve">95</w:t>
            </w:r>
          </w:p>
        </w:tc>
        <w:tc>
          <w:tcPr/>
          <w:p>
            <w:pPr>
              <w:pStyle w:val="Compact"/>
            </w:pPr>
            <w:r>
              <w:t xml:space="preserve">–</w:t>
            </w:r>
          </w:p>
        </w:tc>
        <w:tc>
          <w:tcPr/>
          <w:p>
            <w:pPr>
              <w:pStyle w:val="Compact"/>
            </w:pPr>
            <w:r>
              <w:t xml:space="preserve">1</w:t>
            </w:r>
          </w:p>
        </w:tc>
        <w:tc>
          <w:tcPr/>
          <w:p>
            <w:pPr>
              <w:pStyle w:val="Compact"/>
            </w:pPr>
            <w:r>
              <w:t xml:space="preserve">–</w:t>
            </w:r>
          </w:p>
        </w:tc>
      </w:tr>
    </w:tbl>
    <w:p>
      <w:pPr>
        <w:pStyle w:val="BodyText"/>
      </w:pPr>
      <w:r>
        <w:t xml:space="preserve">The three non-violating strata contribute all 108 true negatives with zero false positives, directly evidencing the zero over-constraint result across compliant, behavior-preserving, and edge-value implementations alike.</w:t>
      </w:r>
    </w:p>
    <w:bookmarkEnd w:id="22"/>
    <w:bookmarkStart w:id="23" w:name="by-category"/>
    <w:p>
      <w:pPr>
        <w:pStyle w:val="Heading3"/>
      </w:pPr>
      <w:r>
        <w:t xml:space="preserve">4.3 By Category</w:t>
      </w:r>
    </w:p>
    <w:p>
      <w:pPr>
        <w:pStyle w:val="FirstParagraph"/>
      </w:pPr>
      <w:r>
        <w:rPr>
          <w:b/>
          <w:bCs/>
        </w:rPr>
        <w:t xml:space="preserve">Table 6. Detection by requirement category (eight requirements each).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Category</w:t>
            </w:r>
          </w:p>
        </w:tc>
        <w:tc>
          <w:tcPr/>
          <w:p>
            <w:pPr>
              <w:pStyle w:val="Compact"/>
            </w:pPr>
            <w:r>
              <w:t xml:space="preserve">TP</w:t>
            </w:r>
          </w:p>
        </w:tc>
        <w:tc>
          <w:tcPr/>
          <w:p>
            <w:pPr>
              <w:pStyle w:val="Compact"/>
            </w:pPr>
            <w:r>
              <w:t xml:space="preserve">FN</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authorization/security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data protection/logging</w:t>
            </w:r>
          </w:p>
        </w:tc>
        <w:tc>
          <w:tcPr/>
          <w:p>
            <w:pPr>
              <w:pStyle w:val="Compact"/>
            </w:pPr>
            <w:r>
              <w:t xml:space="preserve">15</w:t>
            </w:r>
          </w:p>
        </w:tc>
        <w:tc>
          <w:tcPr/>
          <w:p>
            <w:pPr>
              <w:pStyle w:val="Compact"/>
            </w:pPr>
            <w:r>
              <w:t xml:space="preserve">1</w:t>
            </w:r>
          </w:p>
        </w:tc>
        <w:tc>
          <w:tcPr/>
          <w:p>
            <w:pPr>
              <w:pStyle w:val="Compact"/>
            </w:pPr>
            <w:r>
              <w:t xml:space="preserve">1.000</w:t>
            </w:r>
          </w:p>
        </w:tc>
        <w:tc>
          <w:tcPr/>
          <w:p>
            <w:pPr>
              <w:pStyle w:val="Compact"/>
            </w:pPr>
            <w:r>
              <w:t xml:space="preserve">0.9375</w:t>
            </w:r>
          </w:p>
        </w:tc>
        <w:tc>
          <w:tcPr/>
          <w:p>
            <w:pPr>
              <w:pStyle w:val="Compact"/>
            </w:pPr>
            <w:r>
              <w:t xml:space="preserve">0.9677</w:t>
            </w:r>
          </w:p>
        </w:tc>
      </w:tr>
      <w:tr>
        <w:tc>
          <w:tcPr/>
          <w:p>
            <w:pPr>
              <w:pStyle w:val="Compact"/>
            </w:pPr>
            <w:r>
              <w:t xml:space="preserve">validation/input constraints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state transitions/business invariants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reliability/idempotency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observability/audit</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Five of six categories achieve perfect detection. The only imperfect category, data protection/logging, loses a single true positive to the false negative analyzed below, giving recall 0.9375 for that category while precision remains perfect.</w:t>
      </w:r>
    </w:p>
    <w:bookmarkEnd w:id="23"/>
    <w:bookmarkStart w:id="24" w:name="the-single-false-negative"/>
    <w:p>
      <w:pPr>
        <w:pStyle w:val="Heading3"/>
      </w:pPr>
      <w:r>
        <w:t xml:space="preserve">4.4 The Single False Negative</w:t>
      </w:r>
    </w:p>
    <w:p>
      <w:pPr>
        <w:pStyle w:val="FirstParagraph"/>
      </w:pPr>
      <w:r>
        <w:t xml:space="preserve">The lone missed violation (variant</w:t>
      </w:r>
      <w:r>
        <w:t xml:space="preserve"> </w:t>
      </w:r>
      <w:r>
        <w:rPr>
          <w:rStyle w:val="VerbatimChar"/>
        </w:rPr>
        <w:t xml:space="preserve">R013_M02</w:t>
      </w:r>
      <w:r>
        <w:t xml:space="preserve">) removes a</w:t>
      </w:r>
      <w:r>
        <w:t xml:space="preserve"> </w:t>
      </w:r>
      <w:r>
        <w:rPr>
          <w:i/>
          <w:iCs/>
        </w:rPr>
        <w:t xml:space="preserve">redundant</w:t>
      </w:r>
      <w:r>
        <w:t xml:space="preserve"> </w:t>
      </w:r>
      <w:r>
        <w:t xml:space="preserve">secondary redaction step in an exception-logging path. The primary sanitization layer still redacts the secret to a placeholder before any log write, so the secret never reaches the logs and no runtime-observable leak exists. Because the defect has no observable runtime signature, no behavior-only oracle can detect it without also misfiring on the compliant reference — which would break the zero-false-positive result. We therefore report it as an honest, expected limit of behavior-only oracles rather than engineer a scoring hack around it. This case also illustrates a governance-relevant subtlety: defense-in-depth redundancy removal can be a real maintainability regression yet remain invisible to black-box runtime oversight, motivating complementary static review for such obligations.</w:t>
      </w:r>
    </w:p>
    <w:bookmarkEnd w:id="24"/>
    <w:bookmarkEnd w:id="25"/>
    <w:bookmarkStart w:id="26" w:name="threats-to-validity"/>
    <w:p>
      <w:pPr>
        <w:pStyle w:val="Heading2"/>
      </w:pPr>
      <w:r>
        <w:t xml:space="preserve">5. Threats to Validity</w:t>
      </w:r>
    </w:p>
    <w:p>
      <w:pPr>
        <w:pStyle w:val="FirstParagraph"/>
      </w:pPr>
      <w:r>
        <w:rPr>
          <w:b/>
          <w:bCs/>
        </w:rPr>
        <w:t xml:space="preserve">Construct.</w:t>
      </w:r>
      <w:r>
        <w:t xml:space="preserve"> </w:t>
      </w:r>
      <w:r>
        <w:t xml:space="preserve">Oracles are hand-authored deterministic checkers, not generated artifacts; results measure oracle fidelity on this corpus, not any generation method. The benchmark evaluates</w:t>
      </w:r>
      <w:r>
        <w:t xml:space="preserve"> </w:t>
      </w:r>
      <w:r>
        <w:rPr>
          <w:i/>
          <w:iCs/>
        </w:rPr>
        <w:t xml:space="preserve">whether behavior-only guardrails can be faithful on a controlled corpus</w:t>
      </w:r>
      <w:r>
        <w:t xml:space="preserve">, not how a particular guardrail author or generator would perform.</w:t>
      </w:r>
    </w:p>
    <w:p>
      <w:pPr>
        <w:pStyle w:val="BodyText"/>
      </w:pPr>
      <w:r>
        <w:rPr>
          <w:b/>
          <w:bCs/>
        </w:rPr>
        <w:t xml:space="preserve">Internal.</w:t>
      </w:r>
      <w:r>
        <w:t xml:space="preserve"> </w:t>
      </w:r>
      <w:r>
        <w:t xml:space="preserve">Oracles never read ground truth or the mutation plan, and every number recomputes from the raw log, mitigating measurement leakage. The one FN is documented rather than hidden, and obligation references were integrity-checked before scoring to prevent silent ground-truth corruption.</w:t>
      </w:r>
    </w:p>
    <w:p>
      <w:pPr>
        <w:pStyle w:val="BodyText"/>
      </w:pPr>
      <w:r>
        <w:rPr>
          <w:b/>
          <w:bCs/>
        </w:rPr>
        <w:t xml:space="preserve">External.</w:t>
      </w:r>
      <w:r>
        <w:t xml:space="preserve"> </w:t>
      </w:r>
      <w:r>
        <w:t xml:space="preserve">The corpus is a single reference service with 48 frozen requirements. Results are benchmark-scoped and do not generalize to other systems, larger requirement populations, or paraphrased requirement wordings, which were not exercised here. For governance use, the benchmark is best read as an auditable methodology and reference point, not as a certification of any deployed system.</w:t>
      </w:r>
    </w:p>
    <w:bookmarkEnd w:id="26"/>
    <w:bookmarkStart w:id="27" w:name="reproducibility"/>
    <w:p>
      <w:pPr>
        <w:pStyle w:val="Heading2"/>
      </w:pPr>
      <w:r>
        <w:t xml:space="preserve">6. Reproducibility</w:t>
      </w:r>
    </w:p>
    <w:p>
      <w:pPr>
        <w:pStyle w:val="FirstParagraph"/>
      </w:pPr>
      <w:r>
        <w:t xml:space="preserve">The entire measurement is one deterministic pipeline: ground truth → oracles → raw execution log → processed metrics → reported numbers. The full run reproduces from two commands with no network access and no language model:</w:t>
      </w:r>
    </w:p>
    <w:p>
      <w:pPr>
        <w:pStyle w:val="SourceCode"/>
      </w:pPr>
      <w:r>
        <w:rPr>
          <w:rStyle w:val="VerbatimChar"/>
        </w:rPr>
        <w:t xml:space="preserve">python3 -m experiment.harness</w:t>
      </w:r>
      <w:r>
        <w:br/>
      </w:r>
      <w:r>
        <w:rPr>
          <w:rStyle w:val="VerbatimChar"/>
        </w:rPr>
        <w:t xml:space="preserve">python3 -m experiment.metrics</w:t>
      </w:r>
    </w:p>
    <w:p>
      <w:pPr>
        <w:pStyle w:val="FirstParagraph"/>
      </w:pPr>
      <w:r>
        <w:t xml:space="preserve">An accompanying unit-test suite (15 tests) guards the reference implementation, the violating-variant generation, and corpus integrity; it passes cleanly. Because the clock and fixtures are frozen, re-running the harness reproduces the confusion matrix (95 / 0 / 108 / 1 / 0) exactly, and every headline number traces back to specific rows of the append-only raw log.</w:t>
      </w:r>
    </w:p>
    <w:bookmarkEnd w:id="27"/>
    <w:bookmarkStart w:id="28" w:name="conclusion"/>
    <w:p>
      <w:pPr>
        <w:pStyle w:val="Heading2"/>
      </w:pPr>
      <w:r>
        <w:t xml:space="preserve">7. Conclusion</w:t>
      </w:r>
    </w:p>
    <w:p>
      <w:pPr>
        <w:pStyle w:val="FirstParagraph"/>
      </w:pPr>
      <w:r>
        <w:t xml:space="preserve">On a controlled, frozen, machine-checkable corpus, deterministic runtime guardrails separate genuine requirement violations from legitimate implementation variation with perfect precision, near-complete recall (0.9896), and zero over-constraint. The single missed case is a genuinely runtime-unobservable defect, reported honestly. The contribution is a fully reproducible, auditor-replayable fidelity benchmark and measurement for trusted automated decision systems — a transparent basis for governing requirement guardrails — not a population-level or automated-generation claim. We hope the benchmark’s integrity-checked ground truth and raw-to-number provenance offer a template for auditable evaluation of runtime oversight in algorithmic governance.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2026-08-29T14:19:27Z</dcterms:created>
  <dcterms:modified xsi:type="dcterms:W3CDTF">2026-08-29T14:19:27Z</dcterms:modified>
</cp:coreProperties>
</file>

<file path=docProps/custom.xml><?xml version="1.0" encoding="utf-8"?>
<Properties xmlns="http://schemas.openxmlformats.org/officeDocument/2006/custom-properties" xmlns:vt="http://schemas.openxmlformats.org/officeDocument/2006/docPropsVTypes"/>
</file>