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jc w:val="center"/>
      </w:pPr>
      <w:r>
        <w:rPr>
          <w:rFonts w:ascii="Times New Roman" w:hAnsi="Times New Roman"/>
          <w:b/>
          <w:i w:val="0"/>
          <w:sz w:val="32"/>
        </w:rPr>
        <w:t>Auditable Requirement Guardrails for Trusted Automated Decision Systems:</w:t>
        <w:br/>
        <w:t>A Deterministic Fidelity Benchmark</w:t>
      </w:r>
    </w:p>
    <w:p>
      <w:pPr>
        <w:pStyle w:val="Heading1"/>
      </w:pPr>
      <w:r>
        <w:rPr>
          <w:rFonts w:ascii="Times New Roman" w:hAnsi="Times New Roman"/>
        </w:rPr>
        <w:t>Abstract</w:t>
      </w:r>
    </w:p>
    <w:p>
      <w:r>
        <w:rPr>
          <w:rFonts w:ascii="Times New Roman" w:hAnsi="Times New Roman"/>
          <w:b w:val="0"/>
          <w:i w:val="0"/>
        </w:rPr>
        <w:t>Automated decision systems often use runtime guardrails to enforce governance rules. A useful guardrail must catch a violation without blocking valid behavior. We present an auditable fidelity method that connects a frozen natural-language requirement to explicit obligations, observable runtime evidence, a frozen behavior-only oracle, an independently established case label, and a stored verdict. We evaluated 48 frozen requirements from six governance categories. The primary corpus contained 203 unique cases: 95 validated violations and 108 non-violating cases. The non-violating set contained 48 reference cases, 48 structurally different valid alternatives, and 12 executable boundary scenarios. The guardrails detected all 95 scored violations and accepted all 108 non-violating cases. Recall was 1.0000 (Wilson 95% CI 0.9611-1.0000), and specificity was 1.0000 (0.9657-1.0000). After the oracle code was frozen and hashed, 43 holdout candidates were created. Twenty-six passed the predeclared violation and novelty gates and were scored separately. All 26 were detected (Wilson 95% CI 0.8713-1.0000). Three complete runs of each corpus produced identical classifications. One earlier mutation, R013_M02, changed code structure but did not create a runtime-visible violation. It was retained as an observability-boundary case; counting it mechanically gives 95/96 (98.96%). The results show high fidelity for this controlled benchmark. They do not establish production-wide or universal performance.</w:t>
      </w:r>
    </w:p>
    <w:p>
      <w:r>
        <w:rPr>
          <w:rFonts w:ascii="Times New Roman" w:hAnsi="Times New Roman"/>
          <w:b w:val="0"/>
          <w:i/>
        </w:rPr>
        <w:t>Keywords: trusted AI, governance, runtime guardrails, requirement enforcement, mutation testing, oracle design, reproducibility.</w:t>
      </w:r>
    </w:p>
    <w:p>
      <w:pPr>
        <w:pStyle w:val="Heading1"/>
      </w:pPr>
      <w:r>
        <w:rPr>
          <w:rFonts w:ascii="Times New Roman" w:hAnsi="Times New Roman"/>
        </w:rPr>
        <w:t>1. Introduction</w:t>
      </w:r>
    </w:p>
    <w:p>
      <w:r>
        <w:rPr>
          <w:rFonts w:ascii="Times New Roman" w:hAnsi="Times New Roman"/>
          <w:b w:val="0"/>
          <w:i w:val="0"/>
        </w:rPr>
        <w:t>Automated decision systems need controls for rules such as authorization, data protection, state changes, idempotency, and audit logging. A runtime guardrail is useful only when its verdict matches the requirement. It must detect a real violation. It must also allow a different implementation when that implementation still satisfies the requirement.</w:t>
      </w:r>
    </w:p>
    <w:p>
      <w:r>
        <w:rPr>
          <w:rFonts w:ascii="Times New Roman" w:hAnsi="Times New Roman"/>
          <w:b w:val="0"/>
          <w:i w:val="0"/>
        </w:rPr>
        <w:t>This creates a measurement problem. A high detection rate is not enough. A guardrail can reject every changed implementation and still look effective if the benchmark contains only faults. The expected label must also be established without using the guardrail result itself. Otherwise, the evaluation can become circular.</w:t>
      </w:r>
    </w:p>
    <w:p>
      <w:r>
        <w:rPr>
          <w:rFonts w:ascii="Times New Roman" w:hAnsi="Times New Roman"/>
          <w:b w:val="0"/>
          <w:i w:val="0"/>
        </w:rPr>
        <w:t>We address this problem with a requirement-to-evidence fidelity method. Each frozen requirement is decomposed into obligations. Each obligation is tied to runtime evidence that the reference service exposes. A behavior-only oracle checks that evidence. Case labels are established by separate validation gates before the oracle verdict is used for scoring. The oracle is then frozen before a new holdout set is created.</w:t>
      </w:r>
    </w:p>
    <w:p>
      <w:r>
        <w:rPr>
          <w:rFonts w:ascii="Times New Roman" w:hAnsi="Times New Roman"/>
          <w:b w:val="0"/>
          <w:i w:val="0"/>
        </w:rPr>
        <w:t>The technical contribution is the evaluation contract, not a new runtime-verification theory. The contract separates four artifacts that are often mixed together: the governance requirement, the observable obligation, the case ground truth, and the guardrail verdict. This separation lets us measure both missed violations and over-constraint while keeping an explicit boundary for changes that are not visible at runtime.</w:t>
      </w:r>
    </w:p>
    <w:p>
      <w:r>
        <w:rPr>
          <w:rFonts w:ascii="Times New Roman" w:hAnsi="Times New Roman"/>
          <w:b w:val="0"/>
          <w:i w:val="0"/>
        </w:rPr>
        <w:t>We make four contributions. First, we define a traceable requirement-to-observable-contract pipeline. Second, we build a balanced benchmark that contains violations, reference behavior, structurally different valid implementations, and exact boundary cases. Third, we use a pre-holdout oracle freeze and a separate validation gate for holdout cases. Fourth, we report unique-case uncertainty, deterministic replay, artifact integrity, and an explicit sensitivity result for the runtime-observability boundary.</w:t>
      </w:r>
    </w:p>
    <w:p>
      <w:pPr>
        <w:pStyle w:val="Heading1"/>
      </w:pPr>
      <w:r>
        <w:rPr>
          <w:rFonts w:ascii="Times New Roman" w:hAnsi="Times New Roman"/>
        </w:rPr>
        <w:t>2. Related Work and Positioning</w:t>
      </w:r>
    </w:p>
    <w:p>
      <w:r>
        <w:rPr>
          <w:rFonts w:ascii="Times New Roman" w:hAnsi="Times New Roman"/>
          <w:b w:val="0"/>
          <w:i w:val="0"/>
        </w:rPr>
        <w:t>Mutation testing inserts known faults to test whether an oracle or test suite detects them [1]-[4]. Runtime verification checks executions against defined properties [5]-[7]. The oracle problem concerns how a test decides whether observed behavior is correct [8]. Differential testing reduces this problem by comparing independent implementations or behaviors [9]-[12].</w:t>
      </w:r>
    </w:p>
    <w:p>
      <w:r>
        <w:rPr>
          <w:rFonts w:ascii="Times New Roman" w:hAnsi="Times New Roman"/>
          <w:b w:val="0"/>
          <w:i w:val="0"/>
        </w:rPr>
        <w:t>Our work uses ideas from these areas but asks a narrower governance question. We start from a frozen governance requirement and preserve its identity through obligation decomposition, runtime evidence, case validation, execution, and scoring. We also test the opposite side of mutation sensitivity: whether the guardrail accepts structurally different implementations that still satisfy the same requirement.</w:t>
      </w:r>
    </w:p>
    <w:p>
      <w:r>
        <w:rPr>
          <w:rFonts w:ascii="Times New Roman" w:hAnsi="Times New Roman"/>
          <w:b w:val="0"/>
          <w:i w:val="0"/>
        </w:rPr>
        <w:t>This work extends the authors' earlier specification-governance studies [13], [14]. Those studies focused on governance structure and enforcement boundaries. The present study focuses on fidelity after the requirements and behavior-only oracles are frozen. It does not claim a new formal verification method or an LLM-generated guardrail method.</w:t>
      </w:r>
    </w:p>
    <w:p>
      <w:pPr>
        <w:pStyle w:val="Heading1"/>
      </w:pPr>
      <w:r>
        <w:rPr>
          <w:rFonts w:ascii="Times New Roman" w:hAnsi="Times New Roman"/>
        </w:rPr>
        <w:t>3. Technical Contribution: Requirement-to-Observable Contract</w:t>
      </w:r>
    </w:p>
    <w:p>
      <w:pPr>
        <w:pStyle w:val="Heading2"/>
      </w:pPr>
      <w:r>
        <w:rPr>
          <w:rFonts w:ascii="Times New Roman" w:hAnsi="Times New Roman"/>
        </w:rPr>
        <w:t>3.1 Frozen Requirement Model</w:t>
      </w:r>
    </w:p>
    <w:p>
      <w:r>
        <w:rPr>
          <w:rFonts w:ascii="Times New Roman" w:hAnsi="Times New Roman"/>
          <w:b w:val="0"/>
          <w:i w:val="0"/>
        </w:rPr>
        <w:t>We selected 48 synthetic, machine-checkable requirements from a larger candidate set. The final set was balanced across six categories, with eight requirements in each category: authorization/security, data protection/logging, validation/input constraints, state transitions/business invariants, reliability/idempotency, and observability/audit.</w:t>
      </w:r>
    </w:p>
    <w:p>
      <w:r>
        <w:rPr>
          <w:rFonts w:ascii="Times New Roman" w:hAnsi="Times New Roman"/>
          <w:b w:val="0"/>
          <w:i w:val="0"/>
        </w:rPr>
        <w:t>Each requirement kept a stable identifier. It also listed candidate obligations and candidate evidence. For example, an authorization requirement can contain separate obligations for actor role, actor identity, state change, and audit output. This decomposition matters because one natural-language sentence can contain several independently observable duties.</w:t>
      </w:r>
    </w:p>
    <w:p>
      <w:pPr>
        <w:pStyle w:val="Heading2"/>
      </w:pPr>
      <w:r>
        <w:rPr>
          <w:rFonts w:ascii="Times New Roman" w:hAnsi="Times New Roman"/>
        </w:rPr>
        <w:t>3.2 Observable Evidence Contract</w:t>
      </w:r>
    </w:p>
    <w:p>
      <w:r>
        <w:rPr>
          <w:rFonts w:ascii="Times New Roman" w:hAnsi="Times New Roman"/>
          <w:b w:val="0"/>
          <w:i w:val="0"/>
        </w:rPr>
        <w:t>The reference payment service exposed stable runtime evidence through response codes and bodies, service state, audit events, logs, and metrics. Fixed fixtures and a logical clock removed network, wall-clock, and random variation. For every requirement, the oracle used only evidence that was visible through these interfaces.</w:t>
      </w:r>
    </w:p>
    <w:p>
      <w:r>
        <w:rPr>
          <w:rFonts w:ascii="Times New Roman" w:hAnsi="Times New Roman"/>
          <w:b w:val="0"/>
          <w:i w:val="0"/>
        </w:rPr>
        <w:t>We define the observable contract for requirement r as O_r = {o_1,...,o_m}, where each obligation o_i is paired with an evidence relation E_i. The behavior-only oracle returns violating when at least one required observable relation fails. It returns non-violating when all exercised observable obligations pass. This definition intentionally excludes source-code structure that has no runtime effect.</w:t>
      </w:r>
    </w:p>
    <w:p>
      <w:pPr>
        <w:pStyle w:val="Heading2"/>
      </w:pPr>
      <w:r>
        <w:rPr>
          <w:rFonts w:ascii="Times New Roman" w:hAnsi="Times New Roman"/>
        </w:rPr>
        <w:t>3.3 Oracle Specification</w:t>
      </w:r>
    </w:p>
    <w:p>
      <w:r>
        <w:rPr>
          <w:rFonts w:ascii="Times New Roman" w:hAnsi="Times New Roman"/>
          <w:b w:val="0"/>
          <w:i w:val="0"/>
        </w:rPr>
        <w:t>The executable oracle was implemented as one deterministic probe per requirement. A probe received a fresh service instance and returned only violating or non_violating. It did not read the expected verdict, mutation plan, or case label. The execution harness recorded ERROR separately when execution failed.</w:t>
      </w:r>
    </w:p>
    <w:p>
      <w:r>
        <w:rPr>
          <w:rFonts w:ascii="Times New Roman" w:hAnsi="Times New Roman"/>
          <w:b w:val="0"/>
          <w:i w:val="0"/>
        </w:rPr>
        <w:t>Each probe used independent sub-checks for distinct obligations when a requirement contained more than one duty. Each sub-check started from a fresh service instance. The probe returned violating as soon as any sub-check observed a requirement failure. Otherwise, it returned non_violating. This OR composition prevented one successful obligation from hiding another failed obligation.</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tcPr>
          <w:p>
            <w:r>
              <w:rPr>
                <w:rFonts w:ascii="Times New Roman" w:hAnsi="Times New Roman"/>
                <w:b/>
                <w:sz w:val="16"/>
              </w:rPr>
              <w:t>Oracle property</w:t>
            </w:r>
          </w:p>
        </w:tc>
        <w:tc>
          <w:tcPr>
            <w:tcW w:type="dxa" w:w="3389"/>
            <w:vAlign w:val="center"/>
          </w:tcPr>
          <w:p>
            <w:r>
              <w:rPr>
                <w:rFonts w:ascii="Times New Roman" w:hAnsi="Times New Roman"/>
                <w:b/>
                <w:sz w:val="16"/>
              </w:rPr>
              <w:t>Implementation rule</w:t>
            </w:r>
          </w:p>
        </w:tc>
        <w:tc>
          <w:tcPr>
            <w:tcW w:type="dxa" w:w="3389"/>
            <w:vAlign w:val="center"/>
          </w:tcPr>
          <w:p>
            <w:r>
              <w:rPr>
                <w:rFonts w:ascii="Times New Roman" w:hAnsi="Times New Roman"/>
                <w:b/>
                <w:sz w:val="16"/>
              </w:rPr>
              <w:t>Purpose</w:t>
            </w:r>
          </w:p>
        </w:tc>
      </w:tr>
      <w:tr>
        <w:tc>
          <w:tcPr>
            <w:tcW w:type="dxa" w:w="3389"/>
            <w:vAlign w:val="center"/>
          </w:tcPr>
          <w:p>
            <w:r>
              <w:rPr>
                <w:rFonts w:ascii="Times New Roman" w:hAnsi="Times New Roman"/>
                <w:sz w:val="16"/>
              </w:rPr>
              <w:t>Input</w:t>
            </w:r>
          </w:p>
        </w:tc>
        <w:tc>
          <w:tcPr>
            <w:tcW w:type="dxa" w:w="3389"/>
            <w:vAlign w:val="center"/>
          </w:tcPr>
          <w:p>
            <w:r>
              <w:rPr>
                <w:rFonts w:ascii="Times New Roman" w:hAnsi="Times New Roman"/>
                <w:sz w:val="16"/>
              </w:rPr>
              <w:t>Fresh service factory</w:t>
            </w:r>
          </w:p>
        </w:tc>
        <w:tc>
          <w:tcPr>
            <w:tcW w:type="dxa" w:w="3389"/>
            <w:vAlign w:val="center"/>
          </w:tcPr>
          <w:p>
            <w:r>
              <w:rPr>
                <w:rFonts w:ascii="Times New Roman" w:hAnsi="Times New Roman"/>
                <w:sz w:val="16"/>
              </w:rPr>
              <w:t>Avoid state carry-over between sub-checks</w:t>
            </w:r>
          </w:p>
        </w:tc>
      </w:tr>
      <w:tr>
        <w:tc>
          <w:tcPr>
            <w:tcW w:type="dxa" w:w="3389"/>
            <w:vAlign w:val="center"/>
          </w:tcPr>
          <w:p>
            <w:r>
              <w:rPr>
                <w:rFonts w:ascii="Times New Roman" w:hAnsi="Times New Roman"/>
                <w:sz w:val="16"/>
              </w:rPr>
              <w:t>Evidence</w:t>
            </w:r>
          </w:p>
        </w:tc>
        <w:tc>
          <w:tcPr>
            <w:tcW w:type="dxa" w:w="3389"/>
            <w:vAlign w:val="center"/>
          </w:tcPr>
          <w:p>
            <w:r>
              <w:rPr>
                <w:rFonts w:ascii="Times New Roman" w:hAnsi="Times New Roman"/>
                <w:sz w:val="16"/>
              </w:rPr>
              <w:t>Response, state, audit, logs, metrics</w:t>
            </w:r>
          </w:p>
        </w:tc>
        <w:tc>
          <w:tcPr>
            <w:tcW w:type="dxa" w:w="3389"/>
            <w:vAlign w:val="center"/>
          </w:tcPr>
          <w:p>
            <w:r>
              <w:rPr>
                <w:rFonts w:ascii="Times New Roman" w:hAnsi="Times New Roman"/>
                <w:sz w:val="16"/>
              </w:rPr>
              <w:t>Use runtime-visible behavior only</w:t>
            </w:r>
          </w:p>
        </w:tc>
      </w:tr>
      <w:tr>
        <w:tc>
          <w:tcPr>
            <w:tcW w:type="dxa" w:w="3389"/>
            <w:vAlign w:val="center"/>
          </w:tcPr>
          <w:p>
            <w:r>
              <w:rPr>
                <w:rFonts w:ascii="Times New Roman" w:hAnsi="Times New Roman"/>
                <w:sz w:val="16"/>
              </w:rPr>
              <w:t>Expected labels</w:t>
            </w:r>
          </w:p>
        </w:tc>
        <w:tc>
          <w:tcPr>
            <w:tcW w:type="dxa" w:w="3389"/>
            <w:vAlign w:val="center"/>
          </w:tcPr>
          <w:p>
            <w:r>
              <w:rPr>
                <w:rFonts w:ascii="Times New Roman" w:hAnsi="Times New Roman"/>
                <w:sz w:val="16"/>
              </w:rPr>
              <w:t>Not readable by probe</w:t>
            </w:r>
          </w:p>
        </w:tc>
        <w:tc>
          <w:tcPr>
            <w:tcW w:type="dxa" w:w="3389"/>
            <w:vAlign w:val="center"/>
          </w:tcPr>
          <w:p>
            <w:r>
              <w:rPr>
                <w:rFonts w:ascii="Times New Roman" w:hAnsi="Times New Roman"/>
                <w:sz w:val="16"/>
              </w:rPr>
              <w:t>Prevent verdict leakage</w:t>
            </w:r>
          </w:p>
        </w:tc>
      </w:tr>
      <w:tr>
        <w:tc>
          <w:tcPr>
            <w:tcW w:type="dxa" w:w="3389"/>
            <w:vAlign w:val="center"/>
          </w:tcPr>
          <w:p>
            <w:r>
              <w:rPr>
                <w:rFonts w:ascii="Times New Roman" w:hAnsi="Times New Roman"/>
                <w:sz w:val="16"/>
              </w:rPr>
              <w:t>Multiple obligations</w:t>
            </w:r>
          </w:p>
        </w:tc>
        <w:tc>
          <w:tcPr>
            <w:tcW w:type="dxa" w:w="3389"/>
            <w:vAlign w:val="center"/>
          </w:tcPr>
          <w:p>
            <w:r>
              <w:rPr>
                <w:rFonts w:ascii="Times New Roman" w:hAnsi="Times New Roman"/>
                <w:sz w:val="16"/>
              </w:rPr>
              <w:t>Fresh independent sub-checks; OR of failures</w:t>
            </w:r>
          </w:p>
        </w:tc>
        <w:tc>
          <w:tcPr>
            <w:tcW w:type="dxa" w:w="3389"/>
            <w:vAlign w:val="center"/>
          </w:tcPr>
          <w:p>
            <w:r>
              <w:rPr>
                <w:rFonts w:ascii="Times New Roman" w:hAnsi="Times New Roman"/>
                <w:sz w:val="16"/>
              </w:rPr>
              <w:t>Exercise separate duties</w:t>
            </w:r>
          </w:p>
        </w:tc>
      </w:tr>
      <w:tr>
        <w:tc>
          <w:tcPr>
            <w:tcW w:type="dxa" w:w="3389"/>
            <w:vAlign w:val="center"/>
          </w:tcPr>
          <w:p>
            <w:r>
              <w:rPr>
                <w:rFonts w:ascii="Times New Roman" w:hAnsi="Times New Roman"/>
                <w:sz w:val="16"/>
              </w:rPr>
              <w:t>Execution failure</w:t>
            </w:r>
          </w:p>
        </w:tc>
        <w:tc>
          <w:tcPr>
            <w:tcW w:type="dxa" w:w="3389"/>
            <w:vAlign w:val="center"/>
          </w:tcPr>
          <w:p>
            <w:r>
              <w:rPr>
                <w:rFonts w:ascii="Times New Roman" w:hAnsi="Times New Roman"/>
                <w:sz w:val="16"/>
              </w:rPr>
              <w:t>Recorded as ERROR</w:t>
            </w:r>
          </w:p>
        </w:tc>
        <w:tc>
          <w:tcPr>
            <w:tcW w:type="dxa" w:w="3389"/>
            <w:vAlign w:val="center"/>
          </w:tcPr>
          <w:p>
            <w:r>
              <w:rPr>
                <w:rFonts w:ascii="Times New Roman" w:hAnsi="Times New Roman"/>
                <w:sz w:val="16"/>
              </w:rPr>
              <w:t>Do not convert harness failures into TP/FN</w:t>
            </w:r>
          </w:p>
        </w:tc>
      </w:tr>
    </w:tbl>
    <w:p>
      <w:pPr>
        <w:pStyle w:val="Heading1"/>
      </w:pPr>
      <w:r>
        <w:rPr>
          <w:rFonts w:ascii="Times New Roman" w:hAnsi="Times New Roman"/>
        </w:rPr>
        <w:t>4. Benchmark Construction and Validation</w:t>
      </w:r>
    </w:p>
    <w:p>
      <w:pPr>
        <w:pStyle w:val="Heading2"/>
      </w:pPr>
      <w:r>
        <w:rPr>
          <w:rFonts w:ascii="Times New Roman" w:hAnsi="Times New Roman"/>
        </w:rPr>
        <w:t>4.1 Reference and Primary Mutation Cases</w:t>
      </w:r>
    </w:p>
    <w:p>
      <w:r>
        <w:rPr>
          <w:rFonts w:ascii="Times New Roman" w:hAnsi="Times New Roman"/>
          <w:b w:val="0"/>
          <w:i w:val="0"/>
        </w:rPr>
        <w:t>The primary corpus began with one reference case for each of the 48 requirements. Reference acceptance tests and the requirement probe established these cases as non-violating.</w:t>
      </w:r>
    </w:p>
    <w:p>
      <w:r>
        <w:rPr>
          <w:rFonts w:ascii="Times New Roman" w:hAnsi="Times New Roman"/>
          <w:b w:val="0"/>
          <w:i w:val="0"/>
        </w:rPr>
        <w:t>The earlier mutation pool contained 96 candidate primary mutations. We revalidated every mutation before V2 scoring. A mutation entered the scored violating set only when five checks passed: the source changed, the declared target region was present, the file compiled, the implementation imported, and an independent requirement probe observed the intended violation. Ninety-five mutations passed all gates. R013_M02 failed the runtime-violation gate and was excluded from the headline violating set.</w:t>
      </w:r>
    </w:p>
    <w:p>
      <w:pPr>
        <w:pStyle w:val="Heading2"/>
      </w:pPr>
      <w:r>
        <w:rPr>
          <w:rFonts w:ascii="Times New Roman" w:hAnsi="Times New Roman"/>
        </w:rPr>
        <w:t>4.2 Structurally Different Valid Alternatives</w:t>
      </w:r>
    </w:p>
    <w:p>
      <w:r>
        <w:rPr>
          <w:rFonts w:ascii="Times New Roman" w:hAnsi="Times New Roman"/>
          <w:b w:val="0"/>
          <w:i w:val="0"/>
        </w:rPr>
        <w:t>We added one valid alternative for each requirement to test over-constraint. These alternatives were not byte copies of the reference implementation. Validation checked byte difference, normalized-source difference, abstract-syntax-tree difference, and a change in the requirement-relevant implementation region. The alternatives also passed the reference behavior tests and an independent compliance check. All 48 accepted alternatives therefore differed structurally while preserving the requirement.</w:t>
      </w:r>
    </w:p>
    <w:p>
      <w:pPr>
        <w:pStyle w:val="Heading2"/>
      </w:pPr>
      <w:r>
        <w:rPr>
          <w:rFonts w:ascii="Times New Roman" w:hAnsi="Times New Roman"/>
        </w:rPr>
        <w:t>4.3 Executable Boundary Scenarios</w:t>
      </w:r>
    </w:p>
    <w:p>
      <w:r>
        <w:rPr>
          <w:rFonts w:ascii="Times New Roman" w:hAnsi="Times New Roman"/>
          <w:b w:val="0"/>
          <w:i w:val="0"/>
        </w:rPr>
        <w:t>We selected 12 requirements with meaningful edge conditions. Each boundary case had an encoded setup and exact input. The scenario was executed rather than reviewed only as text. Validation required the exact scenario to load, execute, and produce independent runtime evidence consistent with a non-violating label.</w:t>
      </w:r>
    </w:p>
    <w:p>
      <w:pPr>
        <w:pStyle w:val="Heading2"/>
      </w:pPr>
      <w:r>
        <w:rPr>
          <w:rFonts w:ascii="Times New Roman" w:hAnsi="Times New Roman"/>
        </w:rPr>
        <w:t>4.4 Meaning of Independent Validation</w:t>
      </w:r>
    </w:p>
    <w:p>
      <w:r>
        <w:rPr>
          <w:rFonts w:ascii="Times New Roman" w:hAnsi="Times New Roman"/>
          <w:b w:val="0"/>
          <w:i w:val="0"/>
        </w:rPr>
        <w:t>In this study, independent validation means independent of the guardrail verdict. It does not mean an external human reviewer or an external organization. The expected label was established from source-change evidence, compilation/import checks, requirement-specific runtime probes, reference tests, scenario execution, or compliance evidence before the scored oracle result was used. This distinction is important. It reduces circular labeling, but it does not remove all researcher or framework coupling.</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tcPr>
          <w:p>
            <w:r>
              <w:rPr>
                <w:rFonts w:ascii="Times New Roman" w:hAnsi="Times New Roman"/>
                <w:b/>
                <w:sz w:val="16"/>
              </w:rPr>
              <w:t>Case type</w:t>
            </w:r>
          </w:p>
        </w:tc>
        <w:tc>
          <w:tcPr>
            <w:tcW w:type="dxa" w:w="3389"/>
            <w:vAlign w:val="center"/>
          </w:tcPr>
          <w:p>
            <w:r>
              <w:rPr>
                <w:rFonts w:ascii="Times New Roman" w:hAnsi="Times New Roman"/>
                <w:b/>
                <w:sz w:val="16"/>
              </w:rPr>
              <w:t>Pre-score evidence gate</w:t>
            </w:r>
          </w:p>
        </w:tc>
        <w:tc>
          <w:tcPr>
            <w:tcW w:type="dxa" w:w="3389"/>
            <w:vAlign w:val="center"/>
          </w:tcPr>
          <w:p>
            <w:r>
              <w:rPr>
                <w:rFonts w:ascii="Times New Roman" w:hAnsi="Times New Roman"/>
                <w:b/>
                <w:sz w:val="16"/>
              </w:rPr>
              <w:t>Scored label</w:t>
            </w:r>
          </w:p>
        </w:tc>
      </w:tr>
      <w:tr>
        <w:tc>
          <w:tcPr>
            <w:tcW w:type="dxa" w:w="3389"/>
            <w:vAlign w:val="center"/>
          </w:tcPr>
          <w:p>
            <w:r>
              <w:rPr>
                <w:rFonts w:ascii="Times New Roman" w:hAnsi="Times New Roman"/>
                <w:sz w:val="16"/>
              </w:rPr>
              <w:t>Reference</w:t>
            </w:r>
          </w:p>
        </w:tc>
        <w:tc>
          <w:tcPr>
            <w:tcW w:type="dxa" w:w="3389"/>
            <w:vAlign w:val="center"/>
          </w:tcPr>
          <w:p>
            <w:r>
              <w:rPr>
                <w:rFonts w:ascii="Times New Roman" w:hAnsi="Times New Roman"/>
                <w:sz w:val="16"/>
              </w:rPr>
              <w:t>Reference acceptance + requirement probe</w:t>
            </w:r>
          </w:p>
        </w:tc>
        <w:tc>
          <w:tcPr>
            <w:tcW w:type="dxa" w:w="3389"/>
            <w:vAlign w:val="center"/>
          </w:tcPr>
          <w:p>
            <w:r>
              <w:rPr>
                <w:rFonts w:ascii="Times New Roman" w:hAnsi="Times New Roman"/>
                <w:sz w:val="16"/>
              </w:rPr>
              <w:t>Non-violating</w:t>
            </w:r>
          </w:p>
        </w:tc>
      </w:tr>
      <w:tr>
        <w:tc>
          <w:tcPr>
            <w:tcW w:type="dxa" w:w="3389"/>
            <w:vAlign w:val="center"/>
          </w:tcPr>
          <w:p>
            <w:r>
              <w:rPr>
                <w:rFonts w:ascii="Times New Roman" w:hAnsi="Times New Roman"/>
                <w:sz w:val="16"/>
              </w:rPr>
              <w:t>Primary mutation</w:t>
            </w:r>
          </w:p>
        </w:tc>
        <w:tc>
          <w:tcPr>
            <w:tcW w:type="dxa" w:w="3389"/>
            <w:vAlign w:val="center"/>
          </w:tcPr>
          <w:p>
            <w:r>
              <w:rPr>
                <w:rFonts w:ascii="Times New Roman" w:hAnsi="Times New Roman"/>
                <w:sz w:val="16"/>
              </w:rPr>
              <w:t>Changed target + compile/import + independent probe observed violation</w:t>
            </w:r>
          </w:p>
        </w:tc>
        <w:tc>
          <w:tcPr>
            <w:tcW w:type="dxa" w:w="3389"/>
            <w:vAlign w:val="center"/>
          </w:tcPr>
          <w:p>
            <w:r>
              <w:rPr>
                <w:rFonts w:ascii="Times New Roman" w:hAnsi="Times New Roman"/>
                <w:sz w:val="16"/>
              </w:rPr>
              <w:t>Violating</w:t>
            </w:r>
          </w:p>
        </w:tc>
      </w:tr>
      <w:tr>
        <w:tc>
          <w:tcPr>
            <w:tcW w:type="dxa" w:w="3389"/>
            <w:vAlign w:val="center"/>
          </w:tcPr>
          <w:p>
            <w:r>
              <w:rPr>
                <w:rFonts w:ascii="Times New Roman" w:hAnsi="Times New Roman"/>
                <w:sz w:val="16"/>
              </w:rPr>
              <w:t>Valid alternative</w:t>
            </w:r>
          </w:p>
        </w:tc>
        <w:tc>
          <w:tcPr>
            <w:tcW w:type="dxa" w:w="3389"/>
            <w:vAlign w:val="center"/>
          </w:tcPr>
          <w:p>
            <w:r>
              <w:rPr>
                <w:rFonts w:ascii="Times New Roman" w:hAnsi="Times New Roman"/>
                <w:sz w:val="16"/>
              </w:rPr>
              <w:t>Structural difference + reference tests + compliance validation</w:t>
            </w:r>
          </w:p>
        </w:tc>
        <w:tc>
          <w:tcPr>
            <w:tcW w:type="dxa" w:w="3389"/>
            <w:vAlign w:val="center"/>
          </w:tcPr>
          <w:p>
            <w:r>
              <w:rPr>
                <w:rFonts w:ascii="Times New Roman" w:hAnsi="Times New Roman"/>
                <w:sz w:val="16"/>
              </w:rPr>
              <w:t>Non-violating</w:t>
            </w:r>
          </w:p>
        </w:tc>
      </w:tr>
      <w:tr>
        <w:tc>
          <w:tcPr>
            <w:tcW w:type="dxa" w:w="3389"/>
            <w:vAlign w:val="center"/>
          </w:tcPr>
          <w:p>
            <w:r>
              <w:rPr>
                <w:rFonts w:ascii="Times New Roman" w:hAnsi="Times New Roman"/>
                <w:sz w:val="16"/>
              </w:rPr>
              <w:t>Boundary</w:t>
            </w:r>
          </w:p>
        </w:tc>
        <w:tc>
          <w:tcPr>
            <w:tcW w:type="dxa" w:w="3389"/>
            <w:vAlign w:val="center"/>
          </w:tcPr>
          <w:p>
            <w:r>
              <w:rPr>
                <w:rFonts w:ascii="Times New Roman" w:hAnsi="Times New Roman"/>
                <w:sz w:val="16"/>
              </w:rPr>
              <w:t>Exact scenario executed + runtime evidence</w:t>
            </w:r>
          </w:p>
        </w:tc>
        <w:tc>
          <w:tcPr>
            <w:tcW w:type="dxa" w:w="3389"/>
            <w:vAlign w:val="center"/>
          </w:tcPr>
          <w:p>
            <w:r>
              <w:rPr>
                <w:rFonts w:ascii="Times New Roman" w:hAnsi="Times New Roman"/>
                <w:sz w:val="16"/>
              </w:rPr>
              <w:t>Non-violating</w:t>
            </w:r>
          </w:p>
        </w:tc>
      </w:tr>
      <w:tr>
        <w:tc>
          <w:tcPr>
            <w:tcW w:type="dxa" w:w="3389"/>
            <w:vAlign w:val="center"/>
          </w:tcPr>
          <w:p>
            <w:r>
              <w:rPr>
                <w:rFonts w:ascii="Times New Roman" w:hAnsi="Times New Roman"/>
                <w:sz w:val="16"/>
              </w:rPr>
              <w:t>Holdout</w:t>
            </w:r>
          </w:p>
        </w:tc>
        <w:tc>
          <w:tcPr>
            <w:tcW w:type="dxa" w:w="3389"/>
            <w:vAlign w:val="center"/>
          </w:tcPr>
          <w:p>
            <w:r>
              <w:rPr>
                <w:rFonts w:ascii="Times New Roman" w:hAnsi="Times New Roman"/>
                <w:sz w:val="16"/>
              </w:rPr>
              <w:t>Post-freeze source change + compile/import + violation evidence + novelty check</w:t>
            </w:r>
          </w:p>
        </w:tc>
        <w:tc>
          <w:tcPr>
            <w:tcW w:type="dxa" w:w="3389"/>
            <w:vAlign w:val="center"/>
          </w:tcPr>
          <w:p>
            <w:r>
              <w:rPr>
                <w:rFonts w:ascii="Times New Roman" w:hAnsi="Times New Roman"/>
                <w:sz w:val="16"/>
              </w:rPr>
              <w:t>Violating</w:t>
            </w:r>
          </w:p>
        </w:tc>
      </w:tr>
    </w:tbl>
    <w:p>
      <w:pPr>
        <w:pStyle w:val="Heading2"/>
      </w:pPr>
      <w:r>
        <w:rPr>
          <w:rFonts w:ascii="Times New Roman" w:hAnsi="Times New Roman"/>
        </w:rPr>
        <w:t>4.5 Pre-Holdout Freeze and Holdout Construction</w:t>
      </w:r>
    </w:p>
    <w:p>
      <w:r>
        <w:rPr>
          <w:rFonts w:ascii="Times New Roman" w:hAnsi="Times New Roman"/>
          <w:b w:val="0"/>
          <w:i w:val="0"/>
        </w:rPr>
        <w:t>We froze the oracle before holdout creation. The freeze record stored the repository commit, Python version, and SHA-256 hash of the oracle file. The recorded oracle hash was f1359618e3da3b83b644fd70a286481d913b07045e076700765002efa96e78f0. The freeze record also states that holdout mutations had not yet been created.</w:t>
      </w:r>
    </w:p>
    <w:p>
      <w:r>
        <w:rPr>
          <w:rFonts w:ascii="Times New Roman" w:hAnsi="Times New Roman"/>
          <w:b w:val="0"/>
          <w:i w:val="0"/>
        </w:rPr>
        <w:t>After this freeze, we created 43 holdout candidates. Each candidate was checked for source difference, compilation, import, independent runtime violation evidence, and duplication against primary mutations. Twenty-six candidates passed the validation and novelty gates. Seventeen candidates failed the violation gate and were excluded before scoring. The 26 validated holdouts were then frozen as a separate corpus.</w:t>
      </w:r>
    </w:p>
    <w:p>
      <w:pPr>
        <w:pStyle w:val="Heading1"/>
      </w:pPr>
      <w:r>
        <w:rPr>
          <w:rFonts w:ascii="Times New Roman" w:hAnsi="Times New Roman"/>
        </w:rPr>
        <w:t>5. Execution and Statistical Interpretation</w:t>
      </w:r>
    </w:p>
    <w:p>
      <w:pPr>
        <w:pStyle w:val="Heading2"/>
      </w:pPr>
      <w:r>
        <w:rPr>
          <w:rFonts w:ascii="Times New Roman" w:hAnsi="Times New Roman"/>
        </w:rPr>
        <w:t>5.1 Execution Harness</w:t>
      </w:r>
    </w:p>
    <w:p>
      <w:r>
        <w:rPr>
          <w:rFonts w:ascii="Times New Roman" w:hAnsi="Times New Roman"/>
          <w:b w:val="0"/>
          <w:i w:val="0"/>
        </w:rPr>
        <w:t>The V2 harness loaded the implementation for each case, created a fresh temporary storage directory, ran the requirement probe, and recorded the case identifier, implementation identifier, requirement identifier, case type, expected verdict, observed verdict, classification, service SHA-256, oracle SHA-256, run identifier, timestamp, and execution error.</w:t>
      </w:r>
    </w:p>
    <w:p>
      <w:r>
        <w:rPr>
          <w:rFonts w:ascii="Times New Roman" w:hAnsi="Times New Roman"/>
          <w:b w:val="0"/>
          <w:i w:val="0"/>
        </w:rPr>
        <w:t>The classification rule was fixed: violating/violating produced TP; violating/non-violating produced FP; non-violating/non-violating produced TN; and non-violating/violating produced FN. Execution exceptions produced ERROR.</w:t>
      </w:r>
    </w:p>
    <w:p>
      <w:pPr>
        <w:pStyle w:val="Heading2"/>
      </w:pPr>
      <w:r>
        <w:rPr>
          <w:rFonts w:ascii="Times New Roman" w:hAnsi="Times New Roman"/>
        </w:rPr>
        <w:t>5.2 Repeated Runs</w:t>
      </w:r>
    </w:p>
    <w:p>
      <w:r>
        <w:rPr>
          <w:rFonts w:ascii="Times New Roman" w:hAnsi="Times New Roman"/>
          <w:b w:val="0"/>
          <w:i w:val="0"/>
        </w:rPr>
        <w:t>We ran all 203 primary cases three times and all 26 holdout cases three times. Repeated runs tested deterministic replay only. They did not create new independent samples. The raw package therefore contains 609 primary execution rows and 78 holdout execution rows, but the inferential denominators remain 203 and 26 unique cases.</w:t>
      </w:r>
    </w:p>
    <w:p>
      <w:pPr>
        <w:pStyle w:val="Heading2"/>
      </w:pPr>
      <w:r>
        <w:rPr>
          <w:rFonts w:ascii="Times New Roman" w:hAnsi="Times New Roman"/>
        </w:rPr>
        <w:t>5.3 Statistical Interpretation</w:t>
      </w:r>
    </w:p>
    <w:p>
      <w:r>
        <w:rPr>
          <w:rFonts w:ascii="Times New Roman" w:hAnsi="Times New Roman"/>
          <w:b w:val="0"/>
          <w:i w:val="0"/>
        </w:rPr>
        <w:t>The benchmark is a fixed, researcher-constructed corpus. It is not a random sample from a production defect population. We therefore used descriptive proportions and Wilson 95% confidence intervals. We did not use p-values or superiority tests.</w:t>
      </w:r>
    </w:p>
    <w:p>
      <w:r>
        <w:rPr>
          <w:rFonts w:ascii="Times New Roman" w:hAnsi="Times New Roman"/>
          <w:b w:val="0"/>
          <w:i w:val="0"/>
        </w:rPr>
        <w:t>The intervals quantify uncertainty around the finite observed proportions; they do not convert the benchmark into a population sample. This matters most for small strata. For example, 12/12 accepted boundary cases has a lower Wilson bound of 0.7575, and 26/26 detected holdouts has a lower bound of 0.8713. These perfect observed proportions therefore still support only bounded claims.</w:t>
      </w:r>
    </w:p>
    <w:p>
      <w:pPr>
        <w:pStyle w:val="Heading1"/>
      </w:pPr>
      <w:r>
        <w:rPr>
          <w:rFonts w:ascii="Times New Roman" w:hAnsi="Times New Roman"/>
        </w:rPr>
        <w:t>6. Results</w:t>
      </w:r>
    </w:p>
    <w:p>
      <w:pPr>
        <w:pStyle w:val="Heading2"/>
      </w:pPr>
      <w:r>
        <w:rPr>
          <w:rFonts w:ascii="Times New Roman" w:hAnsi="Times New Roman"/>
        </w:rPr>
        <w:t>6.1 Primary Fidelity</w:t>
      </w:r>
    </w:p>
    <w:p>
      <w:r>
        <w:rPr>
          <w:rFonts w:ascii="Times New Roman" w:hAnsi="Times New Roman"/>
          <w:b w:val="0"/>
          <w:i w:val="0"/>
        </w:rPr>
        <w:t>The guardrails detected all 95 validated primary violations and accepted all 108 non-violating primary cases. Each run produced TP=95, FP=0, TN=108, FN=0, and ERROR=0. Recall was 1.0000 (Wilson 95% CI 0.9611-1.0000). Specificity was 1.0000 (0.9657-1.0000).</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tcPr>
          <w:p>
            <w:r>
              <w:rPr>
                <w:rFonts w:ascii="Times New Roman" w:hAnsi="Times New Roman"/>
                <w:b/>
                <w:sz w:val="16"/>
              </w:rPr>
              <w:t>Measure</w:t>
            </w:r>
          </w:p>
        </w:tc>
        <w:tc>
          <w:tcPr>
            <w:tcW w:type="dxa" w:w="3389"/>
            <w:vAlign w:val="center"/>
          </w:tcPr>
          <w:p>
            <w:r>
              <w:rPr>
                <w:rFonts w:ascii="Times New Roman" w:hAnsi="Times New Roman"/>
                <w:b/>
                <w:sz w:val="16"/>
              </w:rPr>
              <w:t>Observed result</w:t>
            </w:r>
          </w:p>
        </w:tc>
        <w:tc>
          <w:tcPr>
            <w:tcW w:type="dxa" w:w="3389"/>
            <w:vAlign w:val="center"/>
          </w:tcPr>
          <w:p>
            <w:r>
              <w:rPr>
                <w:rFonts w:ascii="Times New Roman" w:hAnsi="Times New Roman"/>
                <w:b/>
                <w:sz w:val="16"/>
              </w:rPr>
              <w:t>Wilson 95% CI / interpretation</w:t>
            </w:r>
          </w:p>
        </w:tc>
      </w:tr>
      <w:tr>
        <w:tc>
          <w:tcPr>
            <w:tcW w:type="dxa" w:w="3389"/>
            <w:vAlign w:val="center"/>
          </w:tcPr>
          <w:p>
            <w:r>
              <w:rPr>
                <w:rFonts w:ascii="Times New Roman" w:hAnsi="Times New Roman"/>
                <w:sz w:val="16"/>
              </w:rPr>
              <w:t>Primary violation recall</w:t>
            </w:r>
          </w:p>
        </w:tc>
        <w:tc>
          <w:tcPr>
            <w:tcW w:type="dxa" w:w="3389"/>
            <w:vAlign w:val="center"/>
          </w:tcPr>
          <w:p>
            <w:r>
              <w:rPr>
                <w:rFonts w:ascii="Times New Roman" w:hAnsi="Times New Roman"/>
                <w:sz w:val="16"/>
              </w:rPr>
              <w:t>95/95 = 1.0000</w:t>
            </w:r>
          </w:p>
        </w:tc>
        <w:tc>
          <w:tcPr>
            <w:tcW w:type="dxa" w:w="3389"/>
            <w:vAlign w:val="center"/>
          </w:tcPr>
          <w:p>
            <w:r>
              <w:rPr>
                <w:rFonts w:ascii="Times New Roman" w:hAnsi="Times New Roman"/>
                <w:sz w:val="16"/>
              </w:rPr>
              <w:t>0.9611-1.0000</w:t>
            </w:r>
          </w:p>
        </w:tc>
      </w:tr>
      <w:tr>
        <w:tc>
          <w:tcPr>
            <w:tcW w:type="dxa" w:w="3389"/>
            <w:vAlign w:val="center"/>
          </w:tcPr>
          <w:p>
            <w:r>
              <w:rPr>
                <w:rFonts w:ascii="Times New Roman" w:hAnsi="Times New Roman"/>
                <w:sz w:val="16"/>
              </w:rPr>
              <w:t>Primary specificity</w:t>
            </w:r>
          </w:p>
        </w:tc>
        <w:tc>
          <w:tcPr>
            <w:tcW w:type="dxa" w:w="3389"/>
            <w:vAlign w:val="center"/>
          </w:tcPr>
          <w:p>
            <w:r>
              <w:rPr>
                <w:rFonts w:ascii="Times New Roman" w:hAnsi="Times New Roman"/>
                <w:sz w:val="16"/>
              </w:rPr>
              <w:t>108/108 = 1.0000</w:t>
            </w:r>
          </w:p>
        </w:tc>
        <w:tc>
          <w:tcPr>
            <w:tcW w:type="dxa" w:w="3389"/>
            <w:vAlign w:val="center"/>
          </w:tcPr>
          <w:p>
            <w:r>
              <w:rPr>
                <w:rFonts w:ascii="Times New Roman" w:hAnsi="Times New Roman"/>
                <w:sz w:val="16"/>
              </w:rPr>
              <w:t>0.9657-1.0000</w:t>
            </w:r>
          </w:p>
        </w:tc>
      </w:tr>
      <w:tr>
        <w:tc>
          <w:tcPr>
            <w:tcW w:type="dxa" w:w="3389"/>
            <w:vAlign w:val="center"/>
          </w:tcPr>
          <w:p>
            <w:r>
              <w:rPr>
                <w:rFonts w:ascii="Times New Roman" w:hAnsi="Times New Roman"/>
                <w:sz w:val="16"/>
              </w:rPr>
              <w:t>Valid-alternative acceptance</w:t>
            </w:r>
          </w:p>
        </w:tc>
        <w:tc>
          <w:tcPr>
            <w:tcW w:type="dxa" w:w="3389"/>
            <w:vAlign w:val="center"/>
          </w:tcPr>
          <w:p>
            <w:r>
              <w:rPr>
                <w:rFonts w:ascii="Times New Roman" w:hAnsi="Times New Roman"/>
                <w:sz w:val="16"/>
              </w:rPr>
              <w:t>48/48 = 1.0000</w:t>
            </w:r>
          </w:p>
        </w:tc>
        <w:tc>
          <w:tcPr>
            <w:tcW w:type="dxa" w:w="3389"/>
            <w:vAlign w:val="center"/>
          </w:tcPr>
          <w:p>
            <w:r>
              <w:rPr>
                <w:rFonts w:ascii="Times New Roman" w:hAnsi="Times New Roman"/>
                <w:sz w:val="16"/>
              </w:rPr>
              <w:t>0.9259-1.0000</w:t>
            </w:r>
          </w:p>
        </w:tc>
      </w:tr>
      <w:tr>
        <w:tc>
          <w:tcPr>
            <w:tcW w:type="dxa" w:w="3389"/>
            <w:vAlign w:val="center"/>
          </w:tcPr>
          <w:p>
            <w:r>
              <w:rPr>
                <w:rFonts w:ascii="Times New Roman" w:hAnsi="Times New Roman"/>
                <w:sz w:val="16"/>
              </w:rPr>
              <w:t>Boundary acceptance</w:t>
            </w:r>
          </w:p>
        </w:tc>
        <w:tc>
          <w:tcPr>
            <w:tcW w:type="dxa" w:w="3389"/>
            <w:vAlign w:val="center"/>
          </w:tcPr>
          <w:p>
            <w:r>
              <w:rPr>
                <w:rFonts w:ascii="Times New Roman" w:hAnsi="Times New Roman"/>
                <w:sz w:val="16"/>
              </w:rPr>
              <w:t>12/12 = 1.0000</w:t>
            </w:r>
          </w:p>
        </w:tc>
        <w:tc>
          <w:tcPr>
            <w:tcW w:type="dxa" w:w="3389"/>
            <w:vAlign w:val="center"/>
          </w:tcPr>
          <w:p>
            <w:r>
              <w:rPr>
                <w:rFonts w:ascii="Times New Roman" w:hAnsi="Times New Roman"/>
                <w:sz w:val="16"/>
              </w:rPr>
              <w:t>0.7575-1.0000</w:t>
            </w:r>
          </w:p>
        </w:tc>
      </w:tr>
      <w:tr>
        <w:tc>
          <w:tcPr>
            <w:tcW w:type="dxa" w:w="3389"/>
            <w:vAlign w:val="center"/>
          </w:tcPr>
          <w:p>
            <w:r>
              <w:rPr>
                <w:rFonts w:ascii="Times New Roman" w:hAnsi="Times New Roman"/>
                <w:sz w:val="16"/>
              </w:rPr>
              <w:t>Execution errors</w:t>
            </w:r>
          </w:p>
        </w:tc>
        <w:tc>
          <w:tcPr>
            <w:tcW w:type="dxa" w:w="3389"/>
            <w:vAlign w:val="center"/>
          </w:tcPr>
          <w:p>
            <w:r>
              <w:rPr>
                <w:rFonts w:ascii="Times New Roman" w:hAnsi="Times New Roman"/>
                <w:sz w:val="16"/>
              </w:rPr>
              <w:t>0/203</w:t>
            </w:r>
          </w:p>
        </w:tc>
        <w:tc>
          <w:tcPr>
            <w:tcW w:type="dxa" w:w="3389"/>
            <w:vAlign w:val="center"/>
          </w:tcPr>
          <w:p>
            <w:r>
              <w:rPr>
                <w:rFonts w:ascii="Times New Roman" w:hAnsi="Times New Roman"/>
                <w:sz w:val="16"/>
              </w:rPr>
              <w:t>Observed error rate 0.0000</w:t>
            </w:r>
          </w:p>
        </w:tc>
      </w:tr>
    </w:tbl>
    <w:p>
      <w:pPr>
        <w:pStyle w:val="Heading2"/>
      </w:pPr>
      <w:r>
        <w:rPr>
          <w:rFonts w:ascii="Times New Roman" w:hAnsi="Times New Roman"/>
        </w:rPr>
        <w:t>6.2 Post-Freeze Holdout</w:t>
      </w:r>
    </w:p>
    <w:p>
      <w:r>
        <w:rPr>
          <w:rFonts w:ascii="Times New Roman" w:hAnsi="Times New Roman"/>
          <w:b w:val="0"/>
          <w:i w:val="0"/>
        </w:rPr>
        <w:t>All 26 validated post-freeze holdouts were detected. Holdout recall was 1.0000 with a Wilson 95% interval of 0.8713-1.0000. No holdout execution produced FN or ERROR. The result shows that the frozen oracle handled these new cases. It does not establish performance on unrelated systems or external production defects.</w:t>
      </w:r>
    </w:p>
    <w:p>
      <w:pPr>
        <w:pStyle w:val="Heading2"/>
      </w:pPr>
      <w:r>
        <w:rPr>
          <w:rFonts w:ascii="Times New Roman" w:hAnsi="Times New Roman"/>
        </w:rPr>
        <w:t>6.3 Determinism and Integrity</w:t>
      </w:r>
    </w:p>
    <w:p>
      <w:r>
        <w:rPr>
          <w:rFonts w:ascii="Times New Roman" w:hAnsi="Times New Roman"/>
          <w:b w:val="0"/>
          <w:i w:val="0"/>
        </w:rPr>
        <w:t>All three primary runs produced the same classification for every one of the 203 cases. All three holdout runs also matched for all 26 cases. The publication-artifact integrity check passed. These checks establish reproducible replay of the stored benchmark.</w:t>
      </w:r>
    </w:p>
    <w:p>
      <w:pPr>
        <w:pStyle w:val="Heading2"/>
      </w:pPr>
      <w:r>
        <w:rPr>
          <w:rFonts w:ascii="Times New Roman" w:hAnsi="Times New Roman"/>
        </w:rPr>
        <w:t>6.4 Runtime-Observability Boundary</w:t>
      </w:r>
    </w:p>
    <w:p>
      <w:r>
        <w:rPr>
          <w:rFonts w:ascii="Times New Roman" w:hAnsi="Times New Roman"/>
          <w:b w:val="0"/>
          <w:i w:val="0"/>
        </w:rPr>
        <w:t>R013_M02 removed a second redaction step, but the remaining sanitization still prevented the secret from appearing in runtime logs. The implementation changed, yet the requirement probe observed no runtime violation. We therefore retained the mutation in the artifact history but excluded it from the behavior-only violating corpus.</w:t>
      </w:r>
    </w:p>
    <w:p>
      <w:r>
        <w:rPr>
          <w:rFonts w:ascii="Times New Roman" w:hAnsi="Times New Roman"/>
          <w:b w:val="0"/>
          <w:i w:val="0"/>
        </w:rPr>
        <w:t>If all 96 original mutations are counted mechanically, the guardrail detects 95/96, or 98.96% (Wilson 95% CI 0.9433-0.9982). This sensitivity result makes the scoring boundary explicit. A behavior-only oracle cannot detect a source-level weakness when the weakness produces no observable behavior change.</w:t>
      </w:r>
    </w:p>
    <w:p>
      <w:pPr>
        <w:pStyle w:val="Heading1"/>
      </w:pPr>
      <w:r>
        <w:rPr>
          <w:rFonts w:ascii="Times New Roman" w:hAnsi="Times New Roman"/>
        </w:rPr>
        <w:t>7. Discussion</w:t>
      </w:r>
    </w:p>
    <w:p>
      <w:r>
        <w:rPr>
          <w:rFonts w:ascii="Times New Roman" w:hAnsi="Times New Roman"/>
          <w:b w:val="0"/>
          <w:i w:val="0"/>
        </w:rPr>
        <w:t>The main result is not simply that the benchmark produced zero scored errors. The stronger result is that the evaluation separates four questions that are often collapsed into one score. Did the implementation change? Did the change create a requirement violation? Was that violation visible through the declared runtime evidence? Did the frozen guardrail classify that evidence correctly?</w:t>
      </w:r>
    </w:p>
    <w:p>
      <w:r>
        <w:rPr>
          <w:rFonts w:ascii="Times New Roman" w:hAnsi="Times New Roman"/>
          <w:b w:val="0"/>
          <w:i w:val="0"/>
        </w:rPr>
        <w:t>The valid alternatives are important for the second side of fidelity. A guardrail that memorizes one reference implementation can detect mutations but reject legitimate designs. The 48 alternatives were structurally different and still accepted. The 12 boundary cases tested exact valid edges. Together, these controls reduce the risk that the observed sensitivity came from an over-constrained oracle.</w:t>
      </w:r>
    </w:p>
    <w:p>
      <w:r>
        <w:rPr>
          <w:rFonts w:ascii="Times New Roman" w:hAnsi="Times New Roman"/>
          <w:b w:val="0"/>
          <w:i w:val="0"/>
        </w:rPr>
        <w:t>The holdout protocol addresses a different risk: direct tuning to known mutations. The oracle was frozen and hashed before the holdout candidates were created. However, the holdouts still came from the same requirements, service, and research framework. They are stronger than reusing the primary mutations, but they are not third-party validation.</w:t>
      </w:r>
    </w:p>
    <w:p>
      <w:r>
        <w:rPr>
          <w:rFonts w:ascii="Times New Roman" w:hAnsi="Times New Roman"/>
          <w:b w:val="0"/>
          <w:i w:val="0"/>
        </w:rPr>
        <w:t>R013_M02 gives the study a useful negative result. Runtime enforcement has an observability boundary. Static analysis, source review, or structural checks are needed when a risky code change leaves runtime evidence unchanged. A trusted governance system therefore needs more than one enforcement layer.</w:t>
      </w:r>
    </w:p>
    <w:p>
      <w:pPr>
        <w:pStyle w:val="Heading1"/>
      </w:pPr>
      <w:r>
        <w:rPr>
          <w:rFonts w:ascii="Times New Roman" w:hAnsi="Times New Roman"/>
        </w:rPr>
        <w:t>8. Threats to Validity</w:t>
      </w:r>
    </w:p>
    <w:p>
      <w:r>
        <w:rPr>
          <w:rFonts w:ascii="Times New Roman" w:hAnsi="Times New Roman"/>
          <w:b w:val="0"/>
          <w:i w:val="0"/>
        </w:rPr>
        <w:t>Construct validity is limited by the selected 48 machine-checkable requirements and by the evidence exposed by the reference service. Requirements that depend on human judgment or unavailable policy context were outside the benchmark.</w:t>
      </w:r>
    </w:p>
    <w:p>
      <w:r>
        <w:rPr>
          <w:rFonts w:ascii="Times New Roman" w:hAnsi="Times New Roman"/>
          <w:b w:val="0"/>
          <w:i w:val="0"/>
        </w:rPr>
        <w:t>Internal validity improved through pre-score mutation validation, structurally different valid alternatives, executable boundary cases, a pre-holdout oracle freeze, holdout novelty checks, repeated runs, and stored hashes. Residual coupling remains. The requirements, service, probes, and case-generation framework were created within the same research project.</w:t>
      </w:r>
    </w:p>
    <w:p>
      <w:r>
        <w:rPr>
          <w:rFonts w:ascii="Times New Roman" w:hAnsi="Times New Roman"/>
          <w:b w:val="0"/>
          <w:i w:val="0"/>
        </w:rPr>
        <w:t>The phrase independent validation in this paper means label establishment independent of the scored guardrail verdict. It does not mean independent authorship or external human adjudication. A stronger future study would use third-party requirements, third-party mutations, and reviewers who did not design the oracle.</w:t>
      </w:r>
    </w:p>
    <w:p>
      <w:r>
        <w:rPr>
          <w:rFonts w:ascii="Times New Roman" w:hAnsi="Times New Roman"/>
          <w:b w:val="0"/>
          <w:i w:val="0"/>
        </w:rPr>
        <w:t>External validity is limited to one deterministic payment-service benchmark and controlled mutations. The results do not certify production systems, generated guardrails, or all governance requirements.</w:t>
      </w:r>
    </w:p>
    <w:p>
      <w:r>
        <w:rPr>
          <w:rFonts w:ascii="Times New Roman" w:hAnsi="Times New Roman"/>
          <w:b w:val="0"/>
          <w:i w:val="0"/>
        </w:rPr>
        <w:t>Conclusion validity is descriptive. Wilson intervals are reported using unique-case denominators. The three repeated runs establish deterministic replay but do not increase the effective sample size.</w:t>
      </w:r>
    </w:p>
    <w:p>
      <w:pPr>
        <w:pStyle w:val="Heading1"/>
      </w:pPr>
      <w:r>
        <w:rPr>
          <w:rFonts w:ascii="Times New Roman" w:hAnsi="Times New Roman"/>
        </w:rPr>
        <w:t>9. Reproducibility and Artifacts</w:t>
      </w:r>
    </w:p>
    <w:p>
      <w:r>
        <w:rPr>
          <w:rFonts w:ascii="Times New Roman" w:hAnsi="Times New Roman"/>
          <w:b w:val="0"/>
          <w:i w:val="0"/>
        </w:rPr>
        <w:t>The repository stores the 48 frozen requirements, obligation checklists, reference service, requirement probes, primary mutation plan, valid alternatives, boundary scenarios, expected labels, validation records, pre-holdout oracle freeze, holdout freeze, raw JSONL runs, metric summaries, determinism checks, and artifact-integrity results. The headline counts can be recomputed from these stored files without invoking a language model.</w:t>
      </w:r>
    </w:p>
    <w:p>
      <w:r>
        <w:rPr>
          <w:rFonts w:ascii="Times New Roman" w:hAnsi="Times New Roman"/>
          <w:b w:val="0"/>
          <w:i w:val="0"/>
        </w:rPr>
        <w:t>The V2 harness also records both the service SHA-256 and oracle SHA-256 for each execution row. This links a verdict to the exact implementation and oracle used in that run.</w:t>
      </w:r>
    </w:p>
    <w:p>
      <w:pPr>
        <w:pStyle w:val="Heading1"/>
      </w:pPr>
      <w:r>
        <w:rPr>
          <w:rFonts w:ascii="Times New Roman" w:hAnsi="Times New Roman"/>
        </w:rPr>
        <w:t>10. Conclusion</w:t>
      </w:r>
    </w:p>
    <w:p>
      <w:r>
        <w:rPr>
          <w:rFonts w:ascii="Times New Roman" w:hAnsi="Times New Roman"/>
          <w:b w:val="0"/>
          <w:i w:val="0"/>
        </w:rPr>
        <w:t>We presented an auditable fidelity method for deterministic, behavior-only requirement guardrails. The method separates the governance requirement, observable obligation, ground-truth evidence, and guardrail verdict. In the scored primary corpus, the guardrails detected 95/95 validated runtime violations and accepted 108/108 non-violating cases. They also detected 26/26 validated post-freeze holdouts. Three full runs produced identical classifications.</w:t>
      </w:r>
    </w:p>
    <w:p>
      <w:r>
        <w:rPr>
          <w:rFonts w:ascii="Times New Roman" w:hAnsi="Times New Roman"/>
          <w:b w:val="0"/>
          <w:i w:val="0"/>
        </w:rPr>
        <w:t>The study also exposed a clear limit. R013_M02 changed source structure without changing runtime-visible behavior, so the behavior-only oracle could not detect it. The evidence therefore supports strong fidelity within this controlled benchmark, not universal enforcement. The main contribution is a traceable way to test whether a runtime guardrail is both sensitive to observable violations and tolerant of valid implementation diversity.</w:t>
      </w:r>
    </w:p>
    <w:p>
      <w:pPr>
        <w:pStyle w:val="Heading1"/>
      </w:pPr>
      <w:r>
        <w:rPr>
          <w:rFonts w:ascii="Times New Roman" w:hAnsi="Times New Roman"/>
        </w:rPr>
        <w:t>References</w:t>
      </w:r>
    </w:p>
    <w:p>
      <w:r>
        <w:rPr>
          <w:rFonts w:ascii="Times New Roman" w:hAnsi="Times New Roman"/>
          <w:b w:val="0"/>
          <w:i w:val="0"/>
          <w:sz w:val="16"/>
        </w:rPr>
        <w:t>[1] R. A. DeMillo, R. J. Lipton, and F. G. Sayward, "Hints on test data selection: Help for the practicing programmer," Computer, vol. 11, no. 4, pp. 34-41, 1978.</w:t>
      </w:r>
    </w:p>
    <w:p>
      <w:r>
        <w:rPr>
          <w:rFonts w:ascii="Times New Roman" w:hAnsi="Times New Roman"/>
          <w:b w:val="0"/>
          <w:i w:val="0"/>
          <w:sz w:val="16"/>
        </w:rPr>
        <w:t>[2] Y. Jia and M. Harman, "An analysis and survey of the development of mutation testing," IEEE Transactions on Software Engineering, vol. 37, no. 5, pp. 649-678, 2011.</w:t>
      </w:r>
    </w:p>
    <w:p>
      <w:r>
        <w:rPr>
          <w:rFonts w:ascii="Times New Roman" w:hAnsi="Times New Roman"/>
          <w:b w:val="0"/>
          <w:i w:val="0"/>
          <w:sz w:val="16"/>
        </w:rPr>
        <w:t>[3] A. J. Offutt, "Investigations of the software testing coupling effect," ACM Transactions on Software Engineering and Methodology, vol. 1, no. 1, pp. 5-20, 1992.</w:t>
      </w:r>
    </w:p>
    <w:p>
      <w:r>
        <w:rPr>
          <w:rFonts w:ascii="Times New Roman" w:hAnsi="Times New Roman"/>
          <w:b w:val="0"/>
          <w:i w:val="0"/>
          <w:sz w:val="16"/>
        </w:rPr>
        <w:t>[4] P. Ammann and J. Offutt, Introduction to Software Testing. Cambridge, U.K.: Cambridge University Press, 2008.</w:t>
      </w:r>
    </w:p>
    <w:p>
      <w:r>
        <w:rPr>
          <w:rFonts w:ascii="Times New Roman" w:hAnsi="Times New Roman"/>
          <w:b w:val="0"/>
          <w:i w:val="0"/>
          <w:sz w:val="16"/>
        </w:rPr>
        <w:t>[5] E. Bartocci and Y. Falcone, Eds., Lectures on Runtime Verification: Introductory and Advanced Topics, LNCS vol. 10457. Cham, Switzerland: Springer, 2018.</w:t>
      </w:r>
    </w:p>
    <w:p>
      <w:r>
        <w:rPr>
          <w:rFonts w:ascii="Times New Roman" w:hAnsi="Times New Roman"/>
          <w:b w:val="0"/>
          <w:i w:val="0"/>
          <w:sz w:val="16"/>
        </w:rPr>
        <w:t>[6] K. Havelund and G. Rosu, "An overview of the runtime verification tool Java PathExplorer," Formal Methods in System Design, vol. 24, no. 2, pp. 189-215, 2004.</w:t>
      </w:r>
    </w:p>
    <w:p>
      <w:r>
        <w:rPr>
          <w:rFonts w:ascii="Times New Roman" w:hAnsi="Times New Roman"/>
          <w:b w:val="0"/>
          <w:i w:val="0"/>
          <w:sz w:val="16"/>
        </w:rPr>
        <w:t>[7] S. Savage, M. Burrows, G. Nelson, P. Sobalvarro, and T. Anderson, "Eraser: A dynamic data race detector for multithreaded programs," ACM Transactions on Computer Systems, vol. 15, no. 4, pp. 391-411, 1997.</w:t>
      </w:r>
    </w:p>
    <w:p>
      <w:r>
        <w:rPr>
          <w:rFonts w:ascii="Times New Roman" w:hAnsi="Times New Roman"/>
          <w:b w:val="0"/>
          <w:i w:val="0"/>
          <w:sz w:val="16"/>
        </w:rPr>
        <w:t>[8] E. T. Barr, M. Harman, P. McMinn, M. Shahbaz, and S. Yoo, "The oracle problem in software testing: A survey," IEEE Transactions on Software Engineering, vol. 41, no. 5, pp. 507-525, 2015.</w:t>
      </w:r>
    </w:p>
    <w:p>
      <w:r>
        <w:rPr>
          <w:rFonts w:ascii="Times New Roman" w:hAnsi="Times New Roman"/>
          <w:b w:val="0"/>
          <w:i w:val="0"/>
          <w:sz w:val="16"/>
        </w:rPr>
        <w:t>[9] W. M. McKeeman, "Differential testing for software," Digital Technical Journal, vol. 10, no. 1, pp. 100-107, 1998.</w:t>
      </w:r>
    </w:p>
    <w:p>
      <w:r>
        <w:rPr>
          <w:rFonts w:ascii="Times New Roman" w:hAnsi="Times New Roman"/>
          <w:b w:val="0"/>
          <w:i w:val="0"/>
          <w:sz w:val="16"/>
        </w:rPr>
        <w:t>[10] X. Yang, Y. Chen, E. Eide, and J. Regehr, "Finding and understanding bugs in C compilers," in Proc. 32nd ACM SIGPLAN Conf. Programming Language Design and Implementation, 2011, pp. 283-294.</w:t>
      </w:r>
    </w:p>
    <w:p>
      <w:r>
        <w:rPr>
          <w:rFonts w:ascii="Times New Roman" w:hAnsi="Times New Roman"/>
          <w:b w:val="0"/>
          <w:i w:val="0"/>
          <w:sz w:val="16"/>
        </w:rPr>
        <w:t>[11] C. Brubaker, S. Jana, B. Ray, S. Khurshid, and V. Shmatikov, "Using frankencerts for automated adversarial testing of certificate validation in SSL/TLS implementations," in Proc. IEEE Symp. Security and Privacy, 2014, pp. 114-129.</w:t>
      </w:r>
    </w:p>
    <w:p>
      <w:r>
        <w:rPr>
          <w:rFonts w:ascii="Times New Roman" w:hAnsi="Times New Roman"/>
          <w:b w:val="0"/>
          <w:i w:val="0"/>
          <w:sz w:val="16"/>
        </w:rPr>
        <w:t>[12] V. Srivastava, M. D. Bond, K. S. McKinley, and V. Shmatikov, "A security policy oracle: Detecting security holes using multiple API implementations," in Proc. 32nd ACM SIGPLAN Conf. Programming Language Design and Implementation, 2011, pp. 343-354.</w:t>
      </w:r>
    </w:p>
    <w:p>
      <w:r>
        <w:rPr>
          <w:rFonts w:ascii="Times New Roman" w:hAnsi="Times New Roman"/>
          <w:b w:val="0"/>
          <w:i w:val="0"/>
          <w:sz w:val="16"/>
        </w:rPr>
        <w:t>[13] Authors, "A specification-driven governance framework for AI-assisted software engineering," prior work by the authors, details withheld for double-blind review.</w:t>
      </w:r>
    </w:p>
    <w:p>
      <w:r>
        <w:rPr>
          <w:rFonts w:ascii="Times New Roman" w:hAnsi="Times New Roman"/>
          <w:b w:val="0"/>
          <w:i w:val="0"/>
          <w:sz w:val="16"/>
        </w:rPr>
        <w:t>[14] Authors, "From governance artifact to executable guardrail: Characterizing requirement-enforcement boundaries with frozen guardrails," prior work by the authors, details withheld for double-blind review.</w:t>
      </w:r>
    </w:p>
    <w:sectPr w:rsidR="00867F6B" w:rsidSect="00034616">
      <w:pgSz w:w="12240" w:h="15840"/>
      <w:pgMar w:top="1008" w:right="1037" w:bottom="1008"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41360101">
    <w:abstractNumId w:val="8"/>
  </w:num>
  <w:num w:numId="2" w16cid:durableId="939293641">
    <w:abstractNumId w:val="6"/>
  </w:num>
  <w:num w:numId="3" w16cid:durableId="1043017475">
    <w:abstractNumId w:val="5"/>
  </w:num>
  <w:num w:numId="4" w16cid:durableId="49888675">
    <w:abstractNumId w:val="4"/>
  </w:num>
  <w:num w:numId="5" w16cid:durableId="1574729767">
    <w:abstractNumId w:val="7"/>
  </w:num>
  <w:num w:numId="6" w16cid:durableId="1276209378">
    <w:abstractNumId w:val="3"/>
  </w:num>
  <w:num w:numId="7" w16cid:durableId="2138452837">
    <w:abstractNumId w:val="2"/>
  </w:num>
  <w:num w:numId="8" w16cid:durableId="1095128188">
    <w:abstractNumId w:val="1"/>
  </w:num>
  <w:num w:numId="9" w16cid:durableId="1048456934">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67F6B"/>
    <w:rsid w:val="00AA1D8D"/>
    <w:rsid w:val="00AD6484"/>
    <w:rsid w:val="00B47730"/>
    <w:rsid w:val="00CB0664"/>
    <w:rsid w:val="00EA00D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F09C9E9"/>
  <w14:defaultImageDpi w14:val="300"/>
  <w15:docId w15:val="{12F2C64F-F8C5-EE46-8D38-371DD96A20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2518</Words>
  <Characters>14834</Characters>
  <Application>Microsoft Office Word</Application>
  <DocSecurity>0</DocSecurity>
  <Lines>251</Lines>
  <Paragraphs>152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17200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Nitin garg</cp:lastModifiedBy>
  <cp:revision>2</cp:revision>
  <dcterms:created xsi:type="dcterms:W3CDTF">2013-12-23T23:15:00Z</dcterms:created>
  <dcterms:modified xsi:type="dcterms:W3CDTF">2026-09-09T01:23:00Z</dcterms:modified>
  <cp:category/>
</cp:coreProperties>
</file>