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de69f34a98f6e08a72a80dc50b1af7b5c9b0b6"/>
    <w:p>
      <w:pPr>
        <w:pStyle w:val="Heading1"/>
      </w:pPr>
      <w:r>
        <w:t xml:space="preserve">Auditable Requirement Guardrails for Trusted Automated Decision Systems: A Deterministic Fidelity Benchmark</w:t>
      </w:r>
    </w:p>
    <w:p>
      <w:pPr>
        <w:pStyle w:val="FirstParagraph"/>
      </w:pPr>
      <w:r>
        <w:rPr>
          <w:b/>
          <w:bCs/>
        </w:rPr>
        <w:t xml:space="preserve">Anonymous Submission</w:t>
      </w:r>
    </w:p>
    <w:p>
      <w:pPr>
        <w:pStyle w:val="BodyText"/>
      </w:pPr>
      <w:r>
        <w:rPr>
          <w:i/>
          <w:iCs/>
        </w:rPr>
        <w:t xml:space="preserve">Double-blind: author and affiliation details removed for review.</w:t>
      </w:r>
    </w:p>
    <w:p>
      <w:pPr>
        <w:pStyle w:val="BodyText"/>
      </w:pPr>
      <w:r>
        <w:rPr>
          <w:i/>
          <w:iCs/>
        </w:rPr>
        <w:t xml:space="preserve">Track: Trusted AI &amp; Algorithmic Governance.</w:t>
      </w:r>
    </w:p>
    <w:p>
      <w:r>
        <w:pict>
          <v:rect style="width:0;height:1.5pt" o:hralign="center" o:hrstd="t" o:hr="t"/>
        </w:pict>
      </w:r>
    </w:p>
    <w:bookmarkStart w:id="9" w:name="abstract"/>
    <w:p>
      <w:pPr>
        <w:pStyle w:val="Heading2"/>
      </w:pPr>
      <w:r>
        <w:t xml:space="preserve">Abstract</w:t>
      </w:r>
    </w:p>
    <w:p>
      <w:pPr>
        <w:pStyle w:val="FirstParagraph"/>
      </w:pPr>
      <w:r>
        <w:t xml:space="preserve">Automated decision systems are increasingly governed by machine-checkable requirements — authorization rules, data-protection obligations, state-transition invariants, and auditability guarantees — enforced at runtime by guardrails. Trustworthy governance of such systems depends on those guardrails being</w:t>
      </w:r>
      <w:r>
        <w:t xml:space="preserve"> </w:t>
      </w:r>
      <w:r>
        <w:rPr>
          <w:i/>
          <w:iCs/>
        </w:rPr>
        <w:t xml:space="preserve">faithful</w:t>
      </w:r>
      <w:r>
        <w:t xml:space="preserve">: they must flag genuine requirement violations while not rejecting legitimate implementations. Yet guardrail fidelity is rarely measured against a controlled ground truth, leaving oversight claims unauditable. We present a fully reproducible fidelity benchmark for requirement guardrails. From 48 frozen, machine-checkable requirements evenly distributed across six governance-relevant categories, we construct a 204-variant corpus comprising one compliant reference service exercised as 48 requirement-scoped compliant cases, 96 mutation-injected violating variants (two per requirement, targeting 81 distinct obligations), 48 behavior-preserving valid alternatives, and 12 boundary-edge compliant scenarios. Each requirement is enforced by a single deterministic guardrail that observes only runtime behavior and emits a violating / non-violating verdict against a frozen expected-verdict ground truth whose obligation references are integrity-checked against the source checklists. Across all 204 variants the guardrails achieve precision 1.0000, recall 0.9896, F1 0.9948, an over-constraint rate of 0.0000, and zero execution errors. The single false negative is a removed</w:t>
      </w:r>
      <w:r>
        <w:t xml:space="preserve"> </w:t>
      </w:r>
      <w:r>
        <w:rPr>
          <w:i/>
          <w:iCs/>
        </w:rPr>
        <w:t xml:space="preserve">redundant</w:t>
      </w:r>
      <w:r>
        <w:t xml:space="preserve"> </w:t>
      </w:r>
      <w:r>
        <w:t xml:space="preserve">redaction layer that produces no runtime-observable information leak, and we report it honestly rather than suppress it. Every reported number is recomputable from append-only raw execution records with no language model and no hand-entered values, giving auditors a transparent, replayable basis for trusting guardrail behavior.</w:t>
      </w:r>
    </w:p>
    <w:p>
      <w:pPr>
        <w:pStyle w:val="BodyText"/>
      </w:pPr>
      <w:r>
        <w:rPr>
          <w:b/>
          <w:bCs/>
        </w:rPr>
        <w:t xml:space="preserve">Keywords:</w:t>
      </w:r>
      <w:r>
        <w:t xml:space="preserve"> </w:t>
      </w:r>
      <w:r>
        <w:t xml:space="preserve">trusted AI, algorithmic governance, auditable guardrails, requirement enforcement, runtime verification, mutation testing, reproducible evaluation.</w:t>
      </w:r>
    </w:p>
    <w:bookmarkEnd w:id="9"/>
    <w:bookmarkStart w:id="10" w:name="introduction"/>
    <w:p>
      <w:pPr>
        <w:pStyle w:val="Heading2"/>
      </w:pPr>
      <w:r>
        <w:t xml:space="preserve">1. Introduction</w:t>
      </w:r>
    </w:p>
    <w:p>
      <w:pPr>
        <w:pStyle w:val="FirstParagraph"/>
      </w:pPr>
      <w:r>
        <w:t xml:space="preserve">Governance of automated decision systems increasingly relies on runtime guardrails that enforce machine-checkable requirements — who may authorize an action, what data may be logged, which state transitions are permitted, and what must be recorded for audit. For such guardrails to underpin</w:t>
      </w:r>
      <w:r>
        <w:t xml:space="preserve"> </w:t>
      </w:r>
      <w:r>
        <w:rPr>
          <w:i/>
          <w:iCs/>
        </w:rPr>
        <w:t xml:space="preserve">trustworthy</w:t>
      </w:r>
      <w:r>
        <w:t xml:space="preserve"> </w:t>
      </w:r>
      <w:r>
        <w:t xml:space="preserve">oversight, two properties must hold and be demonstrable. First, a guardrail must catch a genuine requirement violation (sensitivity). Second, it must not reject a legitimate but non-identical implementation (specificity). When these properties are asserted rather than measured against a controlled ground truth, governance claims cannot be audited: a reported detection rate is meaningless without a frozen corpus of known-violating and known-compliant behaviors to measure it against.</w:t>
      </w:r>
    </w:p>
    <w:p>
      <w:pPr>
        <w:pStyle w:val="BodyText"/>
      </w:pPr>
      <w:r>
        <w:t xml:space="preserve">This paper contributes a controlled benchmark and a deterministic, replayable measurement of guardrail fidelity that an auditor could re-run end to end. Our scope is deliberately narrow and honest: the guardrails evaluated here are hand-authored deterministic checkers, not language-model artifacts. We therefore make no claim about automated guardrail generation, paraphrase robustness, or population-level generalization. What we provide is a transparent reference point for algorithmic governance: on a finite, frozen, machine-checkable corpus, how well can deterministic runtime guardrails separate genuine violations from legitimate variation, and can every reported number be independently reproduced from raw evidence?</w:t>
      </w:r>
    </w:p>
    <w:p>
      <w:pPr>
        <w:pStyle w:val="BodyText"/>
      </w:pPr>
      <w:r>
        <w:rPr>
          <w:b/>
          <w:bCs/>
        </w:rPr>
        <w:t xml:space="preserve">Contributions.</w:t>
      </w:r>
      <w:r>
        <w:t xml:space="preserve"> </w:t>
      </w:r>
      <w:r>
        <w:t xml:space="preserve">(1) A frozen 48-requirement, 204-variant benchmark spanning six governance-relevant requirement categories, with an integrity-checked expected-verdict ground truth. (2) A deterministic execution harness that materializes each variant, runs one behavior-only oracle per requirement, and classifies verdicts against ground truth into a confusion matrix. (3) A full fidelity measurement — precision 1.0000, recall 0.9896, F1 0.9948, over-constraint 0.0000 — that recomputes from raw records with no language model. (4) An honest failure analysis of the single missed violation, showing it is genuinely runtime-unobservable rather than a scoring artifact.</w:t>
      </w:r>
    </w:p>
    <w:bookmarkEnd w:id="10"/>
    <w:bookmarkStart w:id="11" w:name="related-work"/>
    <w:p>
      <w:pPr>
        <w:pStyle w:val="Heading2"/>
      </w:pPr>
      <w:r>
        <w:t xml:space="preserve">2. Related Work</w:t>
      </w:r>
    </w:p>
    <w:p>
      <w:pPr>
        <w:pStyle w:val="FirstParagraph"/>
      </w:pPr>
      <w:r>
        <w:rPr>
          <w:b/>
          <w:bCs/>
        </w:rPr>
        <w:t xml:space="preserve">Mutation testing.</w:t>
      </w:r>
      <w:r>
        <w:t xml:space="preserve"> </w:t>
      </w:r>
      <w:r>
        <w:t xml:space="preserve">Injecting small, deliberate faults to evaluate the sensitivity of a test or oracle originates with DeMillo et al. [1] and is surveyed comprehensively by Jia and Harman [2]. The</w:t>
      </w:r>
      <w:r>
        <w:t xml:space="preserve"> </w:t>
      </w:r>
      <w:r>
        <w:rPr>
          <w:i/>
          <w:iCs/>
        </w:rPr>
        <w:t xml:space="preserve">coupling effect</w:t>
      </w:r>
      <w:r>
        <w:t xml:space="preserve"> </w:t>
      </w:r>
      <w:r>
        <w:t xml:space="preserve">— that simple, single-point mutations are coupled to, and thus surface, more complex real faults — is the empirical justification for our text-level single-region mutations [3], and the standard treatment of mutation operators and adequacy is given by Ammann and Offutt [4]. We adopt mutation as a way to manufacture a</w:t>
      </w:r>
      <w:r>
        <w:t xml:space="preserve"> </w:t>
      </w:r>
      <w:r>
        <w:rPr>
          <w:i/>
          <w:iCs/>
        </w:rPr>
        <w:t xml:space="preserve">known-violating</w:t>
      </w:r>
      <w:r>
        <w:t xml:space="preserve"> </w:t>
      </w:r>
      <w:r>
        <w:t xml:space="preserve">ground truth: each mutation is aligned to a specific requirement obligation, so a missed detection is attributable to a named obligation rather than to corpus noise.</w:t>
      </w:r>
    </w:p>
    <w:p>
      <w:pPr>
        <w:pStyle w:val="BodyText"/>
      </w:pPr>
      <w:r>
        <w:rPr>
          <w:b/>
          <w:bCs/>
        </w:rPr>
        <w:t xml:space="preserve">Runtime verification.</w:t>
      </w:r>
      <w:r>
        <w:t xml:space="preserve"> </w:t>
      </w:r>
      <w:r>
        <w:t xml:space="preserve">Our oracles are runtime monitors that observe execution and emit a verdict against a specification, the central concern of runtime verification [5], [6]. Classic dynamic property monitors such as Eraser [7] likewise judge a program purely from observed runtime effects. We differ from general runtime verification in scope and intent: rather than synthesizing monitors from temporal-logic specifications, we hand-author one deterministic oracle per requirement and measure its</w:t>
      </w:r>
      <w:r>
        <w:t xml:space="preserve"> </w:t>
      </w:r>
      <w:r>
        <w:rPr>
          <w:i/>
          <w:iCs/>
        </w:rPr>
        <w:t xml:space="preserve">fidelity</w:t>
      </w:r>
      <w:r>
        <w:t xml:space="preserve"> </w:t>
      </w:r>
      <w:r>
        <w:t xml:space="preserve">against a controlled corpus, foregrounding the over-constraint (false-positive) dimension that oversight tooling must control.</w:t>
      </w:r>
    </w:p>
    <w:p>
      <w:pPr>
        <w:pStyle w:val="BodyText"/>
      </w:pPr>
      <w:r>
        <w:rPr>
          <w:b/>
          <w:bCs/>
        </w:rPr>
        <w:t xml:space="preserve">Differential testing and the oracle problem.</w:t>
      </w:r>
      <w:r>
        <w:t xml:space="preserve"> </w:t>
      </w:r>
      <w:r>
        <w:t xml:space="preserve">Deciding whether an observed behavior is correct is the</w:t>
      </w:r>
      <w:r>
        <w:t xml:space="preserve"> </w:t>
      </w:r>
      <w:r>
        <w:rPr>
          <w:i/>
          <w:iCs/>
        </w:rPr>
        <w:t xml:space="preserve">oracle problem</w:t>
      </w:r>
      <w:r>
        <w:t xml:space="preserve"> </w:t>
      </w:r>
      <w:r>
        <w:t xml:space="preserve">[8]. A common practical answer is differential testing — cross-referencing multiple implementations of the same specification — introduced by McKeeman [9] and used to great effect on compilers [10] and TLS certificate validation [11]. Closest to our setting, Srivastava et al. [12] build a</w:t>
      </w:r>
      <w:r>
        <w:t xml:space="preserve"> </w:t>
      </w:r>
      <w:r>
        <w:rPr>
          <w:i/>
          <w:iCs/>
        </w:rPr>
        <w:t xml:space="preserve">security-policy oracle</w:t>
      </w:r>
      <w:r>
        <w:t xml:space="preserve"> </w:t>
      </w:r>
      <w:r>
        <w:t xml:space="preserve">by comparing multiple API implementations to detect missing authorization checks. Our design makes a deliberate opposite choice: instead of a differential oracle across many implementations, we use a</w:t>
      </w:r>
      <w:r>
        <w:t xml:space="preserve"> </w:t>
      </w:r>
      <w:r>
        <w:rPr>
          <w:i/>
          <w:iCs/>
        </w:rPr>
        <w:t xml:space="preserve">single</w:t>
      </w:r>
      <w:r>
        <w:t xml:space="preserve"> </w:t>
      </w:r>
      <w:r>
        <w:t xml:space="preserve">frozen reference implementation plus an integrity-checked expected-verdict table as ground truth, which lets us measure not only detection (recall) but also over-constraint (precision) against explicitly labeled legitimate variation — a dimension a purely differential oracle cannot isolate.</w:t>
      </w:r>
    </w:p>
    <w:p>
      <w:pPr>
        <w:pStyle w:val="BodyText"/>
      </w:pPr>
      <w:r>
        <w:rPr>
          <w:b/>
          <w:bCs/>
        </w:rPr>
        <w:t xml:space="preserve">Governance framing and prior work by the authors.</w:t>
      </w:r>
      <w:r>
        <w:t xml:space="preserve"> </w:t>
      </w:r>
      <w:r>
        <w:t xml:space="preserve">This benchmark extends a line of the authors’ prior work on treating specifications and requirements as first-class governance artifacts. In [13] we argued that the specification is the primary governance control point for AI-assisted software engineering and found that</w:t>
      </w:r>
      <w:r>
        <w:t xml:space="preserve"> </w:t>
      </w:r>
      <w:r>
        <w:rPr>
          <w:i/>
          <w:iCs/>
        </w:rPr>
        <w:t xml:space="preserve">how</w:t>
      </w:r>
      <w:r>
        <w:t xml:space="preserve"> </w:t>
      </w:r>
      <w:r>
        <w:t xml:space="preserve">a specification is delivered matters more than its mere presence — governing a separate generation step roughly doubled a weak model’s pass rate on a complex task, whereas the same specification inlined into a prompt added nothing. In [14] we introduced</w:t>
      </w:r>
      <w:r>
        <w:t xml:space="preserve"> </w:t>
      </w:r>
      <w:r>
        <w:rPr>
          <w:i/>
          <w:iCs/>
        </w:rPr>
        <w:t xml:space="preserve">frozen guardrails</w:t>
      </w:r>
      <w:r>
        <w:t xml:space="preserve"> </w:t>
      </w:r>
      <w:r>
        <w:t xml:space="preserve">and characterized requirement-enforcement boundaries on a model-assisted benchmark of 145 requirements across eight services: a structurally blinded validation of 30 requirements with 90 seeded challenge variants achieved an 81.1% challenge-response rate (Wilson 95% CI 71.8–87.9) with</w:t>
      </w:r>
      <w:r>
        <w:t xml:space="preserve"> </w:t>
      </w:r>
      <w:r>
        <w:rPr>
          <w:i/>
          <w:iCs/>
        </w:rPr>
        <w:t xml:space="preserve">zero</w:t>
      </w:r>
      <w:r>
        <w:t xml:space="preserve"> </w:t>
      </w:r>
      <w:r>
        <w:t xml:space="preserve">false positives across 90 legitimate controls, while residual policy- and context-dependent probes yielded no deterministic verdict — an enforcement boundary rather than a detection failure. The present paper sharpens that lineage into a fully controlled, deterministic fidelity benchmark: hand-authored oracles over a frozen 48-requirement corpus with integrity-checked ground truth, isolating detection and over-constraint as directly measured quantities.</w:t>
      </w:r>
    </w:p>
    <w:bookmarkEnd w:id="11"/>
    <w:bookmarkStart w:id="17" w:name="benchmark-design"/>
    <w:p>
      <w:pPr>
        <w:pStyle w:val="Heading2"/>
      </w:pPr>
      <w:r>
        <w:t xml:space="preserve">3. Benchmark Design</w:t>
      </w:r>
    </w:p>
    <w:bookmarkStart w:id="12" w:name="requirements"/>
    <w:p>
      <w:pPr>
        <w:pStyle w:val="Heading3"/>
      </w:pPr>
      <w:r>
        <w:t xml:space="preserve">3.1 Requirements</w:t>
      </w:r>
    </w:p>
    <w:p>
      <w:pPr>
        <w:pStyle w:val="FirstParagraph"/>
      </w:pPr>
      <w:r>
        <w:t xml:space="preserve">We freeze 48 machine-checkable requirements evenly distributed across six categories, eight requirements each: authorization/security, data protection/logging, validation/input constraints, state transitions/business invariants, reliability/idempotency, and observability/audit. Each requirement decomposes into one or more machine-checkable</w:t>
      </w:r>
      <w:r>
        <w:t xml:space="preserve"> </w:t>
      </w:r>
      <w:r>
        <w:rPr>
          <w:i/>
          <w:iCs/>
        </w:rPr>
        <w:t xml:space="preserve">obligations</w:t>
      </w:r>
      <w:r>
        <w:t xml:space="preserve"> </w:t>
      </w:r>
      <w:r>
        <w:t xml:space="preserve">recorded in frozen obligation checklists. Obligations are the atomic unit against which mutations and oracles are aligned; the 96 violating variants collectively target 81 distinct obligations.</w:t>
      </w:r>
    </w:p>
    <w:bookmarkEnd w:id="12"/>
    <w:bookmarkStart w:id="13" w:name="reference-implementation"/>
    <w:p>
      <w:pPr>
        <w:pStyle w:val="Heading3"/>
      </w:pPr>
      <w:r>
        <w:t xml:space="preserve">3.2 Reference Implementation</w:t>
      </w:r>
    </w:p>
    <w:p>
      <w:pPr>
        <w:pStyle w:val="FirstParagraph"/>
      </w:pPr>
      <w:r>
        <w:t xml:space="preserve">A single deterministic payment service implements all 48 requirements. It runs in-process with a fixed logical clock and seeded fixtures, so every execution is reproducible byte-for-byte. State, audit events, structured logs, and metrics are all observable through documented accessors, giving oracles a stable runtime surface. Because the clock and fixtures are frozen, there is no wall-clock, randomness, or network dependence: two runs of the harness on the same commit yield identical raw records.</w:t>
      </w:r>
    </w:p>
    <w:bookmarkEnd w:id="13"/>
    <w:bookmarkStart w:id="14" w:name="variant-corpus"/>
    <w:p>
      <w:pPr>
        <w:pStyle w:val="Heading3"/>
      </w:pPr>
      <w:r>
        <w:t xml:space="preserve">3.3 Variant Corpus</w:t>
      </w:r>
    </w:p>
    <w:p>
      <w:pPr>
        <w:pStyle w:val="FirstParagraph"/>
      </w:pPr>
      <w:r>
        <w:t xml:space="preserve">The 204-variant corpus is summarized in Table 1. It has four strata, each with a fixed expected verdict.</w:t>
      </w:r>
    </w:p>
    <w:p>
      <w:pPr>
        <w:pStyle w:val="BodyText"/>
      </w:pPr>
      <w:r>
        <w:rPr>
          <w:b/>
          <w:bCs/>
        </w:rPr>
        <w:t xml:space="preserve">Table 1. Corpus composition.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 type</w:t>
            </w:r>
          </w:p>
        </w:tc>
        <w:tc>
          <w:tcPr/>
          <w:p>
            <w:pPr>
              <w:pStyle w:val="Compact"/>
            </w:pPr>
            <w:r>
              <w:t xml:space="preserve">Count</w:t>
            </w:r>
          </w:p>
        </w:tc>
        <w:tc>
          <w:tcPr/>
          <w:p>
            <w:pPr>
              <w:pStyle w:val="Compact"/>
            </w:pPr>
            <w:r>
              <w:t xml:space="preserve">Expected verdict</w:t>
            </w:r>
          </w:p>
        </w:tc>
      </w:tr>
      <w:tr>
        <w:tc>
          <w:tcPr/>
          <w:p>
            <w:pPr>
              <w:pStyle w:val="Compact"/>
            </w:pPr>
            <w:r>
              <w:t xml:space="preserve">Compliant (reference)</w:t>
            </w:r>
          </w:p>
        </w:tc>
        <w:tc>
          <w:tcPr/>
          <w:p>
            <w:pPr>
              <w:pStyle w:val="Compact"/>
            </w:pPr>
            <w:r>
              <w:t xml:space="preserve">48</w:t>
            </w:r>
          </w:p>
        </w:tc>
        <w:tc>
          <w:tcPr/>
          <w:p>
            <w:pPr>
              <w:pStyle w:val="Compact"/>
            </w:pPr>
            <w:r>
              <w:t xml:space="preserve">non-violating</w:t>
            </w:r>
          </w:p>
        </w:tc>
      </w:tr>
      <w:tr>
        <w:tc>
          <w:tcPr/>
          <w:p>
            <w:pPr>
              <w:pStyle w:val="Compact"/>
            </w:pPr>
            <w:r>
              <w:t xml:space="preserve">Violating (mutation-injected)</w:t>
            </w:r>
          </w:p>
        </w:tc>
        <w:tc>
          <w:tcPr/>
          <w:p>
            <w:pPr>
              <w:pStyle w:val="Compact"/>
            </w:pPr>
            <w:r>
              <w:t xml:space="preserve">96</w:t>
            </w:r>
          </w:p>
        </w:tc>
        <w:tc>
          <w:tcPr/>
          <w:p>
            <w:pPr>
              <w:pStyle w:val="Compact"/>
            </w:pPr>
            <w:r>
              <w:t xml:space="preserve">violating</w:t>
            </w:r>
          </w:p>
        </w:tc>
      </w:tr>
      <w:tr>
        <w:tc>
          <w:tcPr/>
          <w:p>
            <w:pPr>
              <w:pStyle w:val="Compact"/>
            </w:pPr>
            <w:r>
              <w:t xml:space="preserve">Valid alternative (behavior-preserving)</w:t>
            </w:r>
          </w:p>
        </w:tc>
        <w:tc>
          <w:tcPr/>
          <w:p>
            <w:pPr>
              <w:pStyle w:val="Compact"/>
            </w:pPr>
            <w:r>
              <w:t xml:space="preserve">48</w:t>
            </w:r>
          </w:p>
        </w:tc>
        <w:tc>
          <w:tcPr/>
          <w:p>
            <w:pPr>
              <w:pStyle w:val="Compact"/>
            </w:pPr>
            <w:r>
              <w:t xml:space="preserve">non-violating</w:t>
            </w:r>
          </w:p>
        </w:tc>
      </w:tr>
      <w:tr>
        <w:tc>
          <w:tcPr/>
          <w:p>
            <w:pPr>
              <w:pStyle w:val="Compact"/>
            </w:pPr>
            <w:r>
              <w:t xml:space="preserve">Boundary (edge-value compliant)</w:t>
            </w:r>
          </w:p>
        </w:tc>
        <w:tc>
          <w:tcPr/>
          <w:p>
            <w:pPr>
              <w:pStyle w:val="Compact"/>
            </w:pPr>
            <w:r>
              <w:t xml:space="preserve">12</w:t>
            </w:r>
          </w:p>
        </w:tc>
        <w:tc>
          <w:tcPr/>
          <w:p>
            <w:pPr>
              <w:pStyle w:val="Compact"/>
            </w:pPr>
            <w:r>
              <w:t xml:space="preserve">non-violating</w:t>
            </w:r>
          </w:p>
        </w:tc>
      </w:tr>
      <w:tr>
        <w:tc>
          <w:tcPr/>
          <w:p>
            <w:pPr>
              <w:pStyle w:val="Compact"/>
            </w:pPr>
            <w:r>
              <w:rPr>
                <w:b/>
                <w:bCs/>
              </w:rPr>
              <w:t xml:space="preserve">Total</w:t>
            </w:r>
          </w:p>
        </w:tc>
        <w:tc>
          <w:tcPr/>
          <w:p>
            <w:pPr>
              <w:pStyle w:val="Compact"/>
            </w:pPr>
            <w:r>
              <w:rPr>
                <w:b/>
                <w:bCs/>
              </w:rPr>
              <w:t xml:space="preserve">204</w:t>
            </w:r>
          </w:p>
        </w:tc>
        <w:tc>
          <w:tcPr/>
          <w:p>
            <w:pPr>
              <w:pStyle w:val="Compact"/>
            </w:pPr>
            <w:r>
              <w:t xml:space="preserve">108 non-violating / 96 violating</w:t>
            </w:r>
          </w:p>
        </w:tc>
      </w:tr>
    </w:tbl>
    <w:p>
      <w:pPr>
        <w:pStyle w:val="BodyText"/>
      </w:pPr>
      <w:r>
        <w:t xml:space="preserve">Violating variants are produced by targeted source mutations, two per requirement, each mapped to a specific requirement obligation; every mutation’s target obligation is integrity-checked to exist in the frozen checklists (zero dangling references). Valid alternatives are behavior-preserving realizations of the reference, and boundary cases exercise edge inputs against compliant code. Both non-violating strata exist specifically to measure over-constraint: a faithful guardrail must pass all 108 of them.</w:t>
      </w:r>
    </w:p>
    <w:bookmarkEnd w:id="14"/>
    <w:bookmarkStart w:id="15" w:name="mutation-operators"/>
    <w:p>
      <w:pPr>
        <w:pStyle w:val="Heading3"/>
      </w:pPr>
      <w:r>
        <w:t xml:space="preserve">3.4 Mutation Operators</w:t>
      </w:r>
    </w:p>
    <w:p>
      <w:pPr>
        <w:pStyle w:val="FirstParagraph"/>
      </w:pPr>
      <w:r>
        <w:t xml:space="preserve">Each violating variant applies one text-level source mutation to a small, named code region of the reference and records the target obligation, the expected behavioral difference, and a difficulty rating. Consistent with the coupling effect [3], these single-region mutations act as tractable proxies for the classes of real defect that governance guardrails must catch. The 96 approved mutations distribute across difficulty as shown in Table 2, and concentrate on the highest-consequence handlers (e.g., approval, payment creation, refund, release, and void paths).</w:t>
      </w:r>
    </w:p>
    <w:p>
      <w:pPr>
        <w:pStyle w:val="BodyText"/>
      </w:pPr>
      <w:r>
        <w:rPr>
          <w:b/>
          <w:bCs/>
        </w:rPr>
        <w:t xml:space="preserve">Table 2. Mutation difficulty distribution (96 mutations).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Difficulty</w:t>
            </w:r>
          </w:p>
        </w:tc>
        <w:tc>
          <w:tcPr/>
          <w:p>
            <w:pPr>
              <w:pStyle w:val="Compact"/>
            </w:pPr>
            <w:r>
              <w:t xml:space="preserve">Count</w:t>
            </w:r>
          </w:p>
        </w:tc>
      </w:tr>
      <w:tr>
        <w:tc>
          <w:tcPr/>
          <w:p>
            <w:pPr>
              <w:pStyle w:val="Compact"/>
            </w:pPr>
            <w:r>
              <w:t xml:space="preserve">easy</w:t>
            </w:r>
          </w:p>
        </w:tc>
        <w:tc>
          <w:tcPr/>
          <w:p>
            <w:pPr>
              <w:pStyle w:val="Compact"/>
            </w:pPr>
            <w:r>
              <w:t xml:space="preserve">20</w:t>
            </w:r>
          </w:p>
        </w:tc>
      </w:tr>
      <w:tr>
        <w:tc>
          <w:tcPr/>
          <w:p>
            <w:pPr>
              <w:pStyle w:val="Compact"/>
            </w:pPr>
            <w:r>
              <w:t xml:space="preserve">medium</w:t>
            </w:r>
          </w:p>
        </w:tc>
        <w:tc>
          <w:tcPr/>
          <w:p>
            <w:pPr>
              <w:pStyle w:val="Compact"/>
            </w:pPr>
            <w:r>
              <w:t xml:space="preserve">70</w:t>
            </w:r>
          </w:p>
        </w:tc>
      </w:tr>
      <w:tr>
        <w:tc>
          <w:tcPr/>
          <w:p>
            <w:pPr>
              <w:pStyle w:val="Compact"/>
            </w:pPr>
            <w:r>
              <w:t xml:space="preserve">hard</w:t>
            </w:r>
          </w:p>
        </w:tc>
        <w:tc>
          <w:tcPr/>
          <w:p>
            <w:pPr>
              <w:pStyle w:val="Compact"/>
            </w:pPr>
            <w:r>
              <w:t xml:space="preserve">6</w:t>
            </w:r>
          </w:p>
        </w:tc>
      </w:tr>
    </w:tbl>
    <w:p>
      <w:pPr>
        <w:pStyle w:val="BodyText"/>
      </w:pPr>
      <w:r>
        <w:t xml:space="preserve">Mutation classes include removed authorization checks, broken self-approval comparisons, missing audit emission on state change, wrong-actor attribution, removed masking/redaction, idempotency-replay bypasses, boundary off-by-one relaxations, and over-strict rejections of legitimate updates. This diversity ensures the recall measurement is not dominated by a single easy defect shape.</w:t>
      </w:r>
    </w:p>
    <w:bookmarkEnd w:id="15"/>
    <w:bookmarkStart w:id="16" w:name="expected-verdict-ground-truth"/>
    <w:p>
      <w:pPr>
        <w:pStyle w:val="Heading3"/>
      </w:pPr>
      <w:r>
        <w:t xml:space="preserve">3.5 Expected-Verdict Ground Truth</w:t>
      </w:r>
    </w:p>
    <w:p>
      <w:pPr>
        <w:pStyle w:val="FirstParagraph"/>
      </w:pPr>
      <w:r>
        <w:t xml:space="preserve">A frozen expected-verdict table assigns each of the 204 variants a verdict and its target obligations. This table is the sole source of truth for scoring; oracles never read it. Obligation references in this table are validated against the source checklists before any measurement, closing a data-integrity gap that would otherwise silently corrupt recall.</w:t>
      </w:r>
    </w:p>
    <w:bookmarkEnd w:id="16"/>
    <w:bookmarkEnd w:id="17"/>
    <w:bookmarkStart w:id="21" w:name="oracles-and-execution-harness"/>
    <w:p>
      <w:pPr>
        <w:pStyle w:val="Heading2"/>
      </w:pPr>
      <w:r>
        <w:t xml:space="preserve">4. Oracles and Execution Harness</w:t>
      </w:r>
    </w:p>
    <w:bookmarkStart w:id="18" w:name="oracle-contract"/>
    <w:p>
      <w:pPr>
        <w:pStyle w:val="Heading3"/>
      </w:pPr>
      <w:r>
        <w:t xml:space="preserve">4.1 Oracle Contract</w:t>
      </w:r>
    </w:p>
    <w:p>
      <w:pPr>
        <w:pStyle w:val="FirstParagraph"/>
      </w:pPr>
      <w:r>
        <w:t xml:space="preserve">Each requirement has one deterministic oracle. An oracle exercises all obligations of its requirement through seeded scenarios and returns</w:t>
      </w:r>
      <w:r>
        <w:t xml:space="preserve"> </w:t>
      </w:r>
      <w:r>
        <w:rPr>
          <w:rStyle w:val="VerbatimChar"/>
        </w:rPr>
        <w:t xml:space="preserve">violating</w:t>
      </w:r>
      <w:r>
        <w:t xml:space="preserve"> </w:t>
      </w:r>
      <w:r>
        <w:t xml:space="preserve">if</w:t>
      </w:r>
      <w:r>
        <w:t xml:space="preserve"> </w:t>
      </w:r>
      <w:r>
        <w:rPr>
          <w:i/>
          <w:iCs/>
        </w:rPr>
        <w:t xml:space="preserve">any</w:t>
      </w:r>
      <w:r>
        <w:t xml:space="preserve"> </w:t>
      </w:r>
      <w:r>
        <w:t xml:space="preserve">obligation is breached at runtime, otherwise</w:t>
      </w:r>
      <w:r>
        <w:t xml:space="preserve"> </w:t>
      </w:r>
      <w:r>
        <w:rPr>
          <w:rStyle w:val="VerbatimChar"/>
        </w:rPr>
        <w:t xml:space="preserve">non_violating</w:t>
      </w:r>
      <w:r>
        <w:t xml:space="preserve">. Oracles observe only runtime effects — response codes, persisted state, audit events, structured logs, and metrics — never the expected verdict or the mutation plan [8]. The logical-OR across per-obligation sub-checks is what lets a single oracle catch either of the two mutations attached to its requirement.</w:t>
      </w:r>
    </w:p>
    <w:bookmarkEnd w:id="18"/>
    <w:bookmarkStart w:id="19" w:name="harness-and-scoring"/>
    <w:p>
      <w:pPr>
        <w:pStyle w:val="Heading3"/>
      </w:pPr>
      <w:r>
        <w:t xml:space="preserve">4.2 Harness and Scoring</w:t>
      </w:r>
    </w:p>
    <w:p>
      <w:pPr>
        <w:pStyle w:val="FirstParagraph"/>
      </w:pPr>
      <w:r>
        <w:t xml:space="preserve">The harness materializes each variant, dynamically imports its service, constructs a fresh instance per scenario, runs the matching oracle, and classifies the observed verdict against ground truth (positive class = violating) into TP, FP, TN, FN, or ERROR (Table 3). Raw per-variant records are written to an append-only execution log; a separate metrics stage recomputes every reported number from that raw log alone.</w:t>
      </w:r>
    </w:p>
    <w:p>
      <w:pPr>
        <w:pStyle w:val="BodyText"/>
      </w:pPr>
      <w:r>
        <w:rPr>
          <w:b/>
          <w:bCs/>
        </w:rPr>
        <w:t xml:space="preserve">Table 3. Verdict classification rule.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Observed</w:t>
            </w:r>
          </w:p>
        </w:tc>
        <w:tc>
          <w:tcPr/>
          <w:p>
            <w:pPr>
              <w:pStyle w:val="Compact"/>
            </w:pPr>
            <w:r>
              <w:t xml:space="preserve">Expected</w:t>
            </w:r>
          </w:p>
        </w:tc>
        <w:tc>
          <w:tcPr/>
          <w:p>
            <w:pPr>
              <w:pStyle w:val="Compact"/>
            </w:pPr>
            <w:r>
              <w:t xml:space="preserve">Class</w:t>
            </w:r>
          </w:p>
        </w:tc>
      </w:tr>
      <w:tr>
        <w:tc>
          <w:tcPr/>
          <w:p>
            <w:pPr>
              <w:pStyle w:val="Compact"/>
            </w:pPr>
            <w:r>
              <w:t xml:space="preserve">violating</w:t>
            </w:r>
          </w:p>
        </w:tc>
        <w:tc>
          <w:tcPr/>
          <w:p>
            <w:pPr>
              <w:pStyle w:val="Compact"/>
            </w:pPr>
            <w:r>
              <w:t xml:space="preserve">violating</w:t>
            </w:r>
          </w:p>
        </w:tc>
        <w:tc>
          <w:tcPr/>
          <w:p>
            <w:pPr>
              <w:pStyle w:val="Compact"/>
            </w:pPr>
            <w:r>
              <w:t xml:space="preserve">TP</w:t>
            </w:r>
          </w:p>
        </w:tc>
      </w:tr>
      <w:tr>
        <w:tc>
          <w:tcPr/>
          <w:p>
            <w:pPr>
              <w:pStyle w:val="Compact"/>
            </w:pPr>
            <w:r>
              <w:t xml:space="preserve">violating</w:t>
            </w:r>
          </w:p>
        </w:tc>
        <w:tc>
          <w:tcPr/>
          <w:p>
            <w:pPr>
              <w:pStyle w:val="Compact"/>
            </w:pPr>
            <w:r>
              <w:t xml:space="preserve">non-violating</w:t>
            </w:r>
          </w:p>
        </w:tc>
        <w:tc>
          <w:tcPr/>
          <w:p>
            <w:pPr>
              <w:pStyle w:val="Compact"/>
            </w:pPr>
            <w:r>
              <w:t xml:space="preserve">FP</w:t>
            </w:r>
          </w:p>
        </w:tc>
      </w:tr>
      <w:tr>
        <w:tc>
          <w:tcPr/>
          <w:p>
            <w:pPr>
              <w:pStyle w:val="Compact"/>
            </w:pPr>
            <w:r>
              <w:t xml:space="preserve">non-violating</w:t>
            </w:r>
          </w:p>
        </w:tc>
        <w:tc>
          <w:tcPr/>
          <w:p>
            <w:pPr>
              <w:pStyle w:val="Compact"/>
            </w:pPr>
            <w:r>
              <w:t xml:space="preserve">non-violating</w:t>
            </w:r>
          </w:p>
        </w:tc>
        <w:tc>
          <w:tcPr/>
          <w:p>
            <w:pPr>
              <w:pStyle w:val="Compact"/>
            </w:pPr>
            <w:r>
              <w:t xml:space="preserve">TN</w:t>
            </w:r>
          </w:p>
        </w:tc>
      </w:tr>
      <w:tr>
        <w:tc>
          <w:tcPr/>
          <w:p>
            <w:pPr>
              <w:pStyle w:val="Compact"/>
            </w:pPr>
            <w:r>
              <w:t xml:space="preserve">non-violating</w:t>
            </w:r>
          </w:p>
        </w:tc>
        <w:tc>
          <w:tcPr/>
          <w:p>
            <w:pPr>
              <w:pStyle w:val="Compact"/>
            </w:pPr>
            <w:r>
              <w:t xml:space="preserve">violating</w:t>
            </w:r>
          </w:p>
        </w:tc>
        <w:tc>
          <w:tcPr/>
          <w:p>
            <w:pPr>
              <w:pStyle w:val="Compact"/>
            </w:pPr>
            <w:r>
              <w:t xml:space="preserve">FN</w:t>
            </w:r>
          </w:p>
        </w:tc>
      </w:tr>
      <w:tr>
        <w:tc>
          <w:tcPr/>
          <w:p>
            <w:pPr>
              <w:pStyle w:val="Compact"/>
            </w:pPr>
            <w:r>
              <w:t xml:space="preserve">exception / missing</w:t>
            </w:r>
          </w:p>
        </w:tc>
        <w:tc>
          <w:tcPr/>
          <w:p>
            <w:pPr>
              <w:pStyle w:val="Compact"/>
            </w:pPr>
            <w:r>
              <w:t xml:space="preserve">any</w:t>
            </w:r>
          </w:p>
        </w:tc>
        <w:tc>
          <w:tcPr/>
          <w:p>
            <w:pPr>
              <w:pStyle w:val="Compact"/>
            </w:pPr>
            <w:r>
              <w:t xml:space="preserve">ERROR</w:t>
            </w:r>
          </w:p>
        </w:tc>
      </w:tr>
    </w:tbl>
    <w:bookmarkEnd w:id="19"/>
    <w:bookmarkStart w:id="20" w:name="metrics"/>
    <w:p>
      <w:pPr>
        <w:pStyle w:val="Heading3"/>
      </w:pPr>
      <w:r>
        <w:t xml:space="preserve">4.3 Metrics</w:t>
      </w:r>
    </w:p>
    <w:p>
      <w:pPr>
        <w:pStyle w:val="FirstParagraph"/>
      </w:pPr>
      <w:r>
        <w:t xml:space="preserve">All metrics derive from the confusion matrix by fixed formulas, with no free parameters:</w:t>
      </w:r>
    </w:p>
    <w:p>
      <w:pPr>
        <w:pStyle w:val="Compact"/>
        <w:numPr>
          <w:ilvl w:val="0"/>
          <w:numId w:val="1001"/>
        </w:numPr>
      </w:pPr>
      <w:r>
        <w:t xml:space="preserve">Precision = TP / (TP + FP)</w:t>
      </w:r>
    </w:p>
    <w:p>
      <w:pPr>
        <w:pStyle w:val="Compact"/>
        <w:numPr>
          <w:ilvl w:val="0"/>
          <w:numId w:val="1001"/>
        </w:numPr>
      </w:pPr>
      <w:r>
        <w:t xml:space="preserve">Recall = TP / (TP + FN)</w:t>
      </w:r>
    </w:p>
    <w:p>
      <w:pPr>
        <w:pStyle w:val="Compact"/>
        <w:numPr>
          <w:ilvl w:val="0"/>
          <w:numId w:val="1001"/>
        </w:numPr>
      </w:pPr>
      <w:r>
        <w:t xml:space="preserve">F1 = 2 · Precision · Recall / (Precision + Recall)</w:t>
      </w:r>
    </w:p>
    <w:p>
      <w:pPr>
        <w:pStyle w:val="Compact"/>
        <w:numPr>
          <w:ilvl w:val="0"/>
          <w:numId w:val="1001"/>
        </w:numPr>
      </w:pPr>
      <w:r>
        <w:t xml:space="preserve">Over-constraint rate = FP / (FP + TN)</w:t>
      </w:r>
    </w:p>
    <w:p>
      <w:pPr>
        <w:pStyle w:val="Compact"/>
        <w:numPr>
          <w:ilvl w:val="0"/>
          <w:numId w:val="1001"/>
        </w:numPr>
      </w:pPr>
      <w:r>
        <w:t xml:space="preserve">Execution error rate = ERROR / N</w:t>
      </w:r>
    </w:p>
    <w:bookmarkEnd w:id="20"/>
    <w:bookmarkEnd w:id="21"/>
    <w:bookmarkStart w:id="26" w:name="results"/>
    <w:p>
      <w:pPr>
        <w:pStyle w:val="Heading2"/>
      </w:pPr>
      <w:r>
        <w:t xml:space="preserve">5. Results</w:t>
      </w:r>
    </w:p>
    <w:bookmarkStart w:id="22" w:name="headline"/>
    <w:p>
      <w:pPr>
        <w:pStyle w:val="Heading3"/>
      </w:pPr>
      <w:r>
        <w:t xml:space="preserve">5.1 Headline</w:t>
      </w:r>
    </w:p>
    <w:p>
      <w:pPr>
        <w:pStyle w:val="FirstParagraph"/>
      </w:pPr>
      <w:r>
        <w:rPr>
          <w:b/>
          <w:bCs/>
        </w:rPr>
        <w:t xml:space="preserve">Table 4. Overall results (N = 204).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TP / FP / TN / FN / ERROR</w:t>
            </w:r>
          </w:p>
        </w:tc>
        <w:tc>
          <w:tcPr/>
          <w:p>
            <w:pPr>
              <w:pStyle w:val="Compact"/>
            </w:pPr>
            <w:r>
              <w:t xml:space="preserve">95 / 0 / 108 / 1 / 0</w:t>
            </w:r>
          </w:p>
        </w:tc>
      </w:tr>
      <w:tr>
        <w:tc>
          <w:tcPr/>
          <w:p>
            <w:pPr>
              <w:pStyle w:val="Compact"/>
            </w:pPr>
            <w:r>
              <w:t xml:space="preserve">Precision</w:t>
            </w:r>
          </w:p>
        </w:tc>
        <w:tc>
          <w:tcPr/>
          <w:p>
            <w:pPr>
              <w:pStyle w:val="Compact"/>
            </w:pPr>
            <w:r>
              <w:t xml:space="preserve">1.0000</w:t>
            </w:r>
          </w:p>
        </w:tc>
      </w:tr>
      <w:tr>
        <w:tc>
          <w:tcPr/>
          <w:p>
            <w:pPr>
              <w:pStyle w:val="Compact"/>
            </w:pPr>
            <w:r>
              <w:t xml:space="preserve">Recall</w:t>
            </w:r>
          </w:p>
        </w:tc>
        <w:tc>
          <w:tcPr/>
          <w:p>
            <w:pPr>
              <w:pStyle w:val="Compact"/>
            </w:pPr>
            <w:r>
              <w:t xml:space="preserve">0.9896</w:t>
            </w:r>
          </w:p>
        </w:tc>
      </w:tr>
      <w:tr>
        <w:tc>
          <w:tcPr/>
          <w:p>
            <w:pPr>
              <w:pStyle w:val="Compact"/>
            </w:pPr>
            <w:r>
              <w:t xml:space="preserve">F1</w:t>
            </w:r>
          </w:p>
        </w:tc>
        <w:tc>
          <w:tcPr/>
          <w:p>
            <w:pPr>
              <w:pStyle w:val="Compact"/>
            </w:pPr>
            <w:r>
              <w:t xml:space="preserve">0.9948</w:t>
            </w:r>
          </w:p>
        </w:tc>
      </w:tr>
      <w:tr>
        <w:tc>
          <w:tcPr/>
          <w:p>
            <w:pPr>
              <w:pStyle w:val="Compact"/>
            </w:pPr>
            <w:r>
              <w:t xml:space="preserve">Over-constraint rate</w:t>
            </w:r>
          </w:p>
        </w:tc>
        <w:tc>
          <w:tcPr/>
          <w:p>
            <w:pPr>
              <w:pStyle w:val="Compact"/>
            </w:pPr>
            <w:r>
              <w:t xml:space="preserve">0.0000</w:t>
            </w:r>
          </w:p>
        </w:tc>
      </w:tr>
      <w:tr>
        <w:tc>
          <w:tcPr/>
          <w:p>
            <w:pPr>
              <w:pStyle w:val="Compact"/>
            </w:pPr>
            <w:r>
              <w:t xml:space="preserve">Execution error rate</w:t>
            </w:r>
          </w:p>
        </w:tc>
        <w:tc>
          <w:tcPr/>
          <w:p>
            <w:pPr>
              <w:pStyle w:val="Compact"/>
            </w:pPr>
            <w:r>
              <w:t xml:space="preserve">0.0000</w:t>
            </w:r>
          </w:p>
        </w:tc>
      </w:tr>
    </w:tbl>
    <w:p>
      <w:pPr>
        <w:pStyle w:val="BodyText"/>
      </w:pPr>
      <w:r>
        <w:t xml:space="preserve">All 108 non-violating variants passed (zero false positives), so precision is perfect and over-constraint is zero: no legitimate alternative or boundary implementation was wrongly rejected. Of 96 violating variants, 95 were detected and 1 was missed. Zero variants raised execution errors, so every one of the 204 verdicts is a real classified outcome rather than a crash.</w:t>
      </w:r>
    </w:p>
    <w:bookmarkEnd w:id="22"/>
    <w:bookmarkStart w:id="23" w:name="by-variant-type"/>
    <w:p>
      <w:pPr>
        <w:pStyle w:val="Heading3"/>
      </w:pPr>
      <w:r>
        <w:t xml:space="preserve">5.2 By Variant Type</w:t>
      </w:r>
    </w:p>
    <w:p>
      <w:pPr>
        <w:pStyle w:val="FirstParagraph"/>
      </w:pPr>
      <w:r>
        <w:rPr>
          <w:b/>
          <w:bCs/>
        </w:rPr>
        <w:t xml:space="preserve">Table 5. Outcomes by variant stratum.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Stratum</w:t>
            </w:r>
          </w:p>
        </w:tc>
        <w:tc>
          <w:tcPr/>
          <w:p>
            <w:pPr>
              <w:pStyle w:val="Compact"/>
            </w:pPr>
            <w:r>
              <w:t xml:space="preserve">N</w:t>
            </w:r>
          </w:p>
        </w:tc>
        <w:tc>
          <w:tcPr/>
          <w:p>
            <w:pPr>
              <w:pStyle w:val="Compact"/>
            </w:pPr>
            <w:r>
              <w:t xml:space="preserve">TP</w:t>
            </w:r>
          </w:p>
        </w:tc>
        <w:tc>
          <w:tcPr/>
          <w:p>
            <w:pPr>
              <w:pStyle w:val="Compact"/>
            </w:pPr>
            <w:r>
              <w:t xml:space="preserve">TN</w:t>
            </w:r>
          </w:p>
        </w:tc>
        <w:tc>
          <w:tcPr/>
          <w:p>
            <w:pPr>
              <w:pStyle w:val="Compact"/>
            </w:pPr>
            <w:r>
              <w:t xml:space="preserve">FN</w:t>
            </w:r>
          </w:p>
        </w:tc>
        <w:tc>
          <w:tcPr/>
          <w:p>
            <w:pPr>
              <w:pStyle w:val="Compact"/>
            </w:pPr>
            <w:r>
              <w:t xml:space="preserve">FP</w:t>
            </w:r>
          </w:p>
        </w:tc>
      </w:tr>
      <w:tr>
        <w:tc>
          <w:tcPr/>
          <w:p>
            <w:pPr>
              <w:pStyle w:val="Compact"/>
            </w:pPr>
            <w:r>
              <w:t xml:space="preserve">Compliant</w:t>
            </w:r>
          </w:p>
        </w:tc>
        <w:tc>
          <w:tcPr/>
          <w:p>
            <w:pPr>
              <w:pStyle w:val="Compact"/>
            </w:pPr>
            <w:r>
              <w:t xml:space="preserve">48</w:t>
            </w:r>
          </w:p>
        </w:tc>
        <w:tc>
          <w:tcPr/>
          <w:p>
            <w:pPr>
              <w:pStyle w:val="Compact"/>
            </w:pPr>
            <w:r>
              <w:t xml:space="preserve">–</w:t>
            </w:r>
          </w:p>
        </w:tc>
        <w:tc>
          <w:tcPr/>
          <w:p>
            <w:pPr>
              <w:pStyle w:val="Compact"/>
            </w:pPr>
            <w:r>
              <w:t xml:space="preserve">48</w:t>
            </w:r>
          </w:p>
        </w:tc>
        <w:tc>
          <w:tcPr/>
          <w:p>
            <w:pPr>
              <w:pStyle w:val="Compact"/>
            </w:pPr>
            <w:r>
              <w:t xml:space="preserve">–</w:t>
            </w:r>
          </w:p>
        </w:tc>
        <w:tc>
          <w:tcPr/>
          <w:p>
            <w:pPr>
              <w:pStyle w:val="Compact"/>
            </w:pPr>
            <w:r>
              <w:t xml:space="preserve">0</w:t>
            </w:r>
          </w:p>
        </w:tc>
      </w:tr>
      <w:tr>
        <w:tc>
          <w:tcPr/>
          <w:p>
            <w:pPr>
              <w:pStyle w:val="Compact"/>
            </w:pPr>
            <w:r>
              <w:t xml:space="preserve">Valid alternative</w:t>
            </w:r>
          </w:p>
        </w:tc>
        <w:tc>
          <w:tcPr/>
          <w:p>
            <w:pPr>
              <w:pStyle w:val="Compact"/>
            </w:pPr>
            <w:r>
              <w:t xml:space="preserve">48</w:t>
            </w:r>
          </w:p>
        </w:tc>
        <w:tc>
          <w:tcPr/>
          <w:p>
            <w:pPr>
              <w:pStyle w:val="Compact"/>
            </w:pPr>
            <w:r>
              <w:t xml:space="preserve">–</w:t>
            </w:r>
          </w:p>
        </w:tc>
        <w:tc>
          <w:tcPr/>
          <w:p>
            <w:pPr>
              <w:pStyle w:val="Compact"/>
            </w:pPr>
            <w:r>
              <w:t xml:space="preserve">48</w:t>
            </w:r>
          </w:p>
        </w:tc>
        <w:tc>
          <w:tcPr/>
          <w:p>
            <w:pPr>
              <w:pStyle w:val="Compact"/>
            </w:pPr>
            <w:r>
              <w:t xml:space="preserve">–</w:t>
            </w:r>
          </w:p>
        </w:tc>
        <w:tc>
          <w:tcPr/>
          <w:p>
            <w:pPr>
              <w:pStyle w:val="Compact"/>
            </w:pPr>
            <w:r>
              <w:t xml:space="preserve">0</w:t>
            </w:r>
          </w:p>
        </w:tc>
      </w:tr>
      <w:tr>
        <w:tc>
          <w:tcPr/>
          <w:p>
            <w:pPr>
              <w:pStyle w:val="Compact"/>
            </w:pPr>
            <w:r>
              <w:t xml:space="preserve">Boundary</w:t>
            </w:r>
          </w:p>
        </w:tc>
        <w:tc>
          <w:tcPr/>
          <w:p>
            <w:pPr>
              <w:pStyle w:val="Compact"/>
            </w:pPr>
            <w:r>
              <w:t xml:space="preserve">12</w:t>
            </w:r>
          </w:p>
        </w:tc>
        <w:tc>
          <w:tcPr/>
          <w:p>
            <w:pPr>
              <w:pStyle w:val="Compact"/>
            </w:pPr>
            <w:r>
              <w:t xml:space="preserve">–</w:t>
            </w:r>
          </w:p>
        </w:tc>
        <w:tc>
          <w:tcPr/>
          <w:p>
            <w:pPr>
              <w:pStyle w:val="Compact"/>
            </w:pPr>
            <w:r>
              <w:t xml:space="preserve">12</w:t>
            </w:r>
          </w:p>
        </w:tc>
        <w:tc>
          <w:tcPr/>
          <w:p>
            <w:pPr>
              <w:pStyle w:val="Compact"/>
            </w:pPr>
            <w:r>
              <w:t xml:space="preserve">–</w:t>
            </w:r>
          </w:p>
        </w:tc>
        <w:tc>
          <w:tcPr/>
          <w:p>
            <w:pPr>
              <w:pStyle w:val="Compact"/>
            </w:pPr>
            <w:r>
              <w:t xml:space="preserve">0</w:t>
            </w:r>
          </w:p>
        </w:tc>
      </w:tr>
      <w:tr>
        <w:tc>
          <w:tcPr/>
          <w:p>
            <w:pPr>
              <w:pStyle w:val="Compact"/>
            </w:pPr>
            <w:r>
              <w:t xml:space="preserve">Violating</w:t>
            </w:r>
          </w:p>
        </w:tc>
        <w:tc>
          <w:tcPr/>
          <w:p>
            <w:pPr>
              <w:pStyle w:val="Compact"/>
            </w:pPr>
            <w:r>
              <w:t xml:space="preserve">96</w:t>
            </w:r>
          </w:p>
        </w:tc>
        <w:tc>
          <w:tcPr/>
          <w:p>
            <w:pPr>
              <w:pStyle w:val="Compact"/>
            </w:pPr>
            <w:r>
              <w:t xml:space="preserve">95</w:t>
            </w:r>
          </w:p>
        </w:tc>
        <w:tc>
          <w:tcPr/>
          <w:p>
            <w:pPr>
              <w:pStyle w:val="Compact"/>
            </w:pPr>
            <w:r>
              <w:t xml:space="preserve">–</w:t>
            </w:r>
          </w:p>
        </w:tc>
        <w:tc>
          <w:tcPr/>
          <w:p>
            <w:pPr>
              <w:pStyle w:val="Compact"/>
            </w:pPr>
            <w:r>
              <w:t xml:space="preserve">1</w:t>
            </w:r>
          </w:p>
        </w:tc>
        <w:tc>
          <w:tcPr/>
          <w:p>
            <w:pPr>
              <w:pStyle w:val="Compact"/>
            </w:pPr>
            <w:r>
              <w:t xml:space="preserve">–</w:t>
            </w:r>
          </w:p>
        </w:tc>
      </w:tr>
    </w:tbl>
    <w:p>
      <w:pPr>
        <w:pStyle w:val="BodyText"/>
      </w:pPr>
      <w:r>
        <w:t xml:space="preserve">The three non-violating strata contribute all 108 true negatives with zero false positives, directly evidencing the zero over-constraint result across compliant, behavior-preserving, and edge-value implementations alike.</w:t>
      </w:r>
    </w:p>
    <w:bookmarkEnd w:id="23"/>
    <w:bookmarkStart w:id="24" w:name="by-category"/>
    <w:p>
      <w:pPr>
        <w:pStyle w:val="Heading3"/>
      </w:pPr>
      <w:r>
        <w:t xml:space="preserve">5.3 By Category</w:t>
      </w:r>
    </w:p>
    <w:p>
      <w:pPr>
        <w:pStyle w:val="FirstParagraph"/>
      </w:pPr>
      <w:r>
        <w:rPr>
          <w:b/>
          <w:bCs/>
        </w:rPr>
        <w:t xml:space="preserve">Table 6. Detection by requirement category (eight requirements each).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Category</w:t>
            </w:r>
          </w:p>
        </w:tc>
        <w:tc>
          <w:tcPr/>
          <w:p>
            <w:pPr>
              <w:pStyle w:val="Compact"/>
            </w:pPr>
            <w:r>
              <w:t xml:space="preserve">TP</w:t>
            </w:r>
          </w:p>
        </w:tc>
        <w:tc>
          <w:tcPr/>
          <w:p>
            <w:pPr>
              <w:pStyle w:val="Compact"/>
            </w:pPr>
            <w:r>
              <w:t xml:space="preserve">FN</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authorization/security</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data protection/logging</w:t>
            </w:r>
          </w:p>
        </w:tc>
        <w:tc>
          <w:tcPr/>
          <w:p>
            <w:pPr>
              <w:pStyle w:val="Compact"/>
            </w:pPr>
            <w:r>
              <w:t xml:space="preserve">15</w:t>
            </w:r>
          </w:p>
        </w:tc>
        <w:tc>
          <w:tcPr/>
          <w:p>
            <w:pPr>
              <w:pStyle w:val="Compact"/>
            </w:pPr>
            <w:r>
              <w:t xml:space="preserve">1</w:t>
            </w:r>
          </w:p>
        </w:tc>
        <w:tc>
          <w:tcPr/>
          <w:p>
            <w:pPr>
              <w:pStyle w:val="Compact"/>
            </w:pPr>
            <w:r>
              <w:t xml:space="preserve">1.000</w:t>
            </w:r>
          </w:p>
        </w:tc>
        <w:tc>
          <w:tcPr/>
          <w:p>
            <w:pPr>
              <w:pStyle w:val="Compact"/>
            </w:pPr>
            <w:r>
              <w:t xml:space="preserve">0.9375</w:t>
            </w:r>
          </w:p>
        </w:tc>
        <w:tc>
          <w:tcPr/>
          <w:p>
            <w:pPr>
              <w:pStyle w:val="Compact"/>
            </w:pPr>
            <w:r>
              <w:t xml:space="preserve">0.9677</w:t>
            </w:r>
          </w:p>
        </w:tc>
      </w:tr>
      <w:tr>
        <w:tc>
          <w:tcPr/>
          <w:p>
            <w:pPr>
              <w:pStyle w:val="Compact"/>
            </w:pPr>
            <w:r>
              <w:t xml:space="preserve">validation/input constraints</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state transitions/business invariants</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reliability/idempotency</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observability/audit</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Five of six categories achieve perfect detection. The only imperfect category, data protection/logging, loses a single true positive to the false negative analyzed below, giving recall 0.9375 for that category while precision remains perfect.</w:t>
      </w:r>
    </w:p>
    <w:bookmarkEnd w:id="24"/>
    <w:bookmarkStart w:id="25" w:name="the-single-false-negative"/>
    <w:p>
      <w:pPr>
        <w:pStyle w:val="Heading3"/>
      </w:pPr>
      <w:r>
        <w:t xml:space="preserve">5.4 The Single False Negative</w:t>
      </w:r>
    </w:p>
    <w:p>
      <w:pPr>
        <w:pStyle w:val="FirstParagraph"/>
      </w:pPr>
      <w:r>
        <w:t xml:space="preserve">The lone missed violation (variant</w:t>
      </w:r>
      <w:r>
        <w:t xml:space="preserve"> </w:t>
      </w:r>
      <w:r>
        <w:rPr>
          <w:rStyle w:val="VerbatimChar"/>
        </w:rPr>
        <w:t xml:space="preserve">R013_M02</w:t>
      </w:r>
      <w:r>
        <w:t xml:space="preserve">) removes a</w:t>
      </w:r>
      <w:r>
        <w:t xml:space="preserve"> </w:t>
      </w:r>
      <w:r>
        <w:rPr>
          <w:i/>
          <w:iCs/>
        </w:rPr>
        <w:t xml:space="preserve">redundant</w:t>
      </w:r>
      <w:r>
        <w:t xml:space="preserve"> </w:t>
      </w:r>
      <w:r>
        <w:t xml:space="preserve">secondary redaction step in an exception-logging path. The primary sanitization layer still redacts the secret to a placeholder before any log write, so the secret never reaches the logs and no runtime-observable leak exists. Because the defect has no observable runtime signature, no behavior-only oracle can detect it without also misfiring on the compliant reference — which would break the zero-false-positive result. We therefore report it as an honest, expected limit of behavior-only oracles rather than engineer a scoring hack around it. This case also illustrates a governance-relevant subtlety: defense-in-depth redundancy removal can be a real maintainability regression yet remain invisible to black-box runtime oversight, motivating complementary static review for such obligations.</w:t>
      </w:r>
    </w:p>
    <w:bookmarkEnd w:id="25"/>
    <w:bookmarkEnd w:id="26"/>
    <w:bookmarkStart w:id="27" w:name="discussion"/>
    <w:p>
      <w:pPr>
        <w:pStyle w:val="Heading2"/>
      </w:pPr>
      <w:r>
        <w:t xml:space="preserve">6. Discussion</w:t>
      </w:r>
    </w:p>
    <w:p>
      <w:pPr>
        <w:pStyle w:val="FirstParagraph"/>
      </w:pPr>
      <w:r>
        <w:rPr>
          <w:b/>
          <w:bCs/>
        </w:rPr>
        <w:t xml:space="preserve">Why over-constraint matters for governance.</w:t>
      </w:r>
      <w:r>
        <w:t xml:space="preserve"> </w:t>
      </w:r>
      <w:r>
        <w:t xml:space="preserve">Detection alone is an incomplete measure of a guardrail. An oversight mechanism that rejects legitimate implementations imposes a hidden tax on system evolution and erodes trust in the guardrail itself. By labeling 108 non-violating variants — including 48 behavior-preserving alternatives and 12 boundary cases — and requiring the oracle to pass all of them, we measure specificity directly rather than assuming it. The observed over-constraint rate of 0.0000 is therefore a first-class result, not a by-product: across compliant, refactored, and edge-value implementations, no legitimate behavior was flagged. A differential oracle across multiple implementations [9], [12] cannot isolate this quantity, because it lacks an explicit label distinguishing legitimate variation from violation. This zero over-constraint result corroborates, under a stricter fully deterministic setting, the zero-false-positive behavior we previously observed for frozen guardrails on a structurally blinded control set [14].</w:t>
      </w:r>
    </w:p>
    <w:p>
      <w:pPr>
        <w:pStyle w:val="BodyText"/>
      </w:pPr>
      <w:r>
        <w:rPr>
          <w:b/>
          <w:bCs/>
        </w:rPr>
        <w:t xml:space="preserve">Attributable ground truth.</w:t>
      </w:r>
      <w:r>
        <w:t xml:space="preserve"> </w:t>
      </w:r>
      <w:r>
        <w:t xml:space="preserve">Aligning each mutation to a named obligation, and integrity-checking every obligation reference before scoring, means a missed detection is traceable to a specific requirement clause rather than to unexplained corpus noise. This attribution is what let us diagnose the single false negative precisely instead of merely reporting an aggregate recall below one. For algorithmic governance, this provenance chain — obligation → mutation → expected verdict → raw record → reported number — is as important as the headline metric, because it is what makes an oversight claim auditable.</w:t>
      </w:r>
    </w:p>
    <w:p>
      <w:pPr>
        <w:pStyle w:val="BodyText"/>
      </w:pPr>
      <w:r>
        <w:rPr>
          <w:b/>
          <w:bCs/>
        </w:rPr>
        <w:t xml:space="preserve">The limits of behavior-only oversight.</w:t>
      </w:r>
      <w:r>
        <w:t xml:space="preserve"> </w:t>
      </w:r>
      <w:r>
        <w:t xml:space="preserve">The single false negative is not a tuning failure; it is a structural property of black-box observation. A defect that removes redundant defense-in-depth while leaving the observable output identical cannot, by construction, be caught by any oracle that only inspects runtime behavior. This delineates precisely where runtime guardrails must be complemented by static or structural review, and it is a more useful finding than an artificially perfect recall obtained by over-fitting an oracle to the corpus.</w:t>
      </w:r>
    </w:p>
    <w:bookmarkEnd w:id="27"/>
    <w:bookmarkStart w:id="28" w:name="threats-to-validity"/>
    <w:p>
      <w:pPr>
        <w:pStyle w:val="Heading2"/>
      </w:pPr>
      <w:r>
        <w:t xml:space="preserve">7. Threats to Validity</w:t>
      </w:r>
    </w:p>
    <w:p>
      <w:pPr>
        <w:pStyle w:val="FirstParagraph"/>
      </w:pPr>
      <w:r>
        <w:rPr>
          <w:b/>
          <w:bCs/>
        </w:rPr>
        <w:t xml:space="preserve">Construct.</w:t>
      </w:r>
      <w:r>
        <w:t xml:space="preserve"> </w:t>
      </w:r>
      <w:r>
        <w:t xml:space="preserve">Oracles are hand-authored deterministic checkers, not generated artifacts; results measure oracle fidelity on this corpus, not any generation method. The benchmark evaluates</w:t>
      </w:r>
      <w:r>
        <w:t xml:space="preserve"> </w:t>
      </w:r>
      <w:r>
        <w:rPr>
          <w:i/>
          <w:iCs/>
        </w:rPr>
        <w:t xml:space="preserve">whether behavior-only guardrails can be faithful on a controlled corpus</w:t>
      </w:r>
      <w:r>
        <w:t xml:space="preserve">, not how a particular guardrail author or generator would perform.</w:t>
      </w:r>
    </w:p>
    <w:p>
      <w:pPr>
        <w:pStyle w:val="BodyText"/>
      </w:pPr>
      <w:r>
        <w:rPr>
          <w:b/>
          <w:bCs/>
        </w:rPr>
        <w:t xml:space="preserve">Internal.</w:t>
      </w:r>
      <w:r>
        <w:t xml:space="preserve"> </w:t>
      </w:r>
      <w:r>
        <w:t xml:space="preserve">Oracles never read ground truth or the mutation plan, and every number recomputes from the raw log, mitigating measurement leakage. The one FN is documented rather than hidden, and obligation references were integrity-checked before scoring to prevent silent ground-truth corruption.</w:t>
      </w:r>
    </w:p>
    <w:p>
      <w:pPr>
        <w:pStyle w:val="BodyText"/>
      </w:pPr>
      <w:r>
        <w:rPr>
          <w:b/>
          <w:bCs/>
        </w:rPr>
        <w:t xml:space="preserve">External.</w:t>
      </w:r>
      <w:r>
        <w:t xml:space="preserve"> </w:t>
      </w:r>
      <w:r>
        <w:t xml:space="preserve">The corpus is a single reference service with 48 frozen requirements. Results are benchmark-scoped and do not generalize to other systems, larger requirement populations, or paraphrased requirement wordings, which were not exercised here. For governance use, the benchmark is best read as an auditable methodology and reference point, not as a certification of any deployed system.</w:t>
      </w:r>
    </w:p>
    <w:bookmarkEnd w:id="28"/>
    <w:bookmarkStart w:id="29" w:name="reproducibility"/>
    <w:p>
      <w:pPr>
        <w:pStyle w:val="Heading2"/>
      </w:pPr>
      <w:r>
        <w:t xml:space="preserve">8. Reproducibility</w:t>
      </w:r>
    </w:p>
    <w:p>
      <w:pPr>
        <w:pStyle w:val="FirstParagraph"/>
      </w:pPr>
      <w:r>
        <w:t xml:space="preserve">The entire measurement is one deterministic pipeline: ground truth → oracles → raw execution log → processed metrics → reported numbers. The full run reproduces from two commands with no network access and no language model:</w:t>
      </w:r>
    </w:p>
    <w:p>
      <w:pPr>
        <w:pStyle w:val="SourceCode"/>
      </w:pPr>
      <w:r>
        <w:rPr>
          <w:rStyle w:val="VerbatimChar"/>
        </w:rPr>
        <w:t xml:space="preserve">python3 -m experiment.harness</w:t>
      </w:r>
      <w:r>
        <w:br/>
      </w:r>
      <w:r>
        <w:rPr>
          <w:rStyle w:val="VerbatimChar"/>
        </w:rPr>
        <w:t xml:space="preserve">python3 -m experiment.metrics</w:t>
      </w:r>
    </w:p>
    <w:p>
      <w:pPr>
        <w:pStyle w:val="FirstParagraph"/>
      </w:pPr>
      <w:r>
        <w:t xml:space="preserve">An accompanying unit-test suite (15 tests) guards the reference implementation, the violating-variant generation, and corpus integrity; it passes cleanly. Because the clock and fixtures are frozen, re-running the harness reproduces the confusion matrix (95 / 0 / 108 / 1 / 0) exactly, and every headline number traces back to specific rows of the append-only raw log.</w:t>
      </w:r>
    </w:p>
    <w:bookmarkEnd w:id="29"/>
    <w:bookmarkStart w:id="30" w:name="future-work"/>
    <w:p>
      <w:pPr>
        <w:pStyle w:val="Heading2"/>
      </w:pPr>
      <w:r>
        <w:t xml:space="preserve">9. Future Work</w:t>
      </w:r>
    </w:p>
    <w:p>
      <w:pPr>
        <w:pStyle w:val="FirstParagraph"/>
      </w:pPr>
      <w:r>
        <w:t xml:space="preserve">Two extensions follow directly from the limits identified above. First, the behavior-only false negative motivates a</w:t>
      </w:r>
      <w:r>
        <w:t xml:space="preserve"> </w:t>
      </w:r>
      <w:r>
        <w:rPr>
          <w:i/>
          <w:iCs/>
        </w:rPr>
        <w:t xml:space="preserve">hybrid oracle</w:t>
      </w:r>
      <w:r>
        <w:t xml:space="preserve"> </w:t>
      </w:r>
      <w:r>
        <w:t xml:space="preserve">that couples runtime observation with lightweight static or structural checks, so that defense-in-depth regressions with no runtime signature become detectable without sacrificing the zero over-constraint result. Second, the benchmark’s frozen ground truth is a natural substrate for evaluating</w:t>
      </w:r>
      <w:r>
        <w:t xml:space="preserve"> </w:t>
      </w:r>
      <w:r>
        <w:rPr>
          <w:i/>
          <w:iCs/>
        </w:rPr>
        <w:t xml:space="preserve">generated</w:t>
      </w:r>
      <w:r>
        <w:t xml:space="preserve"> </w:t>
      </w:r>
      <w:r>
        <w:t xml:space="preserve">guardrails: holding the corpus and expected verdicts fixed, one can measure the fidelity, over-constraint, and validation yield of guardrails produced by automated pipelines rather than hand authored, and probe robustness to paraphrased requirement wordings. Because the ground truth, harness, and provenance chain are already frozen and integrity-checked, such studies can reuse this benchmark as a fixed measuring instrument rather than rebuilding one. A companion design for this larger study is maintained alongside the benchmark.</w:t>
      </w:r>
    </w:p>
    <w:bookmarkEnd w:id="30"/>
    <w:bookmarkStart w:id="31" w:name="conclusion"/>
    <w:p>
      <w:pPr>
        <w:pStyle w:val="Heading2"/>
      </w:pPr>
      <w:r>
        <w:t xml:space="preserve">10. Conclusion</w:t>
      </w:r>
    </w:p>
    <w:p>
      <w:pPr>
        <w:pStyle w:val="FirstParagraph"/>
      </w:pPr>
      <w:r>
        <w:t xml:space="preserve">On a controlled, frozen, machine-checkable corpus, deterministic runtime guardrails separate genuine requirement violations from legitimate implementation variation with perfect precision, near-complete recall (0.9896), and zero over-constraint. The single missed case is a genuinely runtime-unobservable defect, reported honestly. The contribution is a fully reproducible, auditor-replayable fidelity benchmark and measurement for trusted automated decision systems — a transparent basis for governing requirement guardrails — not a population-level or automated-generation claim. We hope the benchmark’s integrity-checked ground truth and raw-to-number provenance offer a template for auditable evaluation of runtime oversight in algorithmic governance.</w:t>
      </w:r>
    </w:p>
    <w:bookmarkEnd w:id="31"/>
    <w:bookmarkStart w:id="32" w:name="references"/>
    <w:p>
      <w:pPr>
        <w:pStyle w:val="Heading2"/>
      </w:pPr>
      <w:r>
        <w:t xml:space="preserve">References</w:t>
      </w:r>
    </w:p>
    <w:p>
      <w:pPr>
        <w:pStyle w:val="FirstParagraph"/>
      </w:pPr>
      <w:r>
        <w:t xml:space="preserve">[1] R. A. DeMillo, R. J. Lipton, and F. G. Sayward,</w:t>
      </w:r>
      <w:r>
        <w:t xml:space="preserve"> </w:t>
      </w:r>
      <w:r>
        <w:t xml:space="preserve">“Hints on test data selection: Help for the practicing programmer,”</w:t>
      </w:r>
      <w:r>
        <w:t xml:space="preserve"> </w:t>
      </w:r>
      <w:r>
        <w:rPr>
          <w:i/>
          <w:iCs/>
        </w:rPr>
        <w:t xml:space="preserve">Computer</w:t>
      </w:r>
      <w:r>
        <w:t xml:space="preserve">, vol. 11, no. 4, pp. 34–41, 1978.</w:t>
      </w:r>
    </w:p>
    <w:p>
      <w:pPr>
        <w:pStyle w:val="BodyText"/>
      </w:pPr>
      <w:r>
        <w:t xml:space="preserve">[2] Y. Jia and M. Harman,</w:t>
      </w:r>
      <w:r>
        <w:t xml:space="preserve"> </w:t>
      </w:r>
      <w:r>
        <w:t xml:space="preserve">“An analysis and survey of the development of mutation testing,”</w:t>
      </w:r>
      <w:r>
        <w:t xml:space="preserve"> </w:t>
      </w:r>
      <w:r>
        <w:rPr>
          <w:i/>
          <w:iCs/>
        </w:rPr>
        <w:t xml:space="preserve">IEEE Transactions on Software Engineering</w:t>
      </w:r>
      <w:r>
        <w:t xml:space="preserve">, vol. 37, no. 5, pp. 649–678, 2011.</w:t>
      </w:r>
    </w:p>
    <w:p>
      <w:pPr>
        <w:pStyle w:val="BodyText"/>
      </w:pPr>
      <w:r>
        <w:t xml:space="preserve">[3] A. J. Offutt,</w:t>
      </w:r>
      <w:r>
        <w:t xml:space="preserve"> </w:t>
      </w:r>
      <w:r>
        <w:t xml:space="preserve">“Investigations of the software testing coupling effect,”</w:t>
      </w:r>
      <w:r>
        <w:t xml:space="preserve"> </w:t>
      </w:r>
      <w:r>
        <w:rPr>
          <w:i/>
          <w:iCs/>
        </w:rPr>
        <w:t xml:space="preserve">ACM Transactions on Software Engineering and Methodology</w:t>
      </w:r>
      <w:r>
        <w:t xml:space="preserve">, vol. 1, no. 1, pp. 5–20, 1992.</w:t>
      </w:r>
    </w:p>
    <w:p>
      <w:pPr>
        <w:pStyle w:val="BodyText"/>
      </w:pPr>
      <w:r>
        <w:t xml:space="preserve">[4] P. Ammann and J. Offutt,</w:t>
      </w:r>
      <w:r>
        <w:t xml:space="preserve"> </w:t>
      </w:r>
      <w:r>
        <w:rPr>
          <w:i/>
          <w:iCs/>
        </w:rPr>
        <w:t xml:space="preserve">Introduction to Software Testing</w:t>
      </w:r>
      <w:r>
        <w:t xml:space="preserve">. Cambridge, U.K.: Cambridge University Press, 2008.</w:t>
      </w:r>
    </w:p>
    <w:p>
      <w:pPr>
        <w:pStyle w:val="BodyText"/>
      </w:pPr>
      <w:r>
        <w:t xml:space="preserve">[5] E. Bartocci and Y. Falcone, Eds.,</w:t>
      </w:r>
      <w:r>
        <w:t xml:space="preserve"> </w:t>
      </w:r>
      <w:r>
        <w:rPr>
          <w:i/>
          <w:iCs/>
        </w:rPr>
        <w:t xml:space="preserve">Lectures on Runtime Verification: Introductory and Advanced Topics</w:t>
      </w:r>
      <w:r>
        <w:t xml:space="preserve">, LNCS vol. 10457. Cham, Switzerland: Springer, 2018.</w:t>
      </w:r>
    </w:p>
    <w:p>
      <w:pPr>
        <w:pStyle w:val="BodyText"/>
      </w:pPr>
      <w:r>
        <w:t xml:space="preserve">[6] K. Havelund and G. Roşu,</w:t>
      </w:r>
      <w:r>
        <w:t xml:space="preserve"> </w:t>
      </w:r>
      <w:r>
        <w:t xml:space="preserve">“An overview of the runtime verification tool Java PathExplorer,”</w:t>
      </w:r>
      <w:r>
        <w:t xml:space="preserve"> </w:t>
      </w:r>
      <w:r>
        <w:rPr>
          <w:i/>
          <w:iCs/>
        </w:rPr>
        <w:t xml:space="preserve">Formal Methods in System Design</w:t>
      </w:r>
      <w:r>
        <w:t xml:space="preserve">, vol. 24, no. 2, pp. 189–215, 2004.</w:t>
      </w:r>
    </w:p>
    <w:p>
      <w:pPr>
        <w:pStyle w:val="BodyText"/>
      </w:pPr>
      <w:r>
        <w:t xml:space="preserve">[7] S. Savage, M. Burrows, G. Nelson, P. Sobalvarro, and T. Anderson,</w:t>
      </w:r>
      <w:r>
        <w:t xml:space="preserve"> </w:t>
      </w:r>
      <w:r>
        <w:t xml:space="preserve">“Eraser: A dynamic data race detector for multithreaded programs,”</w:t>
      </w:r>
      <w:r>
        <w:t xml:space="preserve"> </w:t>
      </w:r>
      <w:r>
        <w:rPr>
          <w:i/>
          <w:iCs/>
        </w:rPr>
        <w:t xml:space="preserve">ACM Transactions on Computer Systems</w:t>
      </w:r>
      <w:r>
        <w:t xml:space="preserve">, vol. 15, no. 4, pp. 391–411, 1997.</w:t>
      </w:r>
    </w:p>
    <w:p>
      <w:pPr>
        <w:pStyle w:val="BodyText"/>
      </w:pPr>
      <w:r>
        <w:t xml:space="preserve">[8] E. T. Barr, M. Harman, P. McMinn, M. Shahbaz, and S. Yoo,</w:t>
      </w:r>
      <w:r>
        <w:t xml:space="preserve"> </w:t>
      </w:r>
      <w:r>
        <w:t xml:space="preserve">“The oracle problem in software testing: A survey,”</w:t>
      </w:r>
      <w:r>
        <w:t xml:space="preserve"> </w:t>
      </w:r>
      <w:r>
        <w:rPr>
          <w:i/>
          <w:iCs/>
        </w:rPr>
        <w:t xml:space="preserve">IEEE Transactions on Software Engineering</w:t>
      </w:r>
      <w:r>
        <w:t xml:space="preserve">, vol. 41, no. 5, pp. 507–525, 2015.</w:t>
      </w:r>
    </w:p>
    <w:p>
      <w:pPr>
        <w:pStyle w:val="BodyText"/>
      </w:pPr>
      <w:r>
        <w:t xml:space="preserve">[9] W. M. McKeeman,</w:t>
      </w:r>
      <w:r>
        <w:t xml:space="preserve"> </w:t>
      </w:r>
      <w:r>
        <w:t xml:space="preserve">“Differential testing for software,”</w:t>
      </w:r>
      <w:r>
        <w:t xml:space="preserve"> </w:t>
      </w:r>
      <w:r>
        <w:rPr>
          <w:i/>
          <w:iCs/>
        </w:rPr>
        <w:t xml:space="preserve">Digital Technical Journal</w:t>
      </w:r>
      <w:r>
        <w:t xml:space="preserve">, vol. 10, no. 1, pp. 100–107, 1998.</w:t>
      </w:r>
    </w:p>
    <w:p>
      <w:pPr>
        <w:pStyle w:val="BodyText"/>
      </w:pPr>
      <w:r>
        <w:t xml:space="preserve">[10] X. Yang, Y. Chen, E. Eide, and J. Regehr,</w:t>
      </w:r>
      <w:r>
        <w:t xml:space="preserve"> </w:t>
      </w:r>
      <w:r>
        <w:t xml:space="preserve">“Finding and understanding bugs in C compilers,”</w:t>
      </w:r>
      <w:r>
        <w:t xml:space="preserve"> </w:t>
      </w:r>
      <w:r>
        <w:t xml:space="preserve">in</w:t>
      </w:r>
      <w:r>
        <w:t xml:space="preserve"> </w:t>
      </w:r>
      <w:r>
        <w:rPr>
          <w:i/>
          <w:iCs/>
        </w:rPr>
        <w:t xml:space="preserve">Proc. 32nd ACM SIGPLAN Conf. Programming Language Design and Implementation (PLDI)</w:t>
      </w:r>
      <w:r>
        <w:t xml:space="preserve">, 2011, pp. 283–294.</w:t>
      </w:r>
    </w:p>
    <w:p>
      <w:pPr>
        <w:pStyle w:val="BodyText"/>
      </w:pPr>
      <w:r>
        <w:t xml:space="preserve">[11] C. Brubaker, S. Jana, B. Ray, S. Khurshid, and V. Shmatikov,</w:t>
      </w:r>
      <w:r>
        <w:t xml:space="preserve"> </w:t>
      </w:r>
      <w:r>
        <w:t xml:space="preserve">“Using frankencerts for automated adversarial testing of certificate validation in SSL/TLS implementations,”</w:t>
      </w:r>
      <w:r>
        <w:t xml:space="preserve"> </w:t>
      </w:r>
      <w:r>
        <w:t xml:space="preserve">in</w:t>
      </w:r>
      <w:r>
        <w:t xml:space="preserve"> </w:t>
      </w:r>
      <w:r>
        <w:rPr>
          <w:i/>
          <w:iCs/>
        </w:rPr>
        <w:t xml:space="preserve">Proc. IEEE Symp. Security and Privacy (S&amp;P)</w:t>
      </w:r>
      <w:r>
        <w:t xml:space="preserve">, 2014, pp. 114–129.</w:t>
      </w:r>
    </w:p>
    <w:p>
      <w:pPr>
        <w:pStyle w:val="BodyText"/>
      </w:pPr>
      <w:r>
        <w:t xml:space="preserve">[12] V. Srivastava, M. D. Bond, K. S. McKinley, and V. Shmatikov,</w:t>
      </w:r>
      <w:r>
        <w:t xml:space="preserve"> </w:t>
      </w:r>
      <w:r>
        <w:t xml:space="preserve">“A security policy oracle: Detecting security holes using multiple API implementations,”</w:t>
      </w:r>
      <w:r>
        <w:t xml:space="preserve"> </w:t>
      </w:r>
      <w:r>
        <w:t xml:space="preserve">in</w:t>
      </w:r>
      <w:r>
        <w:t xml:space="preserve"> </w:t>
      </w:r>
      <w:r>
        <w:rPr>
          <w:i/>
          <w:iCs/>
        </w:rPr>
        <w:t xml:space="preserve">Proc. 32nd ACM SIGPLAN Conf. Programming Language Design and Implementation (PLDI)</w:t>
      </w:r>
      <w:r>
        <w:t xml:space="preserve">, 2011, pp. 343–354.</w:t>
      </w:r>
    </w:p>
    <w:p>
      <w:pPr>
        <w:pStyle w:val="BodyText"/>
      </w:pPr>
      <w:r>
        <w:t xml:space="preserve">[13] Authors,</w:t>
      </w:r>
      <w:r>
        <w:t xml:space="preserve"> </w:t>
      </w:r>
      <w:r>
        <w:t xml:space="preserve">“A specification-driven governance framework for AI-assisted software engineering,”</w:t>
      </w:r>
      <w:r>
        <w:t xml:space="preserve"> </w:t>
      </w:r>
      <w:r>
        <w:t xml:space="preserve">prior work by the authors, under review (details withheld for double-blind review).</w:t>
      </w:r>
    </w:p>
    <w:p>
      <w:pPr>
        <w:pStyle w:val="BodyText"/>
      </w:pPr>
      <w:r>
        <w:t xml:space="preserve">[14] Authors,</w:t>
      </w:r>
      <w:r>
        <w:t xml:space="preserve"> </w:t>
      </w:r>
      <w:r>
        <w:t xml:space="preserve">“From governance artifact to executable guardrail: Characterizing requirement-enforcement boundaries with frozen guardrails,”</w:t>
      </w:r>
      <w:r>
        <w:t xml:space="preserve"> </w:t>
      </w:r>
      <w:r>
        <w:t xml:space="preserve">prior work by the authors, under review (details withheld for double-blind review).</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2026-08-29T14:43:56Z</dcterms:created>
  <dcterms:modified xsi:type="dcterms:W3CDTF">2026-08-29T14:43:56Z</dcterms:modified>
</cp:coreProperties>
</file>

<file path=docProps/custom.xml><?xml version="1.0" encoding="utf-8"?>
<Properties xmlns="http://schemas.openxmlformats.org/officeDocument/2006/custom-properties" xmlns:vt="http://schemas.openxmlformats.org/officeDocument/2006/docPropsVTypes"/>
</file>