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298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555"/>
          </w:tblGrid>
          <w:tr w:rsidR="000C38A8" w:rsidTr="000C38A8">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0C38A8">
            <w:trPr>
              <w:trHeight w:val="1740"/>
            </w:trPr>
            <w:tc>
              <w:tcPr>
                <w:tcW w:w="5000" w:type="pct"/>
              </w:tcPr>
              <w:p w:rsidR="00C420A0" w:rsidRPr="000C38A8" w:rsidRDefault="003D355D">
                <w:pPr>
                  <w:pStyle w:val="NoSpacing"/>
                  <w:rPr>
                    <w:rFonts w:asciiTheme="majorHAnsi" w:hAnsiTheme="majorHAnsi" w:cstheme="majorHAnsi"/>
                    <w:sz w:val="40"/>
                    <w:szCs w:val="40"/>
                  </w:rPr>
                </w:pPr>
                <w:r w:rsidRPr="000C38A8">
                  <w:rPr>
                    <w:rFonts w:asciiTheme="majorHAnsi" w:hAnsiTheme="majorHAnsi" w:cstheme="majorHAnsi"/>
                    <w:sz w:val="40"/>
                    <w:szCs w:val="40"/>
                  </w:rPr>
                  <w:t>INTERIM REPORT</w:t>
                </w:r>
              </w:p>
              <w:p w:rsidR="005717E8" w:rsidRPr="000C38A8" w:rsidRDefault="005717E8">
                <w:pPr>
                  <w:pStyle w:val="NoSpacing"/>
                  <w:rPr>
                    <w:rFonts w:asciiTheme="majorHAnsi" w:hAnsiTheme="majorHAnsi" w:cstheme="majorHAnsi"/>
                    <w:sz w:val="40"/>
                    <w:szCs w:val="40"/>
                  </w:rPr>
                </w:pPr>
              </w:p>
              <w:p w:rsidR="005717E8" w:rsidRPr="000C38A8" w:rsidRDefault="005717E8" w:rsidP="003D355D">
                <w:pPr>
                  <w:pStyle w:val="NoSpacing"/>
                  <w:rPr>
                    <w:rFonts w:asciiTheme="majorHAnsi" w:hAnsiTheme="majorHAnsi" w:cstheme="majorHAnsi"/>
                    <w:sz w:val="40"/>
                    <w:szCs w:val="40"/>
                  </w:rPr>
                </w:pPr>
                <w:r w:rsidRPr="000C38A8">
                  <w:rPr>
                    <w:rFonts w:asciiTheme="majorHAnsi" w:hAnsiTheme="majorHAnsi" w:cstheme="majorHAnsi"/>
                    <w:sz w:val="40"/>
                    <w:szCs w:val="40"/>
                  </w:rPr>
                  <w:t>COM6</w:t>
                </w:r>
                <w:r w:rsidR="003D355D" w:rsidRPr="000C38A8">
                  <w:rPr>
                    <w:rFonts w:asciiTheme="majorHAnsi" w:hAnsiTheme="majorHAnsi" w:cstheme="majorHAnsi"/>
                    <w:sz w:val="40"/>
                    <w:szCs w:val="40"/>
                  </w:rPr>
                  <w:t>920</w:t>
                </w:r>
                <w:r w:rsidRPr="000C38A8">
                  <w:rPr>
                    <w:rFonts w:asciiTheme="majorHAnsi" w:hAnsiTheme="majorHAnsi" w:cstheme="majorHAnsi"/>
                    <w:sz w:val="40"/>
                    <w:szCs w:val="40"/>
                  </w:rPr>
                  <w:t xml:space="preserve"> </w:t>
                </w:r>
                <w:r w:rsidR="003D355D" w:rsidRPr="000C38A8">
                  <w:rPr>
                    <w:rFonts w:asciiTheme="majorHAnsi" w:hAnsiTheme="majorHAnsi" w:cstheme="majorHAnsi"/>
                    <w:sz w:val="40"/>
                    <w:szCs w:val="40"/>
                  </w:rPr>
                  <w:t>Thesis Preparation</w:t>
                </w:r>
              </w:p>
            </w:tc>
          </w:tr>
          <w:tr w:rsidR="000C38A8" w:rsidTr="000C38A8">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Pr="000C38A8"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tc>
          </w:tr>
        </w:tbl>
        <w:p w:rsidR="007B091E" w:rsidRDefault="007B091E"/>
        <w:p w:rsidR="0025529A" w:rsidRPr="00314655" w:rsidRDefault="007B091E" w:rsidP="003D355D">
          <w:pPr>
            <w:rPr>
              <w:smallCaps/>
              <w:spacing w:val="5"/>
              <w:sz w:val="32"/>
              <w:szCs w:val="32"/>
            </w:rPr>
          </w:pPr>
          <w:r>
            <w:br w:type="page"/>
          </w:r>
        </w:p>
      </w:sdtContent>
    </w:sdt>
    <w:p w:rsidR="00F73B44" w:rsidRPr="00B9748A" w:rsidRDefault="00F73B44" w:rsidP="00BD659A">
      <w:pPr>
        <w:sectPr w:rsidR="00F73B44" w:rsidRPr="00B9748A" w:rsidSect="00314655">
          <w:footerReference w:type="even" r:id="rId9"/>
          <w:footerReference w:type="first" r:id="rId10"/>
          <w:pgSz w:w="11907" w:h="16840" w:code="9"/>
          <w:pgMar w:top="1134" w:right="1134" w:bottom="1134" w:left="1701" w:header="708" w:footer="708" w:gutter="0"/>
          <w:cols w:space="708"/>
          <w:docGrid w:linePitch="360"/>
        </w:sectPr>
      </w:pPr>
    </w:p>
    <w:p w:rsidR="00D313AD" w:rsidRDefault="00D313AD" w:rsidP="00F73B44">
      <w:pPr>
        <w:pStyle w:val="Heading1nonumbering"/>
      </w:pPr>
      <w:bookmarkStart w:id="0" w:name="_Toc261719263"/>
      <w:bookmarkStart w:id="1" w:name="_Toc261719328"/>
      <w:r>
        <w:lastRenderedPageBreak/>
        <w:t>Table Of Contents</w:t>
      </w:r>
      <w:bookmarkEnd w:id="0"/>
      <w:bookmarkEnd w:id="1"/>
    </w:p>
    <w:p w:rsidR="007A38CD" w:rsidRDefault="0093063E">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1811031" w:history="1">
        <w:r w:rsidR="007A38CD" w:rsidRPr="00C43987">
          <w:rPr>
            <w:rStyle w:val="Hyperlink"/>
            <w:noProof/>
            <w:lang w:eastAsia="zh-TW"/>
          </w:rPr>
          <w:t>1</w:t>
        </w:r>
        <w:r w:rsidR="007A38CD">
          <w:rPr>
            <w:noProof/>
            <w:sz w:val="22"/>
            <w:szCs w:val="22"/>
            <w:lang w:eastAsia="en-GB" w:bidi="ar-SA"/>
          </w:rPr>
          <w:tab/>
        </w:r>
        <w:r w:rsidR="007A38CD" w:rsidRPr="00C43987">
          <w:rPr>
            <w:rStyle w:val="Hyperlink"/>
            <w:noProof/>
            <w:lang w:eastAsia="zh-TW"/>
          </w:rPr>
          <w:t>Introduction</w:t>
        </w:r>
        <w:r w:rsidR="007A38CD">
          <w:rPr>
            <w:noProof/>
            <w:webHidden/>
          </w:rPr>
          <w:tab/>
        </w:r>
        <w:r w:rsidR="007A38CD">
          <w:rPr>
            <w:noProof/>
            <w:webHidden/>
          </w:rPr>
          <w:fldChar w:fldCharType="begin"/>
        </w:r>
        <w:r w:rsidR="007A38CD">
          <w:rPr>
            <w:noProof/>
            <w:webHidden/>
          </w:rPr>
          <w:instrText xml:space="preserve"> PAGEREF _Toc261811031 \h </w:instrText>
        </w:r>
        <w:r w:rsidR="007A38CD">
          <w:rPr>
            <w:noProof/>
            <w:webHidden/>
          </w:rPr>
        </w:r>
        <w:r w:rsidR="007A38CD">
          <w:rPr>
            <w:noProof/>
            <w:webHidden/>
          </w:rPr>
          <w:fldChar w:fldCharType="separate"/>
        </w:r>
        <w:r w:rsidR="007A38CD">
          <w:rPr>
            <w:noProof/>
            <w:webHidden/>
          </w:rPr>
          <w:t>1</w:t>
        </w:r>
        <w:r w:rsidR="007A38CD">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2" w:history="1">
        <w:r w:rsidRPr="00C43987">
          <w:rPr>
            <w:rStyle w:val="Hyperlink"/>
            <w:noProof/>
            <w:lang w:eastAsia="zh-TW"/>
          </w:rPr>
          <w:t>2</w:t>
        </w:r>
        <w:r>
          <w:rPr>
            <w:noProof/>
            <w:sz w:val="22"/>
            <w:szCs w:val="22"/>
            <w:lang w:eastAsia="en-GB" w:bidi="ar-SA"/>
          </w:rPr>
          <w:tab/>
        </w:r>
        <w:r w:rsidRPr="00C43987">
          <w:rPr>
            <w:rStyle w:val="Hyperlink"/>
            <w:noProof/>
            <w:lang w:eastAsia="zh-TW"/>
          </w:rPr>
          <w:t>Background</w:t>
        </w:r>
        <w:r>
          <w:rPr>
            <w:noProof/>
            <w:webHidden/>
          </w:rPr>
          <w:tab/>
        </w:r>
        <w:r>
          <w:rPr>
            <w:noProof/>
            <w:webHidden/>
          </w:rPr>
          <w:fldChar w:fldCharType="begin"/>
        </w:r>
        <w:r>
          <w:rPr>
            <w:noProof/>
            <w:webHidden/>
          </w:rPr>
          <w:instrText xml:space="preserve"> PAGEREF _Toc261811032 \h </w:instrText>
        </w:r>
        <w:r>
          <w:rPr>
            <w:noProof/>
            <w:webHidden/>
          </w:rPr>
        </w:r>
        <w:r>
          <w:rPr>
            <w:noProof/>
            <w:webHidden/>
          </w:rPr>
          <w:fldChar w:fldCharType="separate"/>
        </w:r>
        <w:r>
          <w:rPr>
            <w:noProof/>
            <w:webHidden/>
          </w:rPr>
          <w:t>2</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3" w:history="1">
        <w:r w:rsidRPr="00C43987">
          <w:rPr>
            <w:rStyle w:val="Hyperlink"/>
            <w:noProof/>
            <w:lang w:eastAsia="zh-TW"/>
          </w:rPr>
          <w:t>2.1</w:t>
        </w:r>
        <w:r>
          <w:rPr>
            <w:noProof/>
            <w:sz w:val="22"/>
            <w:szCs w:val="22"/>
            <w:lang w:eastAsia="en-GB" w:bidi="ar-SA"/>
          </w:rPr>
          <w:tab/>
        </w:r>
        <w:r w:rsidRPr="00C43987">
          <w:rPr>
            <w:rStyle w:val="Hyperlink"/>
            <w:noProof/>
            <w:lang w:eastAsia="zh-TW"/>
          </w:rPr>
          <w:t>Temporal Expressions</w:t>
        </w:r>
        <w:r>
          <w:rPr>
            <w:noProof/>
            <w:webHidden/>
          </w:rPr>
          <w:tab/>
        </w:r>
        <w:r>
          <w:rPr>
            <w:noProof/>
            <w:webHidden/>
          </w:rPr>
          <w:fldChar w:fldCharType="begin"/>
        </w:r>
        <w:r>
          <w:rPr>
            <w:noProof/>
            <w:webHidden/>
          </w:rPr>
          <w:instrText xml:space="preserve"> PAGEREF _Toc261811033 \h </w:instrText>
        </w:r>
        <w:r>
          <w:rPr>
            <w:noProof/>
            <w:webHidden/>
          </w:rPr>
        </w:r>
        <w:r>
          <w:rPr>
            <w:noProof/>
            <w:webHidden/>
          </w:rPr>
          <w:fldChar w:fldCharType="separate"/>
        </w:r>
        <w:r>
          <w:rPr>
            <w:noProof/>
            <w:webHidden/>
          </w:rPr>
          <w:t>2</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4" w:history="1">
        <w:r w:rsidRPr="00C43987">
          <w:rPr>
            <w:rStyle w:val="Hyperlink"/>
            <w:noProof/>
            <w:lang w:eastAsia="zh-TW"/>
          </w:rPr>
          <w:t>2.2</w:t>
        </w:r>
        <w:r>
          <w:rPr>
            <w:noProof/>
            <w:sz w:val="22"/>
            <w:szCs w:val="22"/>
            <w:lang w:eastAsia="en-GB" w:bidi="ar-SA"/>
          </w:rPr>
          <w:tab/>
        </w:r>
        <w:r w:rsidRPr="00C43987">
          <w:rPr>
            <w:rStyle w:val="Hyperlink"/>
            <w:noProof/>
            <w:lang w:eastAsia="zh-TW"/>
          </w:rPr>
          <w:t>Annotation Standards</w:t>
        </w:r>
        <w:r>
          <w:rPr>
            <w:noProof/>
            <w:webHidden/>
          </w:rPr>
          <w:tab/>
        </w:r>
        <w:r>
          <w:rPr>
            <w:noProof/>
            <w:webHidden/>
          </w:rPr>
          <w:fldChar w:fldCharType="begin"/>
        </w:r>
        <w:r>
          <w:rPr>
            <w:noProof/>
            <w:webHidden/>
          </w:rPr>
          <w:instrText xml:space="preserve"> PAGEREF _Toc261811034 \h </w:instrText>
        </w:r>
        <w:r>
          <w:rPr>
            <w:noProof/>
            <w:webHidden/>
          </w:rPr>
        </w:r>
        <w:r>
          <w:rPr>
            <w:noProof/>
            <w:webHidden/>
          </w:rPr>
          <w:fldChar w:fldCharType="separate"/>
        </w:r>
        <w:r>
          <w:rPr>
            <w:noProof/>
            <w:webHidden/>
          </w:rPr>
          <w:t>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5" w:history="1">
        <w:r w:rsidRPr="00C43987">
          <w:rPr>
            <w:rStyle w:val="Hyperlink"/>
            <w:noProof/>
          </w:rPr>
          <w:t>2.3</w:t>
        </w:r>
        <w:r>
          <w:rPr>
            <w:noProof/>
            <w:sz w:val="22"/>
            <w:szCs w:val="22"/>
            <w:lang w:eastAsia="en-GB" w:bidi="ar-SA"/>
          </w:rPr>
          <w:tab/>
        </w:r>
        <w:r w:rsidRPr="00C43987">
          <w:rPr>
            <w:rStyle w:val="Hyperlink"/>
            <w:noProof/>
          </w:rPr>
          <w:t>Evaluating Tagger Performance</w:t>
        </w:r>
        <w:r>
          <w:rPr>
            <w:noProof/>
            <w:webHidden/>
          </w:rPr>
          <w:tab/>
        </w:r>
        <w:r>
          <w:rPr>
            <w:noProof/>
            <w:webHidden/>
          </w:rPr>
          <w:fldChar w:fldCharType="begin"/>
        </w:r>
        <w:r>
          <w:rPr>
            <w:noProof/>
            <w:webHidden/>
          </w:rPr>
          <w:instrText xml:space="preserve"> PAGEREF _Toc261811035 \h </w:instrText>
        </w:r>
        <w:r>
          <w:rPr>
            <w:noProof/>
            <w:webHidden/>
          </w:rPr>
        </w:r>
        <w:r>
          <w:rPr>
            <w:noProof/>
            <w:webHidden/>
          </w:rPr>
          <w:fldChar w:fldCharType="separate"/>
        </w:r>
        <w:r>
          <w:rPr>
            <w:noProof/>
            <w:webHidden/>
          </w:rPr>
          <w:t>5</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6" w:history="1">
        <w:r w:rsidRPr="00C43987">
          <w:rPr>
            <w:rStyle w:val="Hyperlink"/>
            <w:noProof/>
            <w:lang w:eastAsia="zh-TW"/>
          </w:rPr>
          <w:t>2.4</w:t>
        </w:r>
        <w:r>
          <w:rPr>
            <w:noProof/>
            <w:sz w:val="22"/>
            <w:szCs w:val="22"/>
            <w:lang w:eastAsia="en-GB" w:bidi="ar-SA"/>
          </w:rPr>
          <w:tab/>
        </w:r>
        <w:r w:rsidRPr="00C43987">
          <w:rPr>
            <w:rStyle w:val="Hyperlink"/>
            <w:noProof/>
            <w:lang w:eastAsia="zh-TW"/>
          </w:rPr>
          <w:t>Corpora</w:t>
        </w:r>
        <w:r>
          <w:rPr>
            <w:noProof/>
            <w:webHidden/>
          </w:rPr>
          <w:tab/>
        </w:r>
        <w:r>
          <w:rPr>
            <w:noProof/>
            <w:webHidden/>
          </w:rPr>
          <w:fldChar w:fldCharType="begin"/>
        </w:r>
        <w:r>
          <w:rPr>
            <w:noProof/>
            <w:webHidden/>
          </w:rPr>
          <w:instrText xml:space="preserve"> PAGEREF _Toc261811036 \h </w:instrText>
        </w:r>
        <w:r>
          <w:rPr>
            <w:noProof/>
            <w:webHidden/>
          </w:rPr>
        </w:r>
        <w:r>
          <w:rPr>
            <w:noProof/>
            <w:webHidden/>
          </w:rPr>
          <w:fldChar w:fldCharType="separate"/>
        </w:r>
        <w:r>
          <w:rPr>
            <w:noProof/>
            <w:webHidden/>
          </w:rPr>
          <w:t>6</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37" w:history="1">
        <w:r w:rsidRPr="00C43987">
          <w:rPr>
            <w:rStyle w:val="Hyperlink"/>
            <w:noProof/>
          </w:rPr>
          <w:t>2.5</w:t>
        </w:r>
        <w:r>
          <w:rPr>
            <w:noProof/>
            <w:sz w:val="22"/>
            <w:szCs w:val="22"/>
            <w:lang w:eastAsia="en-GB" w:bidi="ar-SA"/>
          </w:rPr>
          <w:tab/>
        </w:r>
        <w:r w:rsidRPr="00C43987">
          <w:rPr>
            <w:rStyle w:val="Hyperlink"/>
            <w:noProof/>
          </w:rPr>
          <w:t>Temporal Expression Taggers</w:t>
        </w:r>
        <w:r>
          <w:rPr>
            <w:noProof/>
            <w:webHidden/>
          </w:rPr>
          <w:tab/>
        </w:r>
        <w:r>
          <w:rPr>
            <w:noProof/>
            <w:webHidden/>
          </w:rPr>
          <w:fldChar w:fldCharType="begin"/>
        </w:r>
        <w:r>
          <w:rPr>
            <w:noProof/>
            <w:webHidden/>
          </w:rPr>
          <w:instrText xml:space="preserve"> PAGEREF _Toc261811037 \h </w:instrText>
        </w:r>
        <w:r>
          <w:rPr>
            <w:noProof/>
            <w:webHidden/>
          </w:rPr>
        </w:r>
        <w:r>
          <w:rPr>
            <w:noProof/>
            <w:webHidden/>
          </w:rPr>
          <w:fldChar w:fldCharType="separate"/>
        </w:r>
        <w:r>
          <w:rPr>
            <w:noProof/>
            <w:webHidden/>
          </w:rPr>
          <w:t>6</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8" w:history="1">
        <w:r w:rsidRPr="00C43987">
          <w:rPr>
            <w:rStyle w:val="Hyperlink"/>
            <w:noProof/>
          </w:rPr>
          <w:t>3</w:t>
        </w:r>
        <w:r>
          <w:rPr>
            <w:noProof/>
            <w:sz w:val="22"/>
            <w:szCs w:val="22"/>
            <w:lang w:eastAsia="en-GB" w:bidi="ar-SA"/>
          </w:rPr>
          <w:tab/>
        </w:r>
        <w:r w:rsidRPr="00C43987">
          <w:rPr>
            <w:rStyle w:val="Hyperlink"/>
            <w:noProof/>
          </w:rPr>
          <w:t>Project Aims</w:t>
        </w:r>
        <w:r>
          <w:rPr>
            <w:noProof/>
            <w:webHidden/>
          </w:rPr>
          <w:tab/>
        </w:r>
        <w:r>
          <w:rPr>
            <w:noProof/>
            <w:webHidden/>
          </w:rPr>
          <w:fldChar w:fldCharType="begin"/>
        </w:r>
        <w:r>
          <w:rPr>
            <w:noProof/>
            <w:webHidden/>
          </w:rPr>
          <w:instrText xml:space="preserve"> PAGEREF _Toc261811038 \h </w:instrText>
        </w:r>
        <w:r>
          <w:rPr>
            <w:noProof/>
            <w:webHidden/>
          </w:rPr>
        </w:r>
        <w:r>
          <w:rPr>
            <w:noProof/>
            <w:webHidden/>
          </w:rPr>
          <w:fldChar w:fldCharType="separate"/>
        </w:r>
        <w:r>
          <w:rPr>
            <w:noProof/>
            <w:webHidden/>
          </w:rPr>
          <w:t>12</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39" w:history="1">
        <w:r w:rsidRPr="00C43987">
          <w:rPr>
            <w:rStyle w:val="Hyperlink"/>
            <w:noProof/>
          </w:rPr>
          <w:t>4</w:t>
        </w:r>
        <w:r>
          <w:rPr>
            <w:noProof/>
            <w:sz w:val="22"/>
            <w:szCs w:val="22"/>
            <w:lang w:eastAsia="en-GB" w:bidi="ar-SA"/>
          </w:rPr>
          <w:tab/>
        </w:r>
        <w:r w:rsidRPr="00C43987">
          <w:rPr>
            <w:rStyle w:val="Hyperlink"/>
            <w:noProof/>
          </w:rPr>
          <w:t>Work Plan</w:t>
        </w:r>
        <w:r>
          <w:rPr>
            <w:noProof/>
            <w:webHidden/>
          </w:rPr>
          <w:tab/>
        </w:r>
        <w:r>
          <w:rPr>
            <w:noProof/>
            <w:webHidden/>
          </w:rPr>
          <w:fldChar w:fldCharType="begin"/>
        </w:r>
        <w:r>
          <w:rPr>
            <w:noProof/>
            <w:webHidden/>
          </w:rPr>
          <w:instrText xml:space="preserve"> PAGEREF _Toc261811039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0" w:history="1">
        <w:r w:rsidRPr="00C43987">
          <w:rPr>
            <w:rStyle w:val="Hyperlink"/>
            <w:noProof/>
          </w:rPr>
          <w:t>4.1</w:t>
        </w:r>
        <w:r>
          <w:rPr>
            <w:noProof/>
            <w:sz w:val="22"/>
            <w:szCs w:val="22"/>
            <w:lang w:eastAsia="en-GB" w:bidi="ar-SA"/>
          </w:rPr>
          <w:tab/>
        </w:r>
        <w:r w:rsidRPr="00C43987">
          <w:rPr>
            <w:rStyle w:val="Hyperlink"/>
            <w:noProof/>
          </w:rPr>
          <w:t>Python Tagger</w:t>
        </w:r>
        <w:r>
          <w:rPr>
            <w:noProof/>
            <w:webHidden/>
          </w:rPr>
          <w:tab/>
        </w:r>
        <w:r>
          <w:rPr>
            <w:noProof/>
            <w:webHidden/>
          </w:rPr>
          <w:fldChar w:fldCharType="begin"/>
        </w:r>
        <w:r>
          <w:rPr>
            <w:noProof/>
            <w:webHidden/>
          </w:rPr>
          <w:instrText xml:space="preserve"> PAGEREF _Toc261811040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1" w:history="1">
        <w:r w:rsidRPr="00C43987">
          <w:rPr>
            <w:rStyle w:val="Hyperlink"/>
            <w:noProof/>
          </w:rPr>
          <w:t>4.2</w:t>
        </w:r>
        <w:r>
          <w:rPr>
            <w:noProof/>
            <w:sz w:val="22"/>
            <w:szCs w:val="22"/>
            <w:lang w:eastAsia="en-GB" w:bidi="ar-SA"/>
          </w:rPr>
          <w:tab/>
        </w:r>
        <w:r w:rsidRPr="00C43987">
          <w:rPr>
            <w:rStyle w:val="Hyperlink"/>
            <w:noProof/>
          </w:rPr>
          <w:t>Machine Learning Techniques</w:t>
        </w:r>
        <w:r>
          <w:rPr>
            <w:noProof/>
            <w:webHidden/>
          </w:rPr>
          <w:tab/>
        </w:r>
        <w:r>
          <w:rPr>
            <w:noProof/>
            <w:webHidden/>
          </w:rPr>
          <w:fldChar w:fldCharType="begin"/>
        </w:r>
        <w:r>
          <w:rPr>
            <w:noProof/>
            <w:webHidden/>
          </w:rPr>
          <w:instrText xml:space="preserve"> PAGEREF _Toc261811041 \h </w:instrText>
        </w:r>
        <w:r>
          <w:rPr>
            <w:noProof/>
            <w:webHidden/>
          </w:rPr>
        </w:r>
        <w:r>
          <w:rPr>
            <w:noProof/>
            <w:webHidden/>
          </w:rPr>
          <w:fldChar w:fldCharType="separate"/>
        </w:r>
        <w:r>
          <w:rPr>
            <w:noProof/>
            <w:webHidden/>
          </w:rPr>
          <w:t>13</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2" w:history="1">
        <w:r w:rsidRPr="00C43987">
          <w:rPr>
            <w:rStyle w:val="Hyperlink"/>
            <w:noProof/>
          </w:rPr>
          <w:t>4.3</w:t>
        </w:r>
        <w:r>
          <w:rPr>
            <w:noProof/>
            <w:sz w:val="22"/>
            <w:szCs w:val="22"/>
            <w:lang w:eastAsia="en-GB" w:bidi="ar-SA"/>
          </w:rPr>
          <w:tab/>
        </w:r>
        <w:r w:rsidRPr="00C43987">
          <w:rPr>
            <w:rStyle w:val="Hyperlink"/>
            <w:noProof/>
          </w:rPr>
          <w:t>Evaluation</w:t>
        </w:r>
        <w:r>
          <w:rPr>
            <w:noProof/>
            <w:webHidden/>
          </w:rPr>
          <w:tab/>
        </w:r>
        <w:r>
          <w:rPr>
            <w:noProof/>
            <w:webHidden/>
          </w:rPr>
          <w:fldChar w:fldCharType="begin"/>
        </w:r>
        <w:r>
          <w:rPr>
            <w:noProof/>
            <w:webHidden/>
          </w:rPr>
          <w:instrText xml:space="preserve"> PAGEREF _Toc261811042 \h </w:instrText>
        </w:r>
        <w:r>
          <w:rPr>
            <w:noProof/>
            <w:webHidden/>
          </w:rPr>
        </w:r>
        <w:r>
          <w:rPr>
            <w:noProof/>
            <w:webHidden/>
          </w:rPr>
          <w:fldChar w:fldCharType="separate"/>
        </w:r>
        <w:r>
          <w:rPr>
            <w:noProof/>
            <w:webHidden/>
          </w:rPr>
          <w:t>14</w:t>
        </w:r>
        <w:r>
          <w:rPr>
            <w:noProof/>
            <w:webHidden/>
          </w:rPr>
          <w:fldChar w:fldCharType="end"/>
        </w:r>
      </w:hyperlink>
    </w:p>
    <w:p w:rsidR="007A38CD" w:rsidRDefault="007A38CD">
      <w:pPr>
        <w:pStyle w:val="TOC2"/>
        <w:tabs>
          <w:tab w:val="left" w:pos="880"/>
          <w:tab w:val="right" w:leader="dot" w:pos="9062"/>
        </w:tabs>
        <w:rPr>
          <w:noProof/>
          <w:sz w:val="22"/>
          <w:szCs w:val="22"/>
          <w:lang w:eastAsia="en-GB" w:bidi="ar-SA"/>
        </w:rPr>
      </w:pPr>
      <w:hyperlink w:anchor="_Toc261811043" w:history="1">
        <w:r w:rsidRPr="00C43987">
          <w:rPr>
            <w:rStyle w:val="Hyperlink"/>
            <w:noProof/>
          </w:rPr>
          <w:t>4.4</w:t>
        </w:r>
        <w:r>
          <w:rPr>
            <w:noProof/>
            <w:sz w:val="22"/>
            <w:szCs w:val="22"/>
            <w:lang w:eastAsia="en-GB" w:bidi="ar-SA"/>
          </w:rPr>
          <w:tab/>
        </w:r>
        <w:r w:rsidRPr="00C43987">
          <w:rPr>
            <w:rStyle w:val="Hyperlink"/>
            <w:noProof/>
          </w:rPr>
          <w:t>Timescale</w:t>
        </w:r>
        <w:r>
          <w:rPr>
            <w:noProof/>
            <w:webHidden/>
          </w:rPr>
          <w:tab/>
        </w:r>
        <w:r>
          <w:rPr>
            <w:noProof/>
            <w:webHidden/>
          </w:rPr>
          <w:fldChar w:fldCharType="begin"/>
        </w:r>
        <w:r>
          <w:rPr>
            <w:noProof/>
            <w:webHidden/>
          </w:rPr>
          <w:instrText xml:space="preserve"> PAGEREF _Toc261811043 \h </w:instrText>
        </w:r>
        <w:r>
          <w:rPr>
            <w:noProof/>
            <w:webHidden/>
          </w:rPr>
        </w:r>
        <w:r>
          <w:rPr>
            <w:noProof/>
            <w:webHidden/>
          </w:rPr>
          <w:fldChar w:fldCharType="separate"/>
        </w:r>
        <w:r>
          <w:rPr>
            <w:noProof/>
            <w:webHidden/>
          </w:rPr>
          <w:t>15</w:t>
        </w:r>
        <w:r>
          <w:rPr>
            <w:noProof/>
            <w:webHidden/>
          </w:rPr>
          <w:fldChar w:fldCharType="end"/>
        </w:r>
      </w:hyperlink>
    </w:p>
    <w:p w:rsidR="007A38CD" w:rsidRDefault="007A38CD">
      <w:pPr>
        <w:pStyle w:val="TOC1"/>
        <w:tabs>
          <w:tab w:val="left" w:pos="480"/>
          <w:tab w:val="right" w:leader="dot" w:pos="9062"/>
        </w:tabs>
        <w:rPr>
          <w:noProof/>
          <w:sz w:val="22"/>
          <w:szCs w:val="22"/>
          <w:lang w:eastAsia="en-GB" w:bidi="ar-SA"/>
        </w:rPr>
      </w:pPr>
      <w:hyperlink w:anchor="_Toc261811044" w:history="1">
        <w:r w:rsidRPr="00C43987">
          <w:rPr>
            <w:rStyle w:val="Hyperlink"/>
            <w:noProof/>
          </w:rPr>
          <w:t>5</w:t>
        </w:r>
        <w:r>
          <w:rPr>
            <w:noProof/>
            <w:sz w:val="22"/>
            <w:szCs w:val="22"/>
            <w:lang w:eastAsia="en-GB" w:bidi="ar-SA"/>
          </w:rPr>
          <w:tab/>
        </w:r>
        <w:r w:rsidRPr="00C43987">
          <w:rPr>
            <w:rStyle w:val="Hyperlink"/>
            <w:noProof/>
          </w:rPr>
          <w:t>Bibliography</w:t>
        </w:r>
        <w:r>
          <w:rPr>
            <w:noProof/>
            <w:webHidden/>
          </w:rPr>
          <w:tab/>
        </w:r>
        <w:r>
          <w:rPr>
            <w:noProof/>
            <w:webHidden/>
          </w:rPr>
          <w:fldChar w:fldCharType="begin"/>
        </w:r>
        <w:r>
          <w:rPr>
            <w:noProof/>
            <w:webHidden/>
          </w:rPr>
          <w:instrText xml:space="preserve"> PAGEREF _Toc261811044 \h </w:instrText>
        </w:r>
        <w:r>
          <w:rPr>
            <w:noProof/>
            <w:webHidden/>
          </w:rPr>
        </w:r>
        <w:r>
          <w:rPr>
            <w:noProof/>
            <w:webHidden/>
          </w:rPr>
          <w:fldChar w:fldCharType="separate"/>
        </w:r>
        <w:r>
          <w:rPr>
            <w:noProof/>
            <w:webHidden/>
          </w:rPr>
          <w:t>16</w:t>
        </w:r>
        <w:r>
          <w:rPr>
            <w:noProof/>
            <w:webHidden/>
          </w:rPr>
          <w:fldChar w:fldCharType="end"/>
        </w:r>
      </w:hyperlink>
    </w:p>
    <w:p w:rsidR="00FD048A" w:rsidRDefault="0093063E">
      <w:r>
        <w:fldChar w:fldCharType="end"/>
      </w:r>
    </w:p>
    <w:p w:rsidR="000E557A" w:rsidRDefault="000E557A">
      <w:pPr>
        <w:sectPr w:rsidR="000E557A" w:rsidSect="000E557A">
          <w:headerReference w:type="default" r:id="rId11"/>
          <w:footerReference w:type="default" r:id="rId12"/>
          <w:pgSz w:w="11907" w:h="16840" w:code="9"/>
          <w:pgMar w:top="1134" w:right="1134" w:bottom="1134" w:left="1701" w:header="708" w:footer="708" w:gutter="0"/>
          <w:pgNumType w:fmt="lowerRoman" w:start="1"/>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1811031"/>
      <w:r>
        <w:rPr>
          <w:lang w:eastAsia="zh-TW"/>
        </w:rPr>
        <w:lastRenderedPageBreak/>
        <w:t>Introduction</w:t>
      </w:r>
      <w:bookmarkEnd w:id="2"/>
      <w:bookmarkEnd w:id="3"/>
      <w:bookmarkEnd w:id="4"/>
      <w:bookmarkEnd w:id="5"/>
    </w:p>
    <w:p w:rsidR="009F5C4B" w:rsidRDefault="00F8058B" w:rsidP="005717E8">
      <w:pPr>
        <w:rPr>
          <w:lang w:eastAsia="zh-TW"/>
        </w:rPr>
      </w:pPr>
      <w:r>
        <w:rPr>
          <w:lang w:eastAsia="zh-TW"/>
        </w:rPr>
        <w:t>In this report, the outline of a system for temporal expressi</w:t>
      </w:r>
      <w:r w:rsidR="00805092">
        <w:rPr>
          <w:lang w:eastAsia="zh-TW"/>
        </w:rPr>
        <w:t>on recognition and normalisation</w:t>
      </w:r>
      <w:r>
        <w:rPr>
          <w:lang w:eastAsia="zh-TW"/>
        </w:rPr>
        <w:t>, called T</w:t>
      </w:r>
      <w:r w:rsidR="00C3352F">
        <w:rPr>
          <w:lang w:eastAsia="zh-TW"/>
        </w:rPr>
        <w:t>ERNIP (</w:t>
      </w:r>
      <w:r>
        <w:rPr>
          <w:lang w:eastAsia="zh-TW"/>
        </w:rPr>
        <w:t>Temporal Expression Recognition and Normalisation in Python</w:t>
      </w:r>
      <w:r w:rsidR="00C3352F">
        <w:rPr>
          <w:lang w:eastAsia="zh-TW"/>
        </w:rPr>
        <w:t>)</w:t>
      </w:r>
      <w:r w:rsidR="00805092">
        <w:rPr>
          <w:lang w:eastAsia="zh-TW"/>
        </w:rPr>
        <w:t>, is presented</w:t>
      </w:r>
      <w:r>
        <w:rPr>
          <w:lang w:eastAsia="zh-TW"/>
        </w:rPr>
        <w:t>.</w:t>
      </w:r>
    </w:p>
    <w:p w:rsidR="00845374"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sidR="00CB300B">
        <w:rPr>
          <w:lang w:eastAsia="zh-TW"/>
        </w:rPr>
        <w:t>, and the distinct, but related, tasks of recognition and normalisation refer to the identification and resolution of these expressions t</w:t>
      </w:r>
      <w:r w:rsidR="00845374">
        <w:rPr>
          <w:lang w:eastAsia="zh-TW"/>
        </w:rPr>
        <w:t>o some standard format in time.</w:t>
      </w:r>
    </w:p>
    <w:p w:rsidR="00845374" w:rsidRDefault="00845374" w:rsidP="005717E8">
      <w:pPr>
        <w:rPr>
          <w:lang w:eastAsia="zh-TW"/>
        </w:rPr>
      </w:pPr>
      <w:r>
        <w:rPr>
          <w:lang w:eastAsia="zh-TW"/>
        </w:rPr>
        <w:t>Interest in temporal expressions arises from their obvious utility, both within the wider fields of linguistics and philosophy</w:t>
      </w:r>
      <w:r w:rsidR="00C3352F">
        <w:rPr>
          <w:lang w:eastAsia="zh-TW"/>
        </w:rPr>
        <w:t>,</w:t>
      </w:r>
      <w:r>
        <w:rPr>
          <w:lang w:eastAsia="zh-TW"/>
        </w:rPr>
        <w:t xml:space="preserve"> and as a task within the natural language processing field.</w:t>
      </w:r>
      <w:r w:rsidR="00ED7D60">
        <w:rPr>
          <w:lang w:eastAsia="zh-TW"/>
        </w:rPr>
        <w:t xml:space="preserve"> Recognition and normalisation of temporal expressions in natural language text is clearly an important task for humans to be able to function in modern society (for example, correctly recognising and normalising the temporal expression in the sentence “Shall we meet next Wednesday at 6pm?”).</w:t>
      </w:r>
    </w:p>
    <w:p w:rsidR="000D4874" w:rsidRDefault="000D4874" w:rsidP="005717E8">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9E6E79" w:rsidRDefault="009E6E79" w:rsidP="005717E8">
      <w:pPr>
        <w:rPr>
          <w:lang w:eastAsia="zh-TW"/>
        </w:rPr>
      </w:pPr>
      <w:r>
        <w:rPr>
          <w:lang w:eastAsia="zh-TW"/>
        </w:rPr>
        <w:t>In the field of natural language understanding, being able to handle temporal expressions in a similar way is clearly desirable. For example, in automatic summarisation of news texts, the ability to construct a chronology of events aids in this task.</w:t>
      </w:r>
    </w:p>
    <w:p w:rsidR="005C019B" w:rsidRDefault="00CB300B" w:rsidP="005717E8">
      <w:pPr>
        <w:rPr>
          <w:lang w:eastAsia="zh-TW"/>
        </w:rPr>
      </w:pPr>
      <w:r>
        <w:rPr>
          <w:lang w:eastAsia="zh-TW"/>
        </w:rPr>
        <w:t>A more detailed overview of temporal expressions</w:t>
      </w:r>
      <w:r w:rsidR="00C3352F">
        <w:rPr>
          <w:lang w:eastAsia="zh-TW"/>
        </w:rPr>
        <w:t>,</w:t>
      </w:r>
      <w:r>
        <w:rPr>
          <w:lang w:eastAsia="zh-TW"/>
        </w:rPr>
        <w:t xml:space="preserve"> and the development of the fields of recognition and normalisation</w:t>
      </w:r>
      <w:r w:rsidR="00C3352F">
        <w:rPr>
          <w:lang w:eastAsia="zh-TW"/>
        </w:rPr>
        <w:t>,</w:t>
      </w:r>
      <w:r>
        <w:rPr>
          <w:lang w:eastAsia="zh-TW"/>
        </w:rPr>
        <w:t xml:space="preserve"> is given in section </w:t>
      </w:r>
      <w:r w:rsidR="0093063E">
        <w:rPr>
          <w:lang w:eastAsia="zh-TW"/>
        </w:rPr>
        <w:fldChar w:fldCharType="begin"/>
      </w:r>
      <w:r>
        <w:rPr>
          <w:lang w:eastAsia="zh-TW"/>
        </w:rPr>
        <w:instrText xml:space="preserve"> REF _Ref260234775 \r \h </w:instrText>
      </w:r>
      <w:r w:rsidR="0093063E">
        <w:rPr>
          <w:lang w:eastAsia="zh-TW"/>
        </w:rPr>
      </w:r>
      <w:r w:rsidR="0093063E">
        <w:rPr>
          <w:lang w:eastAsia="zh-TW"/>
        </w:rPr>
        <w:fldChar w:fldCharType="separate"/>
      </w:r>
      <w:r w:rsidR="007A38CD">
        <w:rPr>
          <w:lang w:eastAsia="zh-TW"/>
        </w:rPr>
        <w:t>2.1</w:t>
      </w:r>
      <w:r w:rsidR="0093063E">
        <w:rPr>
          <w:lang w:eastAsia="zh-TW"/>
        </w:rPr>
        <w:fldChar w:fldCharType="end"/>
      </w:r>
      <w:r>
        <w:rPr>
          <w:lang w:eastAsia="zh-TW"/>
        </w:rPr>
        <w:t>.</w:t>
      </w:r>
    </w:p>
    <w:p w:rsidR="00CB300B" w:rsidRDefault="00CB300B" w:rsidP="005717E8">
      <w:pPr>
        <w:rPr>
          <w:lang w:eastAsia="zh-TW"/>
        </w:rPr>
      </w:pPr>
      <w:r>
        <w:rPr>
          <w:lang w:eastAsia="zh-TW"/>
        </w:rPr>
        <w:t xml:space="preserve">A number of systems </w:t>
      </w:r>
      <w:r w:rsidR="00C3352F">
        <w:rPr>
          <w:lang w:eastAsia="zh-TW"/>
        </w:rPr>
        <w:t xml:space="preserve">have been developed </w:t>
      </w:r>
      <w:r>
        <w:rPr>
          <w:lang w:eastAsia="zh-TW"/>
        </w:rPr>
        <w:t xml:space="preserve">and </w:t>
      </w:r>
      <w:r w:rsidR="00C3352F">
        <w:rPr>
          <w:lang w:eastAsia="zh-TW"/>
        </w:rPr>
        <w:t xml:space="preserve">different </w:t>
      </w:r>
      <w:r>
        <w:rPr>
          <w:lang w:eastAsia="zh-TW"/>
        </w:rPr>
        <w:t xml:space="preserve">approaches have been taken to the tasks of recognition and normalisation, a survey of which appears in section </w:t>
      </w:r>
      <w:r w:rsidR="0093063E">
        <w:rPr>
          <w:lang w:eastAsia="zh-TW"/>
        </w:rPr>
        <w:fldChar w:fldCharType="begin"/>
      </w:r>
      <w:r>
        <w:rPr>
          <w:lang w:eastAsia="zh-TW"/>
        </w:rPr>
        <w:instrText xml:space="preserve"> REF _Ref260234853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Pr>
          <w:lang w:eastAsia="zh-TW"/>
        </w:rPr>
        <w:t>. Additionally, a number of standards for annotation have been defined</w:t>
      </w:r>
      <w:r w:rsidR="00C3352F">
        <w:rPr>
          <w:lang w:eastAsia="zh-TW"/>
        </w:rPr>
        <w:t>,</w:t>
      </w:r>
      <w:r>
        <w:rPr>
          <w:lang w:eastAsia="zh-TW"/>
        </w:rPr>
        <w:t xml:space="preserve"> which </w:t>
      </w:r>
      <w:r w:rsidR="00C3352F">
        <w:rPr>
          <w:lang w:eastAsia="zh-TW"/>
        </w:rPr>
        <w:t>are</w:t>
      </w:r>
      <w:r>
        <w:rPr>
          <w:lang w:eastAsia="zh-TW"/>
        </w:rPr>
        <w:t xml:space="preserve"> covered in section </w:t>
      </w:r>
      <w:r w:rsidR="0093063E">
        <w:rPr>
          <w:lang w:eastAsia="zh-TW"/>
        </w:rPr>
        <w:fldChar w:fldCharType="begin"/>
      </w:r>
      <w:r>
        <w:rPr>
          <w:lang w:eastAsia="zh-TW"/>
        </w:rPr>
        <w:instrText xml:space="preserve"> REF _Ref260234932 \r \h </w:instrText>
      </w:r>
      <w:r w:rsidR="0093063E">
        <w:rPr>
          <w:lang w:eastAsia="zh-TW"/>
        </w:rPr>
      </w:r>
      <w:r w:rsidR="0093063E">
        <w:rPr>
          <w:lang w:eastAsia="zh-TW"/>
        </w:rPr>
        <w:fldChar w:fldCharType="separate"/>
      </w:r>
      <w:r w:rsidR="007A38CD">
        <w:rPr>
          <w:lang w:eastAsia="zh-TW"/>
        </w:rPr>
        <w:t>2.2</w:t>
      </w:r>
      <w:r w:rsidR="0093063E">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93063E">
            <w:rPr>
              <w:lang w:eastAsia="zh-TW"/>
            </w:rPr>
            <w:fldChar w:fldCharType="begin"/>
          </w:r>
          <w:r w:rsidR="000B14EE">
            <w:rPr>
              <w:lang w:eastAsia="zh-TW"/>
            </w:rPr>
            <w:instrText xml:space="preserve"> CITATION MIT04 \l 2057 </w:instrText>
          </w:r>
          <w:r w:rsidR="0093063E">
            <w:rPr>
              <w:lang w:eastAsia="zh-TW"/>
            </w:rPr>
            <w:fldChar w:fldCharType="separate"/>
          </w:r>
          <w:r w:rsidR="007A38CD">
            <w:rPr>
              <w:noProof/>
              <w:lang w:eastAsia="zh-TW"/>
            </w:rPr>
            <w:t>(MITRE, 2004)</w:t>
          </w:r>
          <w:r w:rsidR="0093063E">
            <w:rPr>
              <w:lang w:eastAsia="zh-TW"/>
            </w:rPr>
            <w:fldChar w:fldCharType="end"/>
          </w:r>
        </w:sdtContent>
      </w:sdt>
      <w:r w:rsidR="001F01B1">
        <w:rPr>
          <w:lang w:eastAsia="zh-TW"/>
        </w:rPr>
        <w:t xml:space="preserve"> provides a corpus and some comparative results, which is outlined in section </w:t>
      </w:r>
      <w:r w:rsidR="0093063E">
        <w:rPr>
          <w:lang w:eastAsia="zh-TW"/>
        </w:rPr>
        <w:fldChar w:fldCharType="begin"/>
      </w:r>
      <w:r w:rsidR="001F01B1">
        <w:rPr>
          <w:lang w:eastAsia="zh-TW"/>
        </w:rPr>
        <w:instrText xml:space="preserve"> REF _Ref260235702 \r \h </w:instrText>
      </w:r>
      <w:r w:rsidR="0093063E">
        <w:rPr>
          <w:lang w:eastAsia="zh-TW"/>
        </w:rPr>
      </w:r>
      <w:r w:rsidR="0093063E">
        <w:rPr>
          <w:lang w:eastAsia="zh-TW"/>
        </w:rPr>
        <w:fldChar w:fldCharType="separate"/>
      </w:r>
      <w:r w:rsidR="007A38CD">
        <w:rPr>
          <w:lang w:eastAsia="zh-TW"/>
        </w:rPr>
        <w:t>2.3</w:t>
      </w:r>
      <w:r w:rsidR="0093063E">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93063E">
            <w:rPr>
              <w:lang w:eastAsia="zh-TW"/>
            </w:rPr>
            <w:fldChar w:fldCharType="begin"/>
          </w:r>
          <w:r>
            <w:rPr>
              <w:lang w:eastAsia="zh-TW"/>
            </w:rPr>
            <w:instrText xml:space="preserve"> CITATION Ver05 \l 2057 </w:instrText>
          </w:r>
          <w:r w:rsidR="0093063E">
            <w:rPr>
              <w:lang w:eastAsia="zh-TW"/>
            </w:rPr>
            <w:fldChar w:fldCharType="separate"/>
          </w:r>
          <w:r w:rsidR="007A38CD">
            <w:rPr>
              <w:noProof/>
              <w:lang w:eastAsia="zh-TW"/>
            </w:rPr>
            <w:t>(Verhagen, et al., 2005)</w:t>
          </w:r>
          <w:r w:rsidR="0093063E">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93063E">
            <w:rPr>
              <w:lang w:eastAsia="zh-TW"/>
            </w:rPr>
            <w:fldChar w:fldCharType="begin"/>
          </w:r>
          <w:r w:rsidR="00E36161">
            <w:rPr>
              <w:lang w:eastAsia="zh-TW"/>
            </w:rPr>
            <w:instrText xml:space="preserve"> CITATION van95 \l 2057  </w:instrText>
          </w:r>
          <w:r w:rsidR="0093063E">
            <w:rPr>
              <w:lang w:eastAsia="zh-TW"/>
            </w:rPr>
            <w:fldChar w:fldCharType="separate"/>
          </w:r>
          <w:r w:rsidR="007A38CD">
            <w:rPr>
              <w:noProof/>
              <w:lang w:eastAsia="zh-TW"/>
            </w:rPr>
            <w:t>(van Rossum, 1995)</w:t>
          </w:r>
          <w:r w:rsidR="0093063E">
            <w:rPr>
              <w:lang w:eastAsia="zh-TW"/>
            </w:rPr>
            <w:fldChar w:fldCharType="end"/>
          </w:r>
        </w:sdtContent>
      </w:sdt>
      <w:r w:rsidR="00211782">
        <w:rPr>
          <w:lang w:eastAsia="zh-TW"/>
        </w:rPr>
        <w:t xml:space="preserve">. The more detailed aims of the project are outlined in section </w:t>
      </w:r>
      <w:r w:rsidR="0093063E">
        <w:rPr>
          <w:lang w:eastAsia="zh-TW"/>
        </w:rPr>
        <w:fldChar w:fldCharType="begin"/>
      </w:r>
      <w:r w:rsidR="00211782">
        <w:rPr>
          <w:lang w:eastAsia="zh-TW"/>
        </w:rPr>
        <w:instrText xml:space="preserve"> REF _Ref260236416 \r \h </w:instrText>
      </w:r>
      <w:r w:rsidR="0093063E">
        <w:rPr>
          <w:lang w:eastAsia="zh-TW"/>
        </w:rPr>
      </w:r>
      <w:r w:rsidR="0093063E">
        <w:rPr>
          <w:lang w:eastAsia="zh-TW"/>
        </w:rPr>
        <w:fldChar w:fldCharType="separate"/>
      </w:r>
      <w:r w:rsidR="007A38CD">
        <w:rPr>
          <w:lang w:eastAsia="zh-TW"/>
        </w:rPr>
        <w:t>3</w:t>
      </w:r>
      <w:r w:rsidR="0093063E">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93063E">
        <w:rPr>
          <w:lang w:eastAsia="zh-TW"/>
        </w:rPr>
        <w:fldChar w:fldCharType="begin"/>
      </w:r>
      <w:r>
        <w:rPr>
          <w:lang w:eastAsia="zh-TW"/>
        </w:rPr>
        <w:instrText xml:space="preserve"> REF _Ref260236437 \r \h </w:instrText>
      </w:r>
      <w:r w:rsidR="0093063E">
        <w:rPr>
          <w:lang w:eastAsia="zh-TW"/>
        </w:rPr>
      </w:r>
      <w:r w:rsidR="0093063E">
        <w:rPr>
          <w:lang w:eastAsia="zh-TW"/>
        </w:rPr>
        <w:fldChar w:fldCharType="separate"/>
      </w:r>
      <w:r w:rsidR="007A38CD">
        <w:rPr>
          <w:lang w:eastAsia="zh-TW"/>
        </w:rPr>
        <w:t>4</w:t>
      </w:r>
      <w:r w:rsidR="0093063E">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314655">
          <w:headerReference w:type="default" r:id="rId13"/>
          <w:footerReference w:type="default" r:id="rId14"/>
          <w:footerReference w:type="first" r:id="rId15"/>
          <w:pgSz w:w="11907" w:h="16840" w:code="9"/>
          <w:pgMar w:top="1134" w:right="1134" w:bottom="1134" w:left="1701"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1811032"/>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1811033"/>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93063E">
            <w:rPr>
              <w:lang w:eastAsia="zh-TW"/>
            </w:rPr>
            <w:fldChar w:fldCharType="begin"/>
          </w:r>
          <w:r w:rsidR="00187555">
            <w:rPr>
              <w:lang w:eastAsia="zh-TW"/>
            </w:rPr>
            <w:instrText xml:space="preserve"> CITATION Ahn \t  \l 2057  </w:instrText>
          </w:r>
          <w:r w:rsidR="0093063E">
            <w:rPr>
              <w:lang w:eastAsia="zh-TW"/>
            </w:rPr>
            <w:fldChar w:fldCharType="separate"/>
          </w:r>
          <w:r w:rsidR="007A38CD">
            <w:rPr>
              <w:noProof/>
              <w:lang w:eastAsia="zh-TW"/>
            </w:rPr>
            <w:t>(Ahn, Adafre, &amp; de Rijke, 2005)</w:t>
          </w:r>
          <w:r w:rsidR="0093063E">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93063E">
            <w:rPr>
              <w:lang w:eastAsia="zh-TW"/>
            </w:rPr>
            <w:fldChar w:fldCharType="begin"/>
          </w:r>
          <w:r w:rsidR="00F27C03">
            <w:rPr>
              <w:lang w:eastAsia="zh-TW"/>
            </w:rPr>
            <w:instrText xml:space="preserve"> CITATION GRK \l 2057 </w:instrText>
          </w:r>
          <w:r w:rsidR="0093063E">
            <w:rPr>
              <w:lang w:eastAsia="zh-TW"/>
            </w:rPr>
            <w:fldChar w:fldCharType="separate"/>
          </w:r>
          <w:r w:rsidR="007A38CD">
            <w:rPr>
              <w:noProof/>
              <w:lang w:eastAsia="zh-TW"/>
            </w:rPr>
            <w:t>(Krupka &amp; Hausman, 1998)</w:t>
          </w:r>
          <w:r w:rsidR="0093063E">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93063E">
            <w:rPr>
              <w:lang w:eastAsia="zh-TW"/>
            </w:rPr>
            <w:fldChar w:fldCharType="begin"/>
          </w:r>
          <w:r w:rsidR="000B14EE">
            <w:rPr>
              <w:lang w:eastAsia="zh-TW"/>
            </w:rPr>
            <w:instrText xml:space="preserve"> CITATION MIT04 \l 2057 </w:instrText>
          </w:r>
          <w:r w:rsidR="0093063E">
            <w:rPr>
              <w:lang w:eastAsia="zh-TW"/>
            </w:rPr>
            <w:fldChar w:fldCharType="separate"/>
          </w:r>
          <w:r w:rsidR="007A38CD">
            <w:rPr>
              <w:noProof/>
              <w:lang w:eastAsia="zh-TW"/>
            </w:rPr>
            <w:t>(MITRE, 2004)</w:t>
          </w:r>
          <w:r w:rsidR="0093063E">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93063E">
        <w:rPr>
          <w:lang w:eastAsia="zh-TW"/>
        </w:rPr>
        <w:fldChar w:fldCharType="begin"/>
      </w:r>
      <w:r>
        <w:rPr>
          <w:lang w:eastAsia="zh-TW"/>
        </w:rPr>
        <w:instrText xml:space="preserve"> REF _Ref260233332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93063E">
            <w:rPr>
              <w:lang w:eastAsia="zh-TW"/>
            </w:rPr>
            <w:fldChar w:fldCharType="begin"/>
          </w:r>
          <w:r w:rsidR="000B14EE">
            <w:rPr>
              <w:lang w:eastAsia="zh-TW"/>
            </w:rPr>
            <w:instrText xml:space="preserve"> CITATION Ver04 \t  \l 2057  </w:instrText>
          </w:r>
          <w:r w:rsidR="0093063E">
            <w:rPr>
              <w:lang w:eastAsia="zh-TW"/>
            </w:rPr>
            <w:fldChar w:fldCharType="separate"/>
          </w:r>
          <w:r w:rsidR="007A38CD">
            <w:rPr>
              <w:noProof/>
              <w:lang w:eastAsia="zh-TW"/>
            </w:rPr>
            <w:t>(Verhagen, 2004)</w:t>
          </w:r>
          <w:r w:rsidR="0093063E">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1811034"/>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93063E">
            <w:rPr>
              <w:lang w:eastAsia="zh-TW"/>
            </w:rPr>
            <w:fldChar w:fldCharType="begin"/>
          </w:r>
          <w:r w:rsidR="00B41211">
            <w:rPr>
              <w:lang w:eastAsia="zh-TW"/>
            </w:rPr>
            <w:instrText xml:space="preserve"> CITATION Pus03 \l 2057 </w:instrText>
          </w:r>
          <w:r w:rsidR="0093063E">
            <w:rPr>
              <w:lang w:eastAsia="zh-TW"/>
            </w:rPr>
            <w:fldChar w:fldCharType="separate"/>
          </w:r>
          <w:r w:rsidR="007A38CD">
            <w:rPr>
              <w:noProof/>
              <w:lang w:eastAsia="zh-TW"/>
            </w:rPr>
            <w:t>(Pustejovsky, et al., 2003)</w:t>
          </w:r>
          <w:r w:rsidR="0093063E">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93063E">
            <w:rPr>
              <w:lang w:eastAsia="zh-TW"/>
            </w:rPr>
            <w:fldChar w:fldCharType="begin"/>
          </w:r>
          <w:r w:rsidR="00D161EA">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93063E">
            <w:rPr>
              <w:lang w:eastAsia="zh-TW"/>
            </w:rPr>
            <w:fldChar w:fldCharType="begin"/>
          </w:r>
          <w:r w:rsidR="00CC0F88">
            <w:rPr>
              <w:lang w:eastAsia="zh-TW"/>
            </w:rPr>
            <w:instrText xml:space="preserve"> CITATION Set01 \t  \l 2057  </w:instrText>
          </w:r>
          <w:r w:rsidR="0093063E">
            <w:rPr>
              <w:lang w:eastAsia="zh-TW"/>
            </w:rPr>
            <w:fldChar w:fldCharType="separate"/>
          </w:r>
          <w:r w:rsidR="007A38CD">
            <w:rPr>
              <w:noProof/>
              <w:lang w:eastAsia="zh-TW"/>
            </w:rPr>
            <w:t>(Setzer, 2001)</w:t>
          </w:r>
          <w:r w:rsidR="0093063E">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93063E">
            <w:rPr>
              <w:lang w:eastAsia="zh-TW"/>
            </w:rPr>
            <w:fldChar w:fldCharType="begin"/>
          </w:r>
          <w:r>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93063E">
        <w:rPr>
          <w:lang w:eastAsia="zh-TW"/>
        </w:rPr>
        <w:fldChar w:fldCharType="begin"/>
      </w:r>
      <w:r w:rsidR="00A214AF">
        <w:rPr>
          <w:lang w:eastAsia="zh-TW"/>
        </w:rPr>
        <w:instrText xml:space="preserve"> REF _Ref261691486 \h </w:instrText>
      </w:r>
      <w:r w:rsidR="0093063E">
        <w:rPr>
          <w:lang w:eastAsia="zh-TW"/>
        </w:rPr>
      </w:r>
      <w:r w:rsidR="0093063E">
        <w:rPr>
          <w:lang w:eastAsia="zh-TW"/>
        </w:rPr>
        <w:fldChar w:fldCharType="separate"/>
      </w:r>
      <w:r w:rsidR="007A38CD">
        <w:t xml:space="preserve">Sample </w:t>
      </w:r>
      <w:r w:rsidR="007A38CD">
        <w:rPr>
          <w:noProof/>
        </w:rPr>
        <w:t>1</w:t>
      </w:r>
      <w:r w:rsidR="0093063E">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fldSimple w:instr=" SEQ Sample \* ARABIC ">
        <w:r w:rsidR="007A38CD">
          <w:rPr>
            <w:noProof/>
          </w:rPr>
          <w:t>1</w:t>
        </w:r>
      </w:fldSimple>
      <w:bookmarkEnd w:id="21"/>
      <w:r>
        <w:t xml:space="preserve"> - A sample TIMEX3 tag from the AQUAINT corpus </w:t>
      </w:r>
      <w:sdt>
        <w:sdtPr>
          <w:id w:val="99561089"/>
          <w:citation/>
        </w:sdtPr>
        <w:sdtContent>
          <w:fldSimple w:instr=" CITATION Ver08 \t  \l 2057  ">
            <w:r w:rsidR="007A38CD">
              <w:rPr>
                <w:noProof/>
              </w:rPr>
              <w:t>(Verhagen &amp; Moszkowicz, 2008)</w:t>
            </w:r>
          </w:fldSimple>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93063E">
            <w:rPr>
              <w:lang w:eastAsia="zh-TW"/>
            </w:rPr>
            <w:fldChar w:fldCharType="begin"/>
          </w:r>
          <w:r w:rsidR="00CE735B">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lastRenderedPageBreak/>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93063E">
            <w:rPr>
              <w:lang w:eastAsia="zh-TW"/>
            </w:rPr>
            <w:fldChar w:fldCharType="begin"/>
          </w:r>
          <w:r w:rsidR="001E52A9">
            <w:rPr>
              <w:lang w:eastAsia="zh-TW"/>
            </w:rPr>
            <w:instrText xml:space="preserve"> CITATION IDE08 \l 2057 </w:instrText>
          </w:r>
          <w:r w:rsidR="0093063E">
            <w:rPr>
              <w:lang w:eastAsia="zh-TW"/>
            </w:rPr>
            <w:fldChar w:fldCharType="separate"/>
          </w:r>
          <w:r w:rsidR="007A38CD">
            <w:rPr>
              <w:noProof/>
              <w:lang w:eastAsia="zh-TW"/>
            </w:rPr>
            <w:t>(IDEAlliance, 2008)</w:t>
          </w:r>
          <w:r w:rsidR="0093063E">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93063E">
            <w:rPr>
              <w:lang w:eastAsia="zh-TW"/>
            </w:rPr>
            <w:fldChar w:fldCharType="begin"/>
          </w:r>
          <w:r>
            <w:rPr>
              <w:lang w:eastAsia="zh-TW"/>
            </w:rPr>
            <w:instrText xml:space="preserve"> CITATION Sau \l 2057 </w:instrText>
          </w:r>
          <w:r w:rsidR="0093063E">
            <w:rPr>
              <w:lang w:eastAsia="zh-TW"/>
            </w:rPr>
            <w:fldChar w:fldCharType="separate"/>
          </w:r>
          <w:r w:rsidR="007A38CD">
            <w:rPr>
              <w:noProof/>
              <w:lang w:eastAsia="zh-TW"/>
            </w:rPr>
            <w:t>(Saurí, Littman, Knippen, Gaizauskas, Setzer, &amp; Pustejovsky, 2006)</w:t>
          </w:r>
          <w:r w:rsidR="0093063E">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93063E">
            <w:rPr>
              <w:lang w:eastAsia="zh-TW"/>
            </w:rPr>
            <w:fldChar w:fldCharType="begin"/>
          </w:r>
          <w:r w:rsidR="007C0F54">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lastRenderedPageBreak/>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1811035"/>
      <w:r>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93063E">
            <w:rPr>
              <w:lang w:eastAsia="zh-TW"/>
            </w:rPr>
            <w:fldChar w:fldCharType="begin"/>
          </w:r>
          <w:r>
            <w:rPr>
              <w:lang w:eastAsia="zh-TW"/>
            </w:rPr>
            <w:instrText xml:space="preserve"> CITATION MIT04 \l 2057 </w:instrText>
          </w:r>
          <w:r w:rsidR="0093063E">
            <w:rPr>
              <w:lang w:eastAsia="zh-TW"/>
            </w:rPr>
            <w:fldChar w:fldCharType="separate"/>
          </w:r>
          <w:r w:rsidR="007A38CD">
            <w:rPr>
              <w:noProof/>
              <w:lang w:eastAsia="zh-TW"/>
            </w:rPr>
            <w:t>(MITRE, 2004)</w:t>
          </w:r>
          <w:r w:rsidR="0093063E">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93063E">
            <w:rPr>
              <w:lang w:eastAsia="zh-TW"/>
            </w:rPr>
            <w:fldChar w:fldCharType="begin"/>
          </w:r>
          <w:r>
            <w:rPr>
              <w:lang w:eastAsia="zh-TW"/>
            </w:rPr>
            <w:instrText xml:space="preserve"> CITATION Lis01 \l 2057 </w:instrText>
          </w:r>
          <w:r w:rsidR="0093063E">
            <w:rPr>
              <w:lang w:eastAsia="zh-TW"/>
            </w:rPr>
            <w:fldChar w:fldCharType="separate"/>
          </w:r>
          <w:r w:rsidR="007A38CD">
            <w:rPr>
              <w:noProof/>
              <w:lang w:eastAsia="zh-TW"/>
            </w:rPr>
            <w:t>(Ferro, Mani, Sundheim, &amp; Wilson, 2001)</w:t>
          </w:r>
          <w:r w:rsidR="0093063E">
            <w:rPr>
              <w:lang w:eastAsia="zh-TW"/>
            </w:rPr>
            <w:fldChar w:fldCharType="end"/>
          </w:r>
        </w:sdtContent>
      </w:sdt>
      <w:r>
        <w:rPr>
          <w:lang w:eastAsia="zh-TW"/>
        </w:rPr>
        <w:t xml:space="preserve"> and TimeML </w:t>
      </w:r>
      <w:sdt>
        <w:sdtPr>
          <w:rPr>
            <w:lang w:eastAsia="zh-TW"/>
          </w:rPr>
          <w:id w:val="483411446"/>
          <w:citation/>
        </w:sdtPr>
        <w:sdtContent>
          <w:r w:rsidR="0093063E">
            <w:rPr>
              <w:lang w:eastAsia="zh-TW"/>
            </w:rPr>
            <w:fldChar w:fldCharType="begin"/>
          </w:r>
          <w:r>
            <w:rPr>
              <w:lang w:eastAsia="zh-TW"/>
            </w:rPr>
            <w:instrText xml:space="preserve"> CITATION Pus03 \l 2057 </w:instrText>
          </w:r>
          <w:r w:rsidR="0093063E">
            <w:rPr>
              <w:lang w:eastAsia="zh-TW"/>
            </w:rPr>
            <w:fldChar w:fldCharType="separate"/>
          </w:r>
          <w:r w:rsidR="007A38CD">
            <w:rPr>
              <w:noProof/>
              <w:lang w:eastAsia="zh-TW"/>
            </w:rPr>
            <w:t>(Pustejovsky, et al., 2003)</w:t>
          </w:r>
          <w:r w:rsidR="0093063E">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93063E">
            <w:rPr>
              <w:lang w:eastAsia="zh-TW"/>
            </w:rPr>
            <w:fldChar w:fldCharType="begin"/>
          </w:r>
          <w:r w:rsidR="00DC02FA">
            <w:rPr>
              <w:lang w:eastAsia="zh-TW"/>
            </w:rPr>
            <w:instrText xml:space="preserve"> CITATION Set012 \t  \l 2057  </w:instrText>
          </w:r>
          <w:r w:rsidR="0093063E">
            <w:rPr>
              <w:lang w:eastAsia="zh-TW"/>
            </w:rPr>
            <w:fldChar w:fldCharType="separate"/>
          </w:r>
          <w:r w:rsidR="007A38CD">
            <w:rPr>
              <w:noProof/>
              <w:lang w:eastAsia="zh-TW"/>
            </w:rPr>
            <w:t>(Setzer &amp; Gaizauskas, 2001)</w:t>
          </w:r>
          <w:r w:rsidR="0093063E">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lastRenderedPageBreak/>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93063E">
            <w:rPr>
              <w:lang w:eastAsia="zh-TW"/>
            </w:rPr>
            <w:fldChar w:fldCharType="begin"/>
          </w:r>
          <w:r w:rsidR="00BC2EC6">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sidR="00BC2EC6">
        <w:rPr>
          <w:lang w:eastAsia="zh-TW"/>
        </w:rPr>
        <w:t xml:space="preserve">, and for normalisation, Chronos </w:t>
      </w:r>
      <w:sdt>
        <w:sdtPr>
          <w:rPr>
            <w:lang w:eastAsia="zh-TW"/>
          </w:rPr>
          <w:id w:val="10595341"/>
          <w:citation/>
        </w:sdtPr>
        <w:sdtContent>
          <w:r w:rsidR="0093063E">
            <w:rPr>
              <w:lang w:eastAsia="zh-TW"/>
            </w:rPr>
            <w:fldChar w:fldCharType="begin"/>
          </w:r>
          <w:r w:rsidR="00BC2EC6">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93063E">
        <w:rPr>
          <w:lang w:eastAsia="zh-TW"/>
        </w:rPr>
        <w:fldChar w:fldCharType="begin"/>
      </w:r>
      <w:r w:rsidR="00BC2EC6">
        <w:rPr>
          <w:lang w:eastAsia="zh-TW"/>
        </w:rPr>
        <w:instrText xml:space="preserve"> REF _Ref260165518 \r \h </w:instrText>
      </w:r>
      <w:r w:rsidR="0093063E">
        <w:rPr>
          <w:lang w:eastAsia="zh-TW"/>
        </w:rPr>
      </w:r>
      <w:r w:rsidR="0093063E">
        <w:rPr>
          <w:lang w:eastAsia="zh-TW"/>
        </w:rPr>
        <w:fldChar w:fldCharType="separate"/>
      </w:r>
      <w:r w:rsidR="007A38CD">
        <w:rPr>
          <w:lang w:eastAsia="zh-TW"/>
        </w:rPr>
        <w:t>2.5</w:t>
      </w:r>
      <w:r w:rsidR="0093063E">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1811036"/>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7A38CD">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7A38CD">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7A38CD">
              <w:rPr>
                <w:noProof/>
              </w:rPr>
              <w:t>(Pustejovsky, et al., 2003)</w:t>
            </w:r>
          </w:fldSimple>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7A38CD">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1811037"/>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7A38CD">
              <w:rPr>
                <w:noProof/>
              </w:rPr>
              <w:t>(Krupka &amp; Hausman, 1998)</w:t>
            </w:r>
          </w:fldSimple>
        </w:sdtContent>
      </w:sdt>
      <w:r w:rsidR="00144FA8">
        <w:t xml:space="preserve">, and used simple hand-written rules </w:t>
      </w:r>
      <w:sdt>
        <w:sdtPr>
          <w:id w:val="590747639"/>
          <w:citation/>
        </w:sdtPr>
        <w:sdtContent>
          <w:fldSimple w:instr=" CITATION Mik98 \l 2057 ">
            <w:r w:rsidR="007A38CD">
              <w:rPr>
                <w:noProof/>
              </w:rPr>
              <w:t>(Mikheev, Grover, &amp; Moens, 1998)</w:t>
            </w:r>
          </w:fldSimple>
        </w:sdtContent>
      </w:sdt>
      <w:r w:rsidR="00144FA8">
        <w:t xml:space="preserve">. In both </w:t>
      </w:r>
      <w:r w:rsidR="00144FA8">
        <w:lastRenderedPageBreak/>
        <w:t>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93063E">
            <w:rPr>
              <w:lang w:eastAsia="zh-TW"/>
            </w:rPr>
            <w:fldChar w:fldCharType="begin"/>
          </w:r>
          <w:r>
            <w:rPr>
              <w:lang w:eastAsia="zh-TW"/>
            </w:rPr>
            <w:instrText xml:space="preserve"> CITATION Ahn \t  \l 2057  </w:instrText>
          </w:r>
          <w:r w:rsidR="0093063E">
            <w:rPr>
              <w:lang w:eastAsia="zh-TW"/>
            </w:rPr>
            <w:fldChar w:fldCharType="separate"/>
          </w:r>
          <w:r w:rsidR="007A38CD">
            <w:rPr>
              <w:noProof/>
              <w:lang w:eastAsia="zh-TW"/>
            </w:rPr>
            <w:t>(Ahn, Adafre, &amp; de Rijke, 2005)</w:t>
          </w:r>
          <w:r w:rsidR="0093063E">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93063E">
            <w:rPr>
              <w:lang w:eastAsia="zh-TW"/>
            </w:rPr>
            <w:fldChar w:fldCharType="begin"/>
          </w:r>
          <w:r w:rsidR="0059002F">
            <w:rPr>
              <w:lang w:eastAsia="zh-TW"/>
            </w:rPr>
            <w:instrText xml:space="preserve"> CITATION Dan96 \l 2057 </w:instrText>
          </w:r>
          <w:r w:rsidR="0093063E">
            <w:rPr>
              <w:lang w:eastAsia="zh-TW"/>
            </w:rPr>
            <w:fldChar w:fldCharType="separate"/>
          </w:r>
          <w:r w:rsidR="007A38CD">
            <w:rPr>
              <w:noProof/>
              <w:lang w:eastAsia="zh-TW"/>
            </w:rPr>
            <w:t>(Flickinger, 1996)</w:t>
          </w:r>
          <w:r w:rsidR="0093063E">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93063E">
            <w:rPr>
              <w:lang w:eastAsia="zh-TW"/>
            </w:rPr>
            <w:fldChar w:fldCharType="begin"/>
          </w:r>
          <w:r>
            <w:rPr>
              <w:lang w:eastAsia="zh-TW"/>
            </w:rPr>
            <w:instrText xml:space="preserve"> CITATION Neg04 \l 2057 </w:instrText>
          </w:r>
          <w:r w:rsidR="0093063E">
            <w:rPr>
              <w:lang w:eastAsia="zh-TW"/>
            </w:rPr>
            <w:fldChar w:fldCharType="separate"/>
          </w:r>
          <w:r w:rsidR="007A38CD">
            <w:rPr>
              <w:noProof/>
              <w:lang w:eastAsia="zh-TW"/>
            </w:rPr>
            <w:t>(Negri &amp; Marseglia, 2004)</w:t>
          </w:r>
          <w:r w:rsidR="0093063E">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93063E">
            <w:rPr>
              <w:lang w:eastAsia="zh-TW"/>
            </w:rPr>
            <w:fldChar w:fldCharType="begin"/>
          </w:r>
          <w:r w:rsidR="00527465">
            <w:rPr>
              <w:lang w:eastAsia="zh-TW"/>
            </w:rPr>
            <w:instrText xml:space="preserve"> CITATION Ver05 \l 2057 </w:instrText>
          </w:r>
          <w:r w:rsidR="0093063E">
            <w:rPr>
              <w:lang w:eastAsia="zh-TW"/>
            </w:rPr>
            <w:fldChar w:fldCharType="separate"/>
          </w:r>
          <w:r w:rsidR="007A38CD">
            <w:rPr>
              <w:noProof/>
              <w:lang w:eastAsia="zh-TW"/>
            </w:rPr>
            <w:t>(Verhagen, et al., 2005)</w:t>
          </w:r>
          <w:r w:rsidR="0093063E">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fldSimple w:instr=" CITATION Man00 \l 2057 ">
            <w:r w:rsidR="007A38CD">
              <w:rPr>
                <w:noProof/>
              </w:rPr>
              <w:t>(Mani &amp; Wilson, 2000)</w:t>
            </w:r>
          </w:fldSimple>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w:t>
      </w:r>
      <w:r>
        <w:lastRenderedPageBreak/>
        <w:t>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fldSimple w:instr=" CITATION Ver05 \l 2057 ">
            <w:r w:rsidR="007A38CD">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7A38CD">
              <w:rPr>
                <w:noProof/>
              </w:rPr>
              <w:t>(Verhagen, et al., 2005)</w:t>
            </w:r>
          </w:fldSimple>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fldSimple w:instr=" CITATION Ver05 \l 2057 ">
            <w:r w:rsidR="007A38CD">
              <w:rPr>
                <w:noProof/>
              </w:rPr>
              <w:t>(Verhagen, et al., 2005)</w:t>
            </w:r>
          </w:fldSimple>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fldSimple w:instr=" CITATION Neg04 \l 2057 ">
            <w:r w:rsidR="007A38CD">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lastRenderedPageBreak/>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sidR="007A38CD">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93063E">
            <w:rPr>
              <w:lang w:eastAsia="zh-TW"/>
            </w:rPr>
            <w:fldChar w:fldCharType="begin"/>
          </w:r>
          <w:r w:rsidR="002A3262">
            <w:rPr>
              <w:lang w:eastAsia="zh-TW"/>
            </w:rPr>
            <w:instrText xml:space="preserve"> CITATION Maz09 \l 2057  </w:instrText>
          </w:r>
          <w:r w:rsidR="0093063E">
            <w:rPr>
              <w:lang w:eastAsia="zh-TW"/>
            </w:rPr>
            <w:fldChar w:fldCharType="separate"/>
          </w:r>
          <w:r w:rsidR="007A38CD">
            <w:rPr>
              <w:noProof/>
              <w:lang w:eastAsia="zh-TW"/>
            </w:rPr>
            <w:t>(Mazur &amp; Dale, 2007)</w:t>
          </w:r>
          <w:r w:rsidR="0093063E">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93063E">
            <w:rPr>
              <w:lang w:eastAsia="zh-TW"/>
            </w:rPr>
            <w:fldChar w:fldCharType="begin"/>
          </w:r>
          <w:r w:rsidR="007003EF">
            <w:rPr>
              <w:lang w:eastAsia="zh-TW"/>
            </w:rPr>
            <w:instrText xml:space="preserve"> CITATION Hac05 \l 2057 </w:instrText>
          </w:r>
          <w:r w:rsidR="0093063E">
            <w:rPr>
              <w:lang w:eastAsia="zh-TW"/>
            </w:rPr>
            <w:fldChar w:fldCharType="separate"/>
          </w:r>
          <w:r w:rsidR="007A38CD">
            <w:rPr>
              <w:noProof/>
              <w:lang w:eastAsia="zh-TW"/>
            </w:rPr>
            <w:t>(Hacioglu, Chen, &amp; Douglas, 2005)</w:t>
          </w:r>
          <w:r w:rsidR="0093063E">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w:t>
      </w:r>
      <w:r w:rsidR="004353C7">
        <w:rPr>
          <w:lang w:eastAsia="zh-TW"/>
        </w:rPr>
        <w:lastRenderedPageBreak/>
        <w:t xml:space="preserve">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93063E">
            <w:rPr>
              <w:lang w:eastAsia="zh-TW"/>
            </w:rPr>
            <w:fldChar w:fldCharType="begin"/>
          </w:r>
          <w:r>
            <w:rPr>
              <w:lang w:eastAsia="zh-TW"/>
            </w:rPr>
            <w:instrText xml:space="preserve"> CITATION Ahn07 \t  \l 2057  </w:instrText>
          </w:r>
          <w:r w:rsidR="0093063E">
            <w:rPr>
              <w:lang w:eastAsia="zh-TW"/>
            </w:rPr>
            <w:fldChar w:fldCharType="separate"/>
          </w:r>
          <w:r w:rsidR="007A38CD">
            <w:rPr>
              <w:noProof/>
              <w:lang w:eastAsia="zh-TW"/>
            </w:rPr>
            <w:t>(Ahn, Rantwijk, &amp; de Rijke, 2007)</w:t>
          </w:r>
          <w:r w:rsidR="0093063E">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w:t>
      </w:r>
      <w:r>
        <w:rPr>
          <w:lang w:eastAsia="zh-TW"/>
        </w:rPr>
        <w:lastRenderedPageBreak/>
        <w:t>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1D77B1" w:rsidRDefault="006571EB" w:rsidP="00DE7D38">
      <w:r>
        <w:rPr>
          <w:lang w:eastAsia="zh-TW"/>
        </w:rPr>
        <w:t xml:space="preserve">Later work </w:t>
      </w:r>
      <w:sdt>
        <w:sdtPr>
          <w:rPr>
            <w:lang w:eastAsia="zh-TW"/>
          </w:rPr>
          <w:id w:val="584475422"/>
          <w:citation/>
        </w:sdtPr>
        <w:sdtContent>
          <w:r w:rsidR="0093063E">
            <w:rPr>
              <w:lang w:eastAsia="zh-TW"/>
            </w:rPr>
            <w:fldChar w:fldCharType="begin"/>
          </w:r>
          <w:r>
            <w:rPr>
              <w:lang w:eastAsia="zh-TW"/>
            </w:rPr>
            <w:instrText xml:space="preserve"> CITATION Jan04 \l 2057 </w:instrText>
          </w:r>
          <w:r w:rsidR="0093063E">
            <w:rPr>
              <w:lang w:eastAsia="zh-TW"/>
            </w:rPr>
            <w:fldChar w:fldCharType="separate"/>
          </w:r>
          <w:r w:rsidR="007A38CD">
            <w:rPr>
              <w:noProof/>
              <w:lang w:eastAsia="zh-TW"/>
            </w:rPr>
            <w:t>(Jang, Baldwin, &amp; Mani, 2004)</w:t>
          </w:r>
          <w:r w:rsidR="0093063E">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r w:rsidR="007A38CD">
        <w:rPr>
          <w:noProof/>
          <w:lang w:eastAsia="zh-TW"/>
        </w:rPr>
        <w:t>Baldwi</w:t>
      </w:r>
      <w:r w:rsidR="00CD7CD0">
        <w:rPr>
          <w:noProof/>
          <w:lang w:eastAsia="zh-TW"/>
        </w:rPr>
        <w:t>n</w:t>
      </w:r>
      <w:r w:rsidR="007A38CD">
        <w:rPr>
          <w:noProof/>
          <w:lang w:eastAsia="zh-TW"/>
        </w:rPr>
        <w:t xml:space="preserve"> </w:t>
      </w:r>
      <w:r w:rsidR="00CD7CD0">
        <w:rPr>
          <w:noProof/>
          <w:lang w:eastAsia="zh-TW"/>
        </w:rPr>
        <w:t>(</w:t>
      </w:r>
      <w:r w:rsidR="007A38CD">
        <w:rPr>
          <w:noProof/>
          <w:lang w:eastAsia="zh-TW"/>
        </w:rPr>
        <w:t>2002)</w:t>
      </w:r>
      <w:r w:rsidR="0038095B">
        <w:rPr>
          <w:lang w:eastAsia="zh-TW"/>
        </w:rPr>
        <w:t>. The scores here were considerably better, with an f-measure of 0.869 for normalisation against the Korean corpus.</w:t>
      </w:r>
      <w:r w:rsidR="00655F84">
        <w:rPr>
          <w:lang w:eastAsia="zh-TW"/>
        </w:rPr>
        <w:t xml:space="preserve"> </w:t>
      </w:r>
    </w:p>
    <w:p w:rsidR="00C51530" w:rsidRDefault="00C51530" w:rsidP="00977CF2">
      <w:pPr>
        <w:sectPr w:rsidR="00C51530" w:rsidSect="000E557A">
          <w:headerReference w:type="even" r:id="rId16"/>
          <w:footerReference w:type="even" r:id="rId17"/>
          <w:pgSz w:w="11907" w:h="16840" w:code="9"/>
          <w:pgMar w:top="1134" w:right="1134" w:bottom="1134" w:left="1701" w:header="709" w:footer="709" w:gutter="0"/>
          <w:cols w:space="708"/>
          <w:docGrid w:linePitch="360"/>
        </w:sectPr>
      </w:pPr>
    </w:p>
    <w:p w:rsidR="00994628" w:rsidRDefault="00994628" w:rsidP="00994628">
      <w:pPr>
        <w:pStyle w:val="Heading1"/>
      </w:pPr>
      <w:bookmarkStart w:id="50" w:name="_Ref260235735"/>
      <w:bookmarkStart w:id="51" w:name="_Ref260236416"/>
      <w:bookmarkStart w:id="52" w:name="_Toc261719271"/>
      <w:bookmarkStart w:id="53" w:name="_Toc261719342"/>
      <w:bookmarkStart w:id="54" w:name="_Toc261719396"/>
      <w:bookmarkStart w:id="55" w:name="_Ref248752996"/>
      <w:bookmarkStart w:id="56" w:name="_Toc261811038"/>
      <w:r>
        <w:lastRenderedPageBreak/>
        <w:t>Project Aims</w:t>
      </w:r>
      <w:bookmarkEnd w:id="50"/>
      <w:bookmarkEnd w:id="51"/>
      <w:bookmarkEnd w:id="52"/>
      <w:bookmarkEnd w:id="53"/>
      <w:bookmarkEnd w:id="54"/>
      <w:bookmarkEnd w:id="56"/>
    </w:p>
    <w:p w:rsidR="00187555" w:rsidRDefault="00187555" w:rsidP="00187555">
      <w:r>
        <w:t xml:space="preserve">Considering the survey of the literature above and the original defined scope of the project, </w:t>
      </w:r>
      <w:r w:rsidR="000B2EB1">
        <w:t>the following project aims can be defined:</w:t>
      </w:r>
    </w:p>
    <w:p w:rsidR="000B2EB1" w:rsidRDefault="00A32DCF" w:rsidP="00A32DCF">
      <w:pPr>
        <w:pStyle w:val="ListParagraph"/>
        <w:numPr>
          <w:ilvl w:val="0"/>
          <w:numId w:val="49"/>
        </w:numPr>
      </w:pPr>
      <w:r>
        <w:t xml:space="preserve">The creation of a Python tool for </w:t>
      </w:r>
      <w:r w:rsidR="00445947">
        <w:t>normalisation and recognition of temporal expressions;</w:t>
      </w:r>
    </w:p>
    <w:p w:rsidR="00445947" w:rsidRDefault="00445947" w:rsidP="00A32DCF">
      <w:pPr>
        <w:pStyle w:val="ListParagraph"/>
        <w:numPr>
          <w:ilvl w:val="0"/>
          <w:numId w:val="49"/>
        </w:numPr>
      </w:pPr>
      <w:r>
        <w:t>The implementation of a rule engine and rule set for this tool, taken from the GUTime rule set;</w:t>
      </w:r>
    </w:p>
    <w:p w:rsidR="00445947" w:rsidRDefault="00445947" w:rsidP="00A32DCF">
      <w:pPr>
        <w:pStyle w:val="ListParagraph"/>
        <w:numPr>
          <w:ilvl w:val="0"/>
          <w:numId w:val="49"/>
        </w:numPr>
      </w:pPr>
      <w:r>
        <w:t>Investigation into machine learning techniques that can be used for normalisation and recognition with a speculative implementation of these techniques into the tagger.</w:t>
      </w:r>
    </w:p>
    <w:p w:rsidR="000B2EB1" w:rsidRPr="00187555" w:rsidRDefault="000B2EB1" w:rsidP="00187555">
      <w:r>
        <w:t>Further, requirements for the new Python tool can be set:</w:t>
      </w:r>
    </w:p>
    <w:p w:rsidR="00132F55" w:rsidRDefault="00132F55" w:rsidP="00597112">
      <w:pPr>
        <w:pStyle w:val="ListParagraph"/>
        <w:numPr>
          <w:ilvl w:val="0"/>
          <w:numId w:val="48"/>
        </w:numPr>
      </w:pPr>
      <w:r>
        <w:t>To use good software engineering principles to make a tool that can be maintained</w:t>
      </w:r>
      <w:r w:rsidR="00C10320">
        <w:t xml:space="preserve"> to incorporate new techniques and research</w:t>
      </w:r>
      <w:r>
        <w:t>;</w:t>
      </w:r>
    </w:p>
    <w:p w:rsidR="000E34B0" w:rsidRDefault="000E34B0" w:rsidP="00597112">
      <w:pPr>
        <w:pStyle w:val="ListParagraph"/>
        <w:numPr>
          <w:ilvl w:val="0"/>
          <w:numId w:val="48"/>
        </w:numPr>
      </w:pPr>
      <w:r>
        <w:t>To provide the bulk of the code as a library which can be easily incorporated into toolkits if required, with a simple frontend to this library;</w:t>
      </w:r>
    </w:p>
    <w:p w:rsidR="00132F55" w:rsidRDefault="00C10320" w:rsidP="00597112">
      <w:pPr>
        <w:pStyle w:val="ListParagraph"/>
        <w:numPr>
          <w:ilvl w:val="0"/>
          <w:numId w:val="48"/>
        </w:numPr>
      </w:pPr>
      <w:r>
        <w:t xml:space="preserve">Following the recommendations given in </w:t>
      </w:r>
      <w:r w:rsidR="00E1243D">
        <w:rPr>
          <w:noProof/>
        </w:rPr>
        <w:t>Ahn, Adafre, &amp; de Rijke</w:t>
      </w:r>
      <w:r w:rsidR="007A38CD">
        <w:rPr>
          <w:noProof/>
        </w:rPr>
        <w:t xml:space="preserve"> </w:t>
      </w:r>
      <w:r w:rsidR="00E1243D">
        <w:rPr>
          <w:noProof/>
        </w:rPr>
        <w:t>(</w:t>
      </w:r>
      <w:r w:rsidR="007A38CD">
        <w:rPr>
          <w:noProof/>
        </w:rPr>
        <w:t>2005)</w:t>
      </w:r>
      <w:r>
        <w:t xml:space="preserve">, to </w:t>
      </w:r>
      <w:r w:rsidR="00311503">
        <w:t>decouple and modularise the recognition and normalisation components;</w:t>
      </w:r>
    </w:p>
    <w:p w:rsidR="00311503" w:rsidRDefault="00311503" w:rsidP="00597112">
      <w:pPr>
        <w:pStyle w:val="ListParagraph"/>
        <w:numPr>
          <w:ilvl w:val="0"/>
          <w:numId w:val="48"/>
        </w:numPr>
      </w:pPr>
      <w:r>
        <w:t>A rule-based engine which allows for the separation of the rule engine from the rules</w:t>
      </w:r>
      <w:r w:rsidR="00F750D4">
        <w:t>;</w:t>
      </w:r>
    </w:p>
    <w:p w:rsidR="00F750D4" w:rsidRDefault="00F750D4" w:rsidP="00597112">
      <w:pPr>
        <w:pStyle w:val="ListParagraph"/>
        <w:numPr>
          <w:ilvl w:val="0"/>
          <w:numId w:val="48"/>
        </w:numPr>
      </w:pPr>
      <w:r>
        <w:t>A machine learning engine which can be substituted in place of the rule-based engine;</w:t>
      </w:r>
    </w:p>
    <w:p w:rsidR="00597112" w:rsidRDefault="00597112" w:rsidP="00597112">
      <w:pPr>
        <w:pStyle w:val="ListParagraph"/>
        <w:numPr>
          <w:ilvl w:val="0"/>
          <w:numId w:val="48"/>
        </w:numPr>
      </w:pPr>
      <w:r>
        <w:t>Separatio</w:t>
      </w:r>
      <w:r w:rsidR="00F750D4">
        <w:t xml:space="preserve">n of output format from logic in order to </w:t>
      </w:r>
      <w:r>
        <w:t>avoid</w:t>
      </w:r>
      <w:r w:rsidR="00F750D4">
        <w:t xml:space="preserve"> the</w:t>
      </w:r>
      <w:r>
        <w:t xml:space="preserve"> issues </w:t>
      </w:r>
      <w:r w:rsidR="00F750D4">
        <w:t xml:space="preserve">seen in </w:t>
      </w:r>
      <w:r>
        <w:t>previous taggers</w:t>
      </w:r>
      <w:r w:rsidR="00F750D4">
        <w:t xml:space="preserve"> where a single format was targeted. The tool should be able to output both TIMEX2 and TIMEX3 tags.</w:t>
      </w:r>
    </w:p>
    <w:p w:rsidR="00597112" w:rsidRDefault="00F750D4" w:rsidP="00785EA2">
      <w:r>
        <w:t>It is also useful to define a limit to the scope of this system. Only annotation of the TIMEX tag is considered here, other tags for temporal relations, events, etc, are not considered in this project.</w:t>
      </w:r>
      <w:r w:rsidR="00597112">
        <w:t xml:space="preserve"> </w:t>
      </w:r>
    </w:p>
    <w:p w:rsidR="00597112" w:rsidRDefault="00597112" w:rsidP="00597112">
      <w:pPr>
        <w:sectPr w:rsidR="00597112" w:rsidSect="000E557A">
          <w:pgSz w:w="11907" w:h="16840" w:code="9"/>
          <w:pgMar w:top="1134" w:right="1134" w:bottom="1134" w:left="1701" w:header="709" w:footer="709" w:gutter="0"/>
          <w:cols w:space="708"/>
          <w:docGrid w:linePitch="360"/>
        </w:sectPr>
      </w:pPr>
    </w:p>
    <w:p w:rsidR="00C51A4E" w:rsidRDefault="00C51A4E" w:rsidP="00C51A4E">
      <w:pPr>
        <w:pStyle w:val="Heading1"/>
      </w:pPr>
      <w:bookmarkStart w:id="57" w:name="_Ref260236437"/>
      <w:bookmarkStart w:id="58" w:name="_Toc261719272"/>
      <w:bookmarkStart w:id="59" w:name="_Toc261719343"/>
      <w:bookmarkStart w:id="60" w:name="_Toc261719397"/>
      <w:bookmarkStart w:id="61" w:name="_Toc261811039"/>
      <w:r>
        <w:lastRenderedPageBreak/>
        <w:t>Work Plan</w:t>
      </w:r>
      <w:bookmarkEnd w:id="55"/>
      <w:bookmarkEnd w:id="57"/>
      <w:bookmarkEnd w:id="58"/>
      <w:bookmarkEnd w:id="59"/>
      <w:bookmarkEnd w:id="60"/>
      <w:bookmarkEnd w:id="61"/>
    </w:p>
    <w:p w:rsidR="00BA6144" w:rsidRDefault="003050FA" w:rsidP="00421223">
      <w:r>
        <w:t xml:space="preserve">In order to implement </w:t>
      </w:r>
      <w:r w:rsidR="004C7489">
        <w:t>the</w:t>
      </w:r>
      <w:r>
        <w:t xml:space="preserve"> project aims as defined above, </w:t>
      </w:r>
      <w:r w:rsidR="004C7489">
        <w:t>then the work needed to be done can be broken down into a number of components. The first is to implement the core tagger and rules, the second is to investigate and implement a machine learning component into the system, and the final is to evaluate the tagger performance compared to other systems.</w:t>
      </w:r>
    </w:p>
    <w:p w:rsidR="007C786F" w:rsidRDefault="004C7489" w:rsidP="00421223">
      <w:r>
        <w:t>Below, more in-depth plans for the system are outlined</w:t>
      </w:r>
      <w:r w:rsidR="00A31840">
        <w:t>, followed by a Gant</w:t>
      </w:r>
      <w:r w:rsidR="003F183B">
        <w:t>t chart of the identified tasks and estimated workload.</w:t>
      </w:r>
      <w:r w:rsidR="007C786F">
        <w:t xml:space="preserve"> The estimated workload errs on the side of caution in order to allow for slippages, and additionally, weekends are not included in the time planning which allows for additional slack to be utilised if needed.</w:t>
      </w:r>
    </w:p>
    <w:p w:rsidR="004C7489" w:rsidRPr="00421223" w:rsidRDefault="007C786F" w:rsidP="00421223">
      <w:r>
        <w:t>A final point to be made is that of the actual writing of the dissertation. There is no single “write up” task identified below, instead the actual writing of the dissertation is incorporated into the various tasks.</w:t>
      </w:r>
    </w:p>
    <w:p w:rsidR="003D355D" w:rsidRDefault="003D355D" w:rsidP="003D355D">
      <w:pPr>
        <w:pStyle w:val="Heading2"/>
      </w:pPr>
      <w:bookmarkStart w:id="62" w:name="_Toc261719273"/>
      <w:bookmarkStart w:id="63" w:name="_Toc261719344"/>
      <w:bookmarkStart w:id="64" w:name="_Toc261719398"/>
      <w:bookmarkStart w:id="65" w:name="_Toc261811040"/>
      <w:r>
        <w:t>Python Tagger</w:t>
      </w:r>
      <w:bookmarkEnd w:id="62"/>
      <w:bookmarkEnd w:id="63"/>
      <w:bookmarkEnd w:id="64"/>
      <w:bookmarkEnd w:id="65"/>
      <w:r w:rsidRPr="003D355D">
        <w:t xml:space="preserve"> </w:t>
      </w:r>
    </w:p>
    <w:p w:rsidR="00A1711C" w:rsidRDefault="00B00E0B" w:rsidP="00B00E0B">
      <w:bookmarkStart w:id="66" w:name="_Toc261719346"/>
      <w:bookmarkStart w:id="67" w:name="_Toc261719400"/>
      <w:r>
        <w:t xml:space="preserve">In order to keep with good software engineering practices, </w:t>
      </w:r>
      <w:bookmarkEnd w:id="66"/>
      <w:bookmarkEnd w:id="67"/>
      <w:r>
        <w:t>the tagger will use source control and unit tests in order to help ensure high quality code. The first task required for this system will therefore be to set up a source control repository and an appropriate continuous integration system for unit tests. Following this, work on the rule engine can commence, using a test-driven development style</w:t>
      </w:r>
      <w:r w:rsidR="005038EC">
        <w:t>.</w:t>
      </w:r>
      <w:r w:rsidR="000E34B0">
        <w:t xml:space="preserve"> </w:t>
      </w:r>
      <w:r w:rsidR="003A6991">
        <w:t xml:space="preserve">In order to aid development, a </w:t>
      </w:r>
      <w:r w:rsidR="000E34B0">
        <w:t>front end to the system</w:t>
      </w:r>
    </w:p>
    <w:p w:rsidR="003A6991" w:rsidRDefault="003A6991" w:rsidP="00B00E0B">
      <w:r>
        <w:t xml:space="preserve">Once the rule engine has been created, </w:t>
      </w:r>
      <w:r w:rsidR="00AC0AC2">
        <w:t xml:space="preserve">the rule sets for both the recognition and normalisation components need to be created, which will be done by using the rules in the GUTime software </w:t>
      </w:r>
      <w:sdt>
        <w:sdtPr>
          <w:id w:val="277401041"/>
          <w:citation/>
        </w:sdtPr>
        <w:sdtContent>
          <w:fldSimple w:instr=" CITATION Ver05 \l 2057 ">
            <w:r w:rsidR="007A38CD">
              <w:rPr>
                <w:noProof/>
              </w:rPr>
              <w:t>(Verhagen, et al., 2005)</w:t>
            </w:r>
          </w:fldSimple>
        </w:sdtContent>
      </w:sdt>
      <w:r w:rsidR="00AC0AC2">
        <w:t>.</w:t>
      </w:r>
    </w:p>
    <w:tbl>
      <w:tblPr>
        <w:tblStyle w:val="LightList1"/>
        <w:tblW w:w="9288" w:type="dxa"/>
        <w:jc w:val="center"/>
        <w:tblLook w:val="00A0"/>
      </w:tblPr>
      <w:tblGrid>
        <w:gridCol w:w="534"/>
        <w:gridCol w:w="6237"/>
        <w:gridCol w:w="2517"/>
      </w:tblGrid>
      <w:tr w:rsidR="003A6991" w:rsidTr="000E34B0">
        <w:trPr>
          <w:cnfStyle w:val="100000000000"/>
          <w:trHeight w:val="283"/>
          <w:jc w:val="center"/>
        </w:trPr>
        <w:tc>
          <w:tcPr>
            <w:cnfStyle w:val="001000000000"/>
            <w:tcW w:w="534" w:type="dxa"/>
          </w:tcPr>
          <w:p w:rsidR="003A6991" w:rsidRDefault="003A6991" w:rsidP="00B22526">
            <w:r>
              <w:t>ID</w:t>
            </w:r>
          </w:p>
        </w:tc>
        <w:tc>
          <w:tcPr>
            <w:cnfStyle w:val="000010000000"/>
            <w:tcW w:w="6237" w:type="dxa"/>
          </w:tcPr>
          <w:p w:rsidR="003A6991" w:rsidRDefault="003A6991" w:rsidP="00B22526">
            <w:r>
              <w:t>Task Name</w:t>
            </w:r>
          </w:p>
        </w:tc>
        <w:tc>
          <w:tcPr>
            <w:tcW w:w="2517" w:type="dxa"/>
          </w:tcPr>
          <w:p w:rsidR="003A6991" w:rsidRDefault="003A6991" w:rsidP="00B22526">
            <w:pPr>
              <w:cnfStyle w:val="100000000000"/>
            </w:pPr>
            <w:r>
              <w:t>Estimated Workload</w:t>
            </w:r>
          </w:p>
        </w:tc>
      </w:tr>
      <w:tr w:rsidR="003A6991" w:rsidTr="000E34B0">
        <w:trPr>
          <w:cnfStyle w:val="000000100000"/>
          <w:trHeight w:val="289"/>
          <w:jc w:val="center"/>
        </w:trPr>
        <w:tc>
          <w:tcPr>
            <w:cnfStyle w:val="001000000000"/>
            <w:tcW w:w="534" w:type="dxa"/>
            <w:vAlign w:val="center"/>
          </w:tcPr>
          <w:p w:rsidR="003A6991" w:rsidRPr="00B00E0B" w:rsidRDefault="003A6991" w:rsidP="000E34B0">
            <w:pPr>
              <w:jc w:val="center"/>
            </w:pPr>
            <w:r>
              <w:t>1</w:t>
            </w:r>
          </w:p>
        </w:tc>
        <w:tc>
          <w:tcPr>
            <w:cnfStyle w:val="000010000000"/>
            <w:tcW w:w="6237" w:type="dxa"/>
          </w:tcPr>
          <w:p w:rsidR="003A6991" w:rsidRPr="00B00E0B" w:rsidRDefault="003A6991" w:rsidP="00B22526">
            <w:pPr>
              <w:jc w:val="left"/>
            </w:pPr>
            <w:r w:rsidRPr="00B00E0B">
              <w:t>Set up of source control and continuous integration</w:t>
            </w:r>
          </w:p>
        </w:tc>
        <w:tc>
          <w:tcPr>
            <w:tcW w:w="2517" w:type="dxa"/>
          </w:tcPr>
          <w:p w:rsidR="003A6991" w:rsidRDefault="003A6991" w:rsidP="00B22526">
            <w:pPr>
              <w:jc w:val="left"/>
              <w:cnfStyle w:val="000000100000"/>
            </w:pPr>
            <w:r>
              <w:t>1 day</w:t>
            </w:r>
          </w:p>
        </w:tc>
      </w:tr>
      <w:tr w:rsidR="003A6991" w:rsidTr="000E34B0">
        <w:trPr>
          <w:trHeight w:val="283"/>
          <w:jc w:val="center"/>
        </w:trPr>
        <w:tc>
          <w:tcPr>
            <w:cnfStyle w:val="001000000000"/>
            <w:tcW w:w="534" w:type="dxa"/>
            <w:vAlign w:val="center"/>
          </w:tcPr>
          <w:p w:rsidR="003A6991" w:rsidRPr="00B00E0B" w:rsidRDefault="003A6991" w:rsidP="000E34B0">
            <w:pPr>
              <w:jc w:val="center"/>
            </w:pPr>
            <w:r>
              <w:t>2</w:t>
            </w:r>
          </w:p>
        </w:tc>
        <w:tc>
          <w:tcPr>
            <w:cnfStyle w:val="000010000000"/>
            <w:tcW w:w="6237" w:type="dxa"/>
          </w:tcPr>
          <w:p w:rsidR="003A6991" w:rsidRPr="00B00E0B" w:rsidRDefault="003A6991" w:rsidP="00B22526">
            <w:pPr>
              <w:jc w:val="left"/>
            </w:pPr>
            <w:r w:rsidRPr="00B00E0B">
              <w:t>Implementation of rule engine</w:t>
            </w:r>
          </w:p>
        </w:tc>
        <w:tc>
          <w:tcPr>
            <w:tcW w:w="2517" w:type="dxa"/>
          </w:tcPr>
          <w:p w:rsidR="003A6991" w:rsidRDefault="003A6991" w:rsidP="00B22526">
            <w:pPr>
              <w:jc w:val="left"/>
              <w:cnfStyle w:val="000000000000"/>
            </w:pPr>
            <w:r>
              <w:t>1 week</w:t>
            </w:r>
          </w:p>
        </w:tc>
      </w:tr>
      <w:tr w:rsidR="003A6991" w:rsidTr="000E34B0">
        <w:trPr>
          <w:cnfStyle w:val="000000100000"/>
          <w:trHeight w:val="283"/>
          <w:jc w:val="center"/>
        </w:trPr>
        <w:tc>
          <w:tcPr>
            <w:cnfStyle w:val="001000000000"/>
            <w:tcW w:w="534" w:type="dxa"/>
            <w:vAlign w:val="center"/>
          </w:tcPr>
          <w:p w:rsidR="003A6991" w:rsidRDefault="003A6991" w:rsidP="000E34B0">
            <w:pPr>
              <w:jc w:val="center"/>
            </w:pPr>
            <w:r>
              <w:t>3</w:t>
            </w:r>
          </w:p>
        </w:tc>
        <w:tc>
          <w:tcPr>
            <w:cnfStyle w:val="000010000000"/>
            <w:tcW w:w="6237" w:type="dxa"/>
          </w:tcPr>
          <w:p w:rsidR="003A6991" w:rsidRPr="00B00E0B" w:rsidRDefault="003A6991" w:rsidP="00B22526">
            <w:pPr>
              <w:jc w:val="left"/>
            </w:pPr>
            <w:r>
              <w:t>Front end for tagger</w:t>
            </w:r>
          </w:p>
        </w:tc>
        <w:tc>
          <w:tcPr>
            <w:tcW w:w="2517" w:type="dxa"/>
          </w:tcPr>
          <w:p w:rsidR="003A6991" w:rsidRDefault="003B00C5" w:rsidP="00B22526">
            <w:pPr>
              <w:jc w:val="left"/>
              <w:cnfStyle w:val="000000100000"/>
            </w:pPr>
            <w:r>
              <w:t>3</w:t>
            </w:r>
            <w:r w:rsidR="003A6991">
              <w:t xml:space="preserve"> days</w:t>
            </w:r>
          </w:p>
        </w:tc>
      </w:tr>
      <w:tr w:rsidR="003A6991" w:rsidTr="000E34B0">
        <w:trPr>
          <w:trHeight w:val="297"/>
          <w:jc w:val="center"/>
        </w:trPr>
        <w:tc>
          <w:tcPr>
            <w:cnfStyle w:val="001000000000"/>
            <w:tcW w:w="534" w:type="dxa"/>
            <w:vAlign w:val="center"/>
          </w:tcPr>
          <w:p w:rsidR="003A6991" w:rsidRPr="00B00E0B" w:rsidRDefault="003A6991" w:rsidP="000E34B0">
            <w:pPr>
              <w:jc w:val="center"/>
            </w:pPr>
            <w:r>
              <w:t>4</w:t>
            </w:r>
          </w:p>
        </w:tc>
        <w:tc>
          <w:tcPr>
            <w:cnfStyle w:val="000010000000"/>
            <w:tcW w:w="6237" w:type="dxa"/>
          </w:tcPr>
          <w:p w:rsidR="003A6991" w:rsidRPr="00B00E0B" w:rsidRDefault="003A6991" w:rsidP="00B22526">
            <w:r w:rsidRPr="00B00E0B">
              <w:t>Creation of rule set for recognition</w:t>
            </w:r>
          </w:p>
        </w:tc>
        <w:tc>
          <w:tcPr>
            <w:tcW w:w="2517" w:type="dxa"/>
          </w:tcPr>
          <w:p w:rsidR="003A6991" w:rsidRDefault="003A6991" w:rsidP="00B22526">
            <w:pPr>
              <w:cnfStyle w:val="000000000000"/>
            </w:pPr>
            <w:r>
              <w:t>2 weeks</w:t>
            </w:r>
          </w:p>
        </w:tc>
      </w:tr>
      <w:tr w:rsidR="003A6991" w:rsidTr="000E34B0">
        <w:trPr>
          <w:cnfStyle w:val="000000100000"/>
          <w:trHeight w:val="297"/>
          <w:jc w:val="center"/>
        </w:trPr>
        <w:tc>
          <w:tcPr>
            <w:cnfStyle w:val="001000000000"/>
            <w:tcW w:w="534" w:type="dxa"/>
            <w:vAlign w:val="center"/>
          </w:tcPr>
          <w:p w:rsidR="003A6991" w:rsidRDefault="003A6991" w:rsidP="000E34B0">
            <w:pPr>
              <w:jc w:val="center"/>
            </w:pPr>
            <w:r>
              <w:t>5</w:t>
            </w:r>
          </w:p>
        </w:tc>
        <w:tc>
          <w:tcPr>
            <w:cnfStyle w:val="000010000000"/>
            <w:tcW w:w="6237" w:type="dxa"/>
          </w:tcPr>
          <w:p w:rsidR="003A6991" w:rsidRPr="00B00E0B" w:rsidRDefault="003A6991" w:rsidP="00B22526">
            <w:r>
              <w:t>Creation of rule set for normalisation</w:t>
            </w:r>
          </w:p>
        </w:tc>
        <w:tc>
          <w:tcPr>
            <w:tcW w:w="2517" w:type="dxa"/>
          </w:tcPr>
          <w:p w:rsidR="003A6991" w:rsidRDefault="003A6991" w:rsidP="00B22526">
            <w:pPr>
              <w:cnfStyle w:val="000000100000"/>
            </w:pPr>
            <w:r>
              <w:t>2 weeks</w:t>
            </w:r>
          </w:p>
        </w:tc>
      </w:tr>
    </w:tbl>
    <w:p w:rsidR="00A1711C" w:rsidRDefault="00834CDD" w:rsidP="00A1711C">
      <w:pPr>
        <w:pStyle w:val="Heading2"/>
      </w:pPr>
      <w:bookmarkStart w:id="68" w:name="_Toc261719274"/>
      <w:bookmarkStart w:id="69" w:name="_Toc261719347"/>
      <w:bookmarkStart w:id="70" w:name="_Toc261719401"/>
      <w:bookmarkStart w:id="71" w:name="_Toc261811041"/>
      <w:r>
        <w:t>Machine Learning Techniques</w:t>
      </w:r>
      <w:bookmarkEnd w:id="68"/>
      <w:bookmarkEnd w:id="69"/>
      <w:bookmarkEnd w:id="70"/>
      <w:bookmarkEnd w:id="71"/>
    </w:p>
    <w:p w:rsidR="00A1711C" w:rsidRDefault="00E931F2" w:rsidP="00B00E0B">
      <w:r>
        <w:t xml:space="preserve">Following the implementation of the basic tagger, an investigation into machine learning based techniques that could be implemented as modules for the tagging system. This work will be experimental and implemented </w:t>
      </w:r>
      <w:r w:rsidR="00C96D29">
        <w:t>building on previous work</w:t>
      </w:r>
      <w:r>
        <w:t xml:space="preserve"> (as discussed in section </w:t>
      </w:r>
      <w:r w:rsidR="0093063E">
        <w:fldChar w:fldCharType="begin"/>
      </w:r>
      <w:r>
        <w:instrText xml:space="preserve"> REF _Ref260165518 \r \h </w:instrText>
      </w:r>
      <w:r w:rsidR="0093063E">
        <w:fldChar w:fldCharType="separate"/>
      </w:r>
      <w:r w:rsidR="007A38CD">
        <w:t>2.5</w:t>
      </w:r>
      <w:r w:rsidR="0093063E">
        <w:fldChar w:fldCharType="end"/>
      </w:r>
      <w:r w:rsidR="00C96D29">
        <w:t>) as inspiration.</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6</w:t>
            </w:r>
          </w:p>
        </w:tc>
        <w:tc>
          <w:tcPr>
            <w:cnfStyle w:val="000010000000"/>
            <w:tcW w:w="6237" w:type="dxa"/>
          </w:tcPr>
          <w:p w:rsidR="00E931F2" w:rsidRPr="00B00E0B" w:rsidRDefault="00E931F2" w:rsidP="00E931F2">
            <w:pPr>
              <w:jc w:val="left"/>
            </w:pPr>
            <w:r>
              <w:t>Implementation of an SVM approach</w:t>
            </w:r>
          </w:p>
        </w:tc>
        <w:tc>
          <w:tcPr>
            <w:tcW w:w="2517" w:type="dxa"/>
          </w:tcPr>
          <w:p w:rsidR="00E931F2" w:rsidRDefault="00E931F2" w:rsidP="00E931F2">
            <w:pPr>
              <w:jc w:val="left"/>
              <w:cnfStyle w:val="000000100000"/>
            </w:pPr>
            <w:r>
              <w:t>2 weeks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7</w:t>
            </w:r>
          </w:p>
        </w:tc>
        <w:tc>
          <w:tcPr>
            <w:cnfStyle w:val="000010000000"/>
            <w:tcW w:w="6237" w:type="dxa"/>
          </w:tcPr>
          <w:p w:rsidR="00E931F2" w:rsidRPr="00B00E0B" w:rsidRDefault="00E931F2" w:rsidP="00E931F2">
            <w:pPr>
              <w:jc w:val="left"/>
            </w:pPr>
            <w:r w:rsidRPr="00B00E0B">
              <w:t>Implementation of</w:t>
            </w:r>
            <w:r>
              <w:t xml:space="preserve"> a</w:t>
            </w:r>
            <w:r w:rsidRPr="00B00E0B">
              <w:t xml:space="preserve"> </w:t>
            </w:r>
            <w:r>
              <w:t>rule learning approach</w:t>
            </w:r>
          </w:p>
        </w:tc>
        <w:tc>
          <w:tcPr>
            <w:tcW w:w="2517" w:type="dxa"/>
          </w:tcPr>
          <w:p w:rsidR="00E931F2" w:rsidRDefault="00E931F2" w:rsidP="00E931F2">
            <w:pPr>
              <w:jc w:val="left"/>
              <w:cnfStyle w:val="000000000000"/>
            </w:pPr>
            <w:r>
              <w:t>2 weeks</w:t>
            </w:r>
          </w:p>
        </w:tc>
      </w:tr>
    </w:tbl>
    <w:p w:rsidR="00A1711C" w:rsidRDefault="00E37F1A" w:rsidP="00A1711C">
      <w:pPr>
        <w:pStyle w:val="Heading2"/>
      </w:pPr>
      <w:bookmarkStart w:id="72" w:name="_Toc261719275"/>
      <w:bookmarkStart w:id="73" w:name="_Toc261719350"/>
      <w:bookmarkStart w:id="74" w:name="_Toc261719404"/>
      <w:bookmarkStart w:id="75" w:name="_Toc261811042"/>
      <w:r>
        <w:lastRenderedPageBreak/>
        <w:t>Evaluation</w:t>
      </w:r>
      <w:bookmarkEnd w:id="72"/>
      <w:bookmarkEnd w:id="73"/>
      <w:bookmarkEnd w:id="74"/>
      <w:bookmarkEnd w:id="75"/>
    </w:p>
    <w:p w:rsidR="00A1711C" w:rsidRDefault="00C96D29" w:rsidP="00B00E0B">
      <w:r>
        <w:t xml:space="preserve">In order to evaluate the final tool, then evaluation of different component combinations will be performed (e.g., rule-based recogniser and machine learning based normaliser, etc) in order to discover the best combination and therefore the overall headline performance for the system. The metrics used for evaluation will be the same as used in the TERN contest – f-measures of recognition, extent and normalisation (discussed in section </w:t>
      </w:r>
      <w:r w:rsidR="0093063E">
        <w:fldChar w:fldCharType="begin"/>
      </w:r>
      <w:r>
        <w:instrText xml:space="preserve"> REF _Ref260235702 \r \h </w:instrText>
      </w:r>
      <w:r w:rsidR="0093063E">
        <w:fldChar w:fldCharType="separate"/>
      </w:r>
      <w:r w:rsidR="007A38CD">
        <w:t>2.3</w:t>
      </w:r>
      <w:r w:rsidR="0093063E">
        <w:fldChar w:fldCharType="end"/>
      </w:r>
      <w:r>
        <w:t>). The TERN contests provided software for scoring which can be re-used here. This would allow for comparative results between TERNIP and other systems at the TERN contest.</w:t>
      </w:r>
    </w:p>
    <w:p w:rsidR="00C96D29" w:rsidRDefault="00C96D29" w:rsidP="00B00E0B">
      <w:r>
        <w:t xml:space="preserve">Additionally, the most recent contest for handling temporal expressions, TempEval-2 </w:t>
      </w:r>
      <w:sdt>
        <w:sdtPr>
          <w:id w:val="277401042"/>
          <w:citation/>
        </w:sdtPr>
        <w:sdtContent>
          <w:fldSimple w:instr=" CITATION Pus09 \t  \l 2057  ">
            <w:r w:rsidR="007A38CD">
              <w:rPr>
                <w:noProof/>
              </w:rPr>
              <w:t>(Pustejovsky &amp; Verhagen, 2009)</w:t>
            </w:r>
          </w:fldSimple>
        </w:sdtContent>
      </w:sdt>
      <w:r>
        <w:t xml:space="preserve">, included a subtask which specifically dealt with </w:t>
      </w:r>
      <w:r w:rsidR="00EF5B35">
        <w:t xml:space="preserve">recognition and normalisation of temporal expressions. Evaluation against the TempEval contest dataset would allow for an evaluation of the software against a more up-to-data dataset and </w:t>
      </w:r>
      <w:r w:rsidR="00E7027E">
        <w:t>for comparison against other state of the art systems.</w:t>
      </w:r>
    </w:p>
    <w:tbl>
      <w:tblPr>
        <w:tblStyle w:val="LightList1"/>
        <w:tblW w:w="9288" w:type="dxa"/>
        <w:jc w:val="center"/>
        <w:tblLook w:val="00A0"/>
      </w:tblPr>
      <w:tblGrid>
        <w:gridCol w:w="534"/>
        <w:gridCol w:w="6237"/>
        <w:gridCol w:w="2517"/>
      </w:tblGrid>
      <w:tr w:rsidR="00E931F2" w:rsidTr="00E931F2">
        <w:trPr>
          <w:cnfStyle w:val="100000000000"/>
          <w:trHeight w:val="283"/>
          <w:jc w:val="center"/>
        </w:trPr>
        <w:tc>
          <w:tcPr>
            <w:cnfStyle w:val="001000000000"/>
            <w:tcW w:w="534" w:type="dxa"/>
          </w:tcPr>
          <w:p w:rsidR="00E931F2" w:rsidRDefault="00E931F2" w:rsidP="00E931F2">
            <w:r>
              <w:t>ID</w:t>
            </w:r>
          </w:p>
        </w:tc>
        <w:tc>
          <w:tcPr>
            <w:cnfStyle w:val="000010000000"/>
            <w:tcW w:w="6237" w:type="dxa"/>
          </w:tcPr>
          <w:p w:rsidR="00E931F2" w:rsidRDefault="00E931F2" w:rsidP="00E931F2">
            <w:r>
              <w:t>Task Name</w:t>
            </w:r>
          </w:p>
        </w:tc>
        <w:tc>
          <w:tcPr>
            <w:tcW w:w="2517" w:type="dxa"/>
          </w:tcPr>
          <w:p w:rsidR="00E931F2" w:rsidRDefault="00E931F2" w:rsidP="00E931F2">
            <w:pPr>
              <w:cnfStyle w:val="100000000000"/>
            </w:pPr>
            <w:r>
              <w:t>Estimated Workload</w:t>
            </w:r>
          </w:p>
        </w:tc>
      </w:tr>
      <w:tr w:rsidR="00E931F2" w:rsidTr="00E931F2">
        <w:trPr>
          <w:cnfStyle w:val="000000100000"/>
          <w:trHeight w:val="289"/>
          <w:jc w:val="center"/>
        </w:trPr>
        <w:tc>
          <w:tcPr>
            <w:cnfStyle w:val="001000000000"/>
            <w:tcW w:w="534" w:type="dxa"/>
            <w:vAlign w:val="center"/>
          </w:tcPr>
          <w:p w:rsidR="00E931F2" w:rsidRPr="00B00E0B" w:rsidRDefault="00E931F2" w:rsidP="00E931F2">
            <w:pPr>
              <w:jc w:val="center"/>
            </w:pPr>
            <w:r>
              <w:t>8</w:t>
            </w:r>
          </w:p>
        </w:tc>
        <w:tc>
          <w:tcPr>
            <w:cnfStyle w:val="000010000000"/>
            <w:tcW w:w="6237" w:type="dxa"/>
          </w:tcPr>
          <w:p w:rsidR="00E931F2" w:rsidRPr="00B00E0B" w:rsidRDefault="00E931F2" w:rsidP="00E931F2">
            <w:pPr>
              <w:jc w:val="left"/>
            </w:pPr>
            <w:r>
              <w:t>Evaluation of system against TERN data</w:t>
            </w:r>
          </w:p>
        </w:tc>
        <w:tc>
          <w:tcPr>
            <w:tcW w:w="2517" w:type="dxa"/>
          </w:tcPr>
          <w:p w:rsidR="00E931F2" w:rsidRDefault="00E931F2" w:rsidP="00E931F2">
            <w:pPr>
              <w:jc w:val="left"/>
              <w:cnfStyle w:val="000000100000"/>
            </w:pPr>
            <w:r>
              <w:t>3 days</w:t>
            </w:r>
          </w:p>
        </w:tc>
      </w:tr>
      <w:tr w:rsidR="00E931F2" w:rsidTr="00E931F2">
        <w:trPr>
          <w:trHeight w:val="283"/>
          <w:jc w:val="center"/>
        </w:trPr>
        <w:tc>
          <w:tcPr>
            <w:cnfStyle w:val="001000000000"/>
            <w:tcW w:w="534" w:type="dxa"/>
            <w:vAlign w:val="center"/>
          </w:tcPr>
          <w:p w:rsidR="00E931F2" w:rsidRPr="00B00E0B" w:rsidRDefault="00E931F2" w:rsidP="00E931F2">
            <w:pPr>
              <w:jc w:val="center"/>
            </w:pPr>
            <w:r>
              <w:t>9</w:t>
            </w:r>
          </w:p>
        </w:tc>
        <w:tc>
          <w:tcPr>
            <w:cnfStyle w:val="000010000000"/>
            <w:tcW w:w="6237" w:type="dxa"/>
          </w:tcPr>
          <w:p w:rsidR="00E931F2" w:rsidRPr="00B00E0B" w:rsidRDefault="00E931F2" w:rsidP="00E931F2">
            <w:pPr>
              <w:jc w:val="left"/>
            </w:pPr>
            <w:r>
              <w:t>Evaluation of system against TempEval-2 data</w:t>
            </w:r>
          </w:p>
        </w:tc>
        <w:tc>
          <w:tcPr>
            <w:tcW w:w="2517" w:type="dxa"/>
          </w:tcPr>
          <w:p w:rsidR="00E931F2" w:rsidRDefault="00E931F2" w:rsidP="00E931F2">
            <w:pPr>
              <w:jc w:val="left"/>
              <w:cnfStyle w:val="000000000000"/>
            </w:pPr>
            <w:r>
              <w:t>3 days</w:t>
            </w:r>
          </w:p>
        </w:tc>
      </w:tr>
    </w:tbl>
    <w:p w:rsidR="00A31840" w:rsidRDefault="00A31840" w:rsidP="00A31840">
      <w:bookmarkStart w:id="76" w:name="_Toc261719276"/>
      <w:bookmarkStart w:id="77" w:name="_Toc261719353"/>
      <w:bookmarkStart w:id="78" w:name="_Toc261719407"/>
    </w:p>
    <w:p w:rsidR="00A31840" w:rsidRDefault="00A31840">
      <w:r>
        <w:br w:type="page"/>
      </w:r>
    </w:p>
    <w:p w:rsidR="00BA6144" w:rsidRDefault="00A31840" w:rsidP="00A31840">
      <w:pPr>
        <w:pStyle w:val="Heading2"/>
      </w:pPr>
      <w:r>
        <w:rPr>
          <w:noProof/>
          <w:lang w:eastAsia="en-GB" w:bidi="ar-SA"/>
        </w:rPr>
        <w:lastRenderedPageBreak/>
        <w:drawing>
          <wp:anchor distT="0" distB="0" distL="114300" distR="114300" simplePos="0" relativeHeight="251658240" behindDoc="0" locked="0" layoutInCell="1" allowOverlap="1">
            <wp:simplePos x="0" y="0"/>
            <wp:positionH relativeFrom="page">
              <wp:posOffset>-685800</wp:posOffset>
            </wp:positionH>
            <wp:positionV relativeFrom="line">
              <wp:posOffset>3505200</wp:posOffset>
            </wp:positionV>
            <wp:extent cx="8918575" cy="2510155"/>
            <wp:effectExtent l="0" t="3200400" r="0" b="3185795"/>
            <wp:wrapTopAndBottom/>
            <wp:docPr id="4" name="Picture 3" descr="pla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f"/>
                    <pic:cNvPicPr/>
                  </pic:nvPicPr>
                  <pic:blipFill>
                    <a:blip r:embed="rId18" cstate="print"/>
                    <a:srcRect l="258" t="503"/>
                    <a:stretch>
                      <a:fillRect/>
                    </a:stretch>
                  </pic:blipFill>
                  <pic:spPr>
                    <a:xfrm rot="16200000">
                      <a:off x="0" y="0"/>
                      <a:ext cx="8918575" cy="2510155"/>
                    </a:xfrm>
                    <a:prstGeom prst="rect">
                      <a:avLst/>
                    </a:prstGeom>
                  </pic:spPr>
                </pic:pic>
              </a:graphicData>
            </a:graphic>
          </wp:anchor>
        </w:drawing>
      </w:r>
      <w:bookmarkStart w:id="79" w:name="_Toc261811043"/>
      <w:r w:rsidR="004737C6">
        <w:t>Timescal</w:t>
      </w:r>
      <w:bookmarkEnd w:id="76"/>
      <w:bookmarkEnd w:id="77"/>
      <w:bookmarkEnd w:id="78"/>
      <w:r>
        <w:t>e</w:t>
      </w:r>
      <w:bookmarkEnd w:id="79"/>
    </w:p>
    <w:p w:rsidR="00A31840" w:rsidRPr="00A31840" w:rsidRDefault="00A31840" w:rsidP="00A31840">
      <w:pPr>
        <w:sectPr w:rsidR="00A31840" w:rsidRPr="00A31840" w:rsidSect="00E931F2">
          <w:pgSz w:w="11907" w:h="16840"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80" w:name="_Toc261811044" w:displacedByCustomXml="prev"/>
        <w:bookmarkStart w:id="81" w:name="_Toc261719408" w:displacedByCustomXml="prev"/>
        <w:bookmarkStart w:id="82" w:name="_Toc261719354" w:displacedByCustomXml="prev"/>
        <w:bookmarkStart w:id="83" w:name="_Toc261719277" w:displacedByCustomXml="prev"/>
        <w:p w:rsidR="00AA1B5D" w:rsidRDefault="00AA1B5D">
          <w:pPr>
            <w:pStyle w:val="Heading1"/>
          </w:pPr>
          <w:r>
            <w:t>Bibliography</w:t>
          </w:r>
          <w:bookmarkEnd w:id="83"/>
          <w:bookmarkEnd w:id="82"/>
          <w:bookmarkEnd w:id="81"/>
          <w:bookmarkEnd w:id="80"/>
        </w:p>
        <w:sdt>
          <w:sdtPr>
            <w:id w:val="111145805"/>
            <w:bibliography/>
          </w:sdtPr>
          <w:sdtContent>
            <w:p w:rsidR="007A38CD" w:rsidRDefault="0093063E" w:rsidP="007A38CD">
              <w:pPr>
                <w:pStyle w:val="Bibliography"/>
                <w:rPr>
                  <w:noProof/>
                </w:rPr>
              </w:pPr>
              <w:r>
                <w:fldChar w:fldCharType="begin"/>
              </w:r>
              <w:r w:rsidR="00AA1B5D">
                <w:instrText xml:space="preserve"> BIBLIOGRAPHY </w:instrText>
              </w:r>
              <w:r>
                <w:fldChar w:fldCharType="separate"/>
              </w:r>
              <w:r w:rsidR="007A38CD">
                <w:rPr>
                  <w:noProof/>
                </w:rPr>
                <w:t xml:space="preserve">Ahn, D., Adafre, S. F., &amp; de Rijke, M. (2005). Recognizing and Interpreting Temporal Expressions in Open Domain Texts. In S. N. Artëmov, H. Barringer, A. S. d'Avila Garcez, L. C. Lamb, &amp; J. Woods (Eds.), </w:t>
              </w:r>
              <w:r w:rsidR="007A38CD">
                <w:rPr>
                  <w:i/>
                  <w:iCs/>
                  <w:noProof/>
                </w:rPr>
                <w:t>We Will Show Them: Essays in Honour of Dov Gabbay</w:t>
              </w:r>
              <w:r w:rsidR="007A38CD">
                <w:rPr>
                  <w:noProof/>
                </w:rPr>
                <w:t xml:space="preserve"> (Vol. 1, pp. 31-50). College Publications.</w:t>
              </w:r>
            </w:p>
            <w:p w:rsidR="007A38CD" w:rsidRDefault="007A38CD" w:rsidP="007A38CD">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7A38CD" w:rsidRDefault="007A38CD" w:rsidP="007A38CD">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7A38CD" w:rsidRDefault="007A38CD" w:rsidP="007A38CD">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7A38CD" w:rsidRDefault="007A38CD" w:rsidP="007A38CD">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7A38CD" w:rsidRDefault="007A38CD" w:rsidP="007A38CD">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7A38CD" w:rsidRDefault="007A38CD" w:rsidP="007A38CD">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7A38CD" w:rsidRDefault="007A38CD" w:rsidP="007A38CD">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7A38CD" w:rsidRDefault="007A38CD" w:rsidP="007A38CD">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7A38CD" w:rsidRDefault="007A38CD" w:rsidP="007A38CD">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7A38CD" w:rsidRDefault="007A38CD" w:rsidP="007A38CD">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7A38CD" w:rsidRDefault="007A38CD" w:rsidP="007A38CD">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7A38CD" w:rsidRDefault="007A38CD" w:rsidP="007A38CD">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7A38CD" w:rsidRDefault="007A38CD" w:rsidP="007A38CD">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7A38CD" w:rsidRDefault="007A38CD" w:rsidP="007A38CD">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7A38CD" w:rsidRDefault="007A38CD" w:rsidP="007A38CD">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7A38CD" w:rsidRDefault="007A38CD" w:rsidP="007A38CD">
              <w:pPr>
                <w:pStyle w:val="Bibliography"/>
                <w:rPr>
                  <w:noProof/>
                </w:rPr>
              </w:pPr>
              <w:r>
                <w:rPr>
                  <w:noProof/>
                </w:rPr>
                <w:t>Pustejovsky, J., Verhagen, M., Sauri, R., Littman, J., Gaizauskas, R., Katz, G., et al. (2006, April 17). TimeBank 1.2. Philadelphia: Linguistic Data Consortium.</w:t>
              </w:r>
            </w:p>
            <w:p w:rsidR="007A38CD" w:rsidRDefault="007A38CD" w:rsidP="007A38CD">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7A38CD" w:rsidRDefault="007A38CD" w:rsidP="007A38CD">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7A38CD" w:rsidRDefault="007A38CD" w:rsidP="007A38CD">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7A38CD" w:rsidRDefault="007A38CD" w:rsidP="007A38CD">
              <w:pPr>
                <w:pStyle w:val="Bibliography"/>
                <w:rPr>
                  <w:noProof/>
                </w:rPr>
              </w:pPr>
              <w:r>
                <w:rPr>
                  <w:noProof/>
                </w:rPr>
                <w:t xml:space="preserve">van Rossum, G. (1995). </w:t>
              </w:r>
              <w:r>
                <w:rPr>
                  <w:i/>
                  <w:iCs/>
                  <w:noProof/>
                </w:rPr>
                <w:t>Python Reference Manual.</w:t>
              </w:r>
              <w:r>
                <w:rPr>
                  <w:noProof/>
                </w:rPr>
                <w:t xml:space="preserve"> CWI Report CS-R9525.</w:t>
              </w:r>
            </w:p>
            <w:p w:rsidR="007A38CD" w:rsidRDefault="007A38CD" w:rsidP="007A38CD">
              <w:pPr>
                <w:pStyle w:val="Bibliography"/>
                <w:rPr>
                  <w:noProof/>
                </w:rPr>
              </w:pPr>
              <w:r>
                <w:rPr>
                  <w:noProof/>
                </w:rPr>
                <w:t xml:space="preserve">Verhagen, M. (2004). </w:t>
              </w:r>
              <w:r>
                <w:rPr>
                  <w:i/>
                  <w:iCs/>
                  <w:noProof/>
                </w:rPr>
                <w:t>Times Between the Lines.</w:t>
              </w:r>
              <w:r>
                <w:rPr>
                  <w:noProof/>
                </w:rPr>
                <w:t xml:space="preserve"> Waltham, MA, USA: Brandeis University.</w:t>
              </w:r>
            </w:p>
            <w:p w:rsidR="007A38CD" w:rsidRDefault="007A38CD" w:rsidP="007A38CD">
              <w:pPr>
                <w:pStyle w:val="Bibliography"/>
                <w:rPr>
                  <w:noProof/>
                </w:rPr>
              </w:pPr>
              <w:r>
                <w:rPr>
                  <w:noProof/>
                </w:rPr>
                <w:t>Verhagen, M., &amp; Moszkowicz, J. (2008, January). AQUAINT TimeML 1.0 Corpus. Brandeis University.</w:t>
              </w:r>
            </w:p>
            <w:p w:rsidR="007A38CD" w:rsidRDefault="007A38CD" w:rsidP="007A38CD">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93063E" w:rsidP="007A38CD">
              <w:r>
                <w:fldChar w:fldCharType="end"/>
              </w:r>
            </w:p>
          </w:sdtContent>
        </w:sdt>
      </w:sdtContent>
    </w:sdt>
    <w:p w:rsidR="00AA1B5D" w:rsidRPr="00AA1B5D" w:rsidRDefault="00AA1B5D" w:rsidP="00AA1B5D">
      <w:pPr>
        <w:rPr>
          <w:lang w:eastAsia="zh-TW"/>
        </w:rPr>
      </w:pPr>
    </w:p>
    <w:sectPr w:rsidR="00AA1B5D" w:rsidRPr="00AA1B5D" w:rsidSect="000E557A">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344" w:rsidRDefault="003C6344" w:rsidP="008873C3">
      <w:pPr>
        <w:spacing w:after="0" w:line="240" w:lineRule="auto"/>
      </w:pPr>
      <w:r>
        <w:separator/>
      </w:r>
    </w:p>
    <w:p w:rsidR="003C6344" w:rsidRDefault="003C6344"/>
  </w:endnote>
  <w:endnote w:type="continuationSeparator" w:id="0">
    <w:p w:rsidR="003C6344" w:rsidRDefault="003C6344" w:rsidP="008873C3">
      <w:pPr>
        <w:spacing w:after="0" w:line="240" w:lineRule="auto"/>
      </w:pPr>
      <w:r>
        <w:continuationSeparator/>
      </w:r>
    </w:p>
    <w:p w:rsidR="003C6344" w:rsidRDefault="003C63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0E557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021908" w:rsidRDefault="00021908">
        <w:pPr>
          <w:pStyle w:val="Footer"/>
          <w:jc w:val="center"/>
        </w:pPr>
      </w:p>
    </w:sdtContent>
  </w:sdt>
  <w:p w:rsidR="00021908" w:rsidRDefault="000219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797"/>
      <w:docPartObj>
        <w:docPartGallery w:val="Page Numbers (Bottom of Page)"/>
        <w:docPartUnique/>
      </w:docPartObj>
    </w:sdtPr>
    <w:sdtContent>
      <w:p w:rsidR="00021908" w:rsidRDefault="00021908" w:rsidP="000E557A">
        <w:pPr>
          <w:pStyle w:val="Footer"/>
          <w:jc w:val="center"/>
        </w:pPr>
        <w:fldSimple w:instr=" PAGE   \* MERGEFORMAT ">
          <w:r w:rsidR="004111DB">
            <w:rPr>
              <w:noProof/>
            </w:rPr>
            <w:t>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021908" w:rsidRDefault="00021908" w:rsidP="000E557A">
        <w:pPr>
          <w:pStyle w:val="Footer"/>
          <w:jc w:val="center"/>
        </w:pPr>
        <w:fldSimple w:instr=" PAGE   \* MERGEFORMAT ">
          <w:r w:rsidR="00E1243D">
            <w:rPr>
              <w:noProof/>
            </w:rPr>
            <w:t>17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021908" w:rsidRDefault="00021908">
        <w:pPr>
          <w:pStyle w:val="Footer"/>
          <w:jc w:val="center"/>
        </w:pPr>
        <w:fldSimple w:instr=" PAGE   \* MERGEFORMAT ">
          <w:r>
            <w:rPr>
              <w:noProof/>
            </w:rPr>
            <w:t>1</w:t>
          </w:r>
        </w:fldSimple>
      </w:p>
    </w:sdtContent>
  </w:sdt>
  <w:p w:rsidR="00021908" w:rsidRDefault="0002190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517"/>
      <w:docPartObj>
        <w:docPartGallery w:val="Page Numbers (Bottom of Page)"/>
        <w:docPartUnique/>
      </w:docPartObj>
    </w:sdtPr>
    <w:sdtContent>
      <w:p w:rsidR="00021908" w:rsidRDefault="00021908" w:rsidP="000E557A">
        <w:pPr>
          <w:pStyle w:val="Footer"/>
          <w:jc w:val="center"/>
        </w:pPr>
        <w:fldSimple w:instr=" PAGE   \* MERGEFORMAT ">
          <w:r w:rsidR="00E1243D">
            <w:rPr>
              <w:noProof/>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344" w:rsidRDefault="003C6344" w:rsidP="008873C3">
      <w:pPr>
        <w:spacing w:after="0" w:line="240" w:lineRule="auto"/>
      </w:pPr>
      <w:r>
        <w:separator/>
      </w:r>
    </w:p>
    <w:p w:rsidR="003C6344" w:rsidRDefault="003C6344"/>
  </w:footnote>
  <w:footnote w:type="continuationSeparator" w:id="0">
    <w:p w:rsidR="003C6344" w:rsidRDefault="003C6344" w:rsidP="008873C3">
      <w:pPr>
        <w:spacing w:after="0" w:line="240" w:lineRule="auto"/>
      </w:pPr>
      <w:r>
        <w:continuationSeparator/>
      </w:r>
    </w:p>
    <w:p w:rsidR="003C6344" w:rsidRDefault="003C63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908" w:rsidRDefault="00021908" w:rsidP="00314655">
    <w:pPr>
      <w:jc w:val="left"/>
    </w:pPr>
    <w:sdt>
      <w:sdtPr>
        <w:rPr>
          <w:rStyle w:val="BookTitle"/>
        </w:rPr>
        <w:alias w:val="Title"/>
        <w:id w:val="20927231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5">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665E6"/>
    <w:multiLevelType w:val="multilevel"/>
    <w:tmpl w:val="88CEDC60"/>
    <w:numStyleLink w:val="Appendices"/>
  </w:abstractNum>
  <w:num w:numId="1">
    <w:abstractNumId w:val="14"/>
  </w:num>
  <w:num w:numId="2">
    <w:abstractNumId w:val="16"/>
  </w:num>
  <w:num w:numId="3">
    <w:abstractNumId w:val="24"/>
  </w:num>
  <w:num w:numId="4">
    <w:abstractNumId w:val="35"/>
  </w:num>
  <w:num w:numId="5">
    <w:abstractNumId w:val="3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7"/>
  </w:num>
  <w:num w:numId="12">
    <w:abstractNumId w:val="23"/>
  </w:num>
  <w:num w:numId="13">
    <w:abstractNumId w:val="32"/>
  </w:num>
  <w:num w:numId="14">
    <w:abstractNumId w:val="20"/>
  </w:num>
  <w:num w:numId="15">
    <w:abstractNumId w:val="4"/>
  </w:num>
  <w:num w:numId="16">
    <w:abstractNumId w:val="22"/>
  </w:num>
  <w:num w:numId="17">
    <w:abstractNumId w:val="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1"/>
  </w:num>
  <w:num w:numId="21">
    <w:abstractNumId w:val="39"/>
  </w:num>
  <w:num w:numId="22">
    <w:abstractNumId w:val="13"/>
  </w:num>
  <w:num w:numId="23">
    <w:abstractNumId w:val="12"/>
  </w:num>
  <w:num w:numId="24">
    <w:abstractNumId w:val="33"/>
  </w:num>
  <w:num w:numId="25">
    <w:abstractNumId w:val="26"/>
  </w:num>
  <w:num w:numId="26">
    <w:abstractNumId w:val="28"/>
  </w:num>
  <w:num w:numId="27">
    <w:abstractNumId w:val="11"/>
  </w:num>
  <w:num w:numId="28">
    <w:abstractNumId w:val="25"/>
  </w:num>
  <w:num w:numId="29">
    <w:abstractNumId w:val="34"/>
  </w:num>
  <w:num w:numId="30">
    <w:abstractNumId w:val="29"/>
  </w:num>
  <w:num w:numId="3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8"/>
  </w:num>
  <w:num w:numId="40">
    <w:abstractNumId w:val="21"/>
  </w:num>
  <w:num w:numId="41">
    <w:abstractNumId w:val="30"/>
  </w:num>
  <w:num w:numId="42">
    <w:abstractNumId w:val="19"/>
  </w:num>
  <w:num w:numId="43">
    <w:abstractNumId w:val="15"/>
  </w:num>
  <w:num w:numId="44">
    <w:abstractNumId w:val="18"/>
  </w:num>
  <w:num w:numId="45">
    <w:abstractNumId w:val="9"/>
  </w:num>
  <w:num w:numId="46">
    <w:abstractNumId w:val="27"/>
  </w:num>
  <w:num w:numId="47">
    <w:abstractNumId w:val="37"/>
  </w:num>
  <w:num w:numId="48">
    <w:abstractNumId w:val="7"/>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hdrShapeDefaults>
    <o:shapedefaults v:ext="edit" spidmax="26626">
      <o:colormenu v:ext="edit" fillcolor="none" strokecolor="none" shadowcolor="none"/>
    </o:shapedefaults>
  </w:hdrShapeDefault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3CD3"/>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5DC"/>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20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13</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14</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17</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16</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23</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15</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18</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12</b:RefOrder>
  </b:Source>
  <b:Source>
    <b:Tag>Pus09</b:Tag>
    <b:SourceType>ConferenceProceedings</b:SourceType>
    <b:Guid>{5AA49259-3DFD-4964-91C8-19B996B8A8F3}</b:Guid>
    <b:LCID>0</b:LC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975E7-6C60-4DF8-864B-0C6BDFEC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21</Pages>
  <Words>6454</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43162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259</cp:revision>
  <cp:lastPrinted>2010-05-13T14:30:00Z</cp:lastPrinted>
  <dcterms:created xsi:type="dcterms:W3CDTF">2009-12-15T14:28:00Z</dcterms:created>
  <dcterms:modified xsi:type="dcterms:W3CDTF">2010-05-16T21:15:00Z</dcterms:modified>
</cp:coreProperties>
</file>