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B1" w:rsidRDefault="00953FB1" w:rsidP="00953FB1">
      <w:pPr>
        <w:pStyle w:val="ListParagraph"/>
        <w:numPr>
          <w:ilvl w:val="0"/>
          <w:numId w:val="1"/>
        </w:numPr>
        <w:rPr>
          <w:rFonts w:ascii="Open Sans" w:hAnsi="Open Sans" w:cs="Open Sans"/>
          <w:lang w:val="en-US"/>
        </w:rPr>
      </w:pPr>
      <w:r>
        <w:rPr>
          <w:rFonts w:ascii="Open Sans" w:hAnsi="Open Sans" w:cs="Open Sans"/>
          <w:lang w:val="en-US"/>
        </w:rPr>
        <w:t xml:space="preserve">Some </w:t>
      </w:r>
      <w:r>
        <w:rPr>
          <w:rFonts w:ascii="Open Sans" w:hAnsi="Open Sans" w:cs="Open Sans"/>
          <w:lang w:val="en-US"/>
        </w:rPr>
        <w:t xml:space="preserve">Remember – </w:t>
      </w:r>
      <w:r w:rsidR="002B7B34">
        <w:rPr>
          <w:rFonts w:ascii="Open Sans" w:hAnsi="Open Sans" w:cs="Open Sans"/>
          <w:lang w:val="en-US"/>
        </w:rPr>
        <w:t>It’s</w:t>
      </w:r>
      <w:r>
        <w:rPr>
          <w:rFonts w:ascii="Open Sans" w:hAnsi="Open Sans" w:cs="Open Sans"/>
          <w:lang w:val="en-US"/>
        </w:rPr>
        <w:t xml:space="preserve"> good to know indicators &amp; what they suggest but it should always be paired with other tools such as Support, Resistance, Volumes, </w:t>
      </w:r>
      <w:r w:rsidR="002B7B34">
        <w:rPr>
          <w:rFonts w:ascii="Open Sans" w:hAnsi="Open Sans" w:cs="Open Sans"/>
          <w:lang w:val="en-US"/>
        </w:rPr>
        <w:t>and Candlestick</w:t>
      </w:r>
      <w:r>
        <w:rPr>
          <w:rFonts w:ascii="Open Sans" w:hAnsi="Open Sans" w:cs="Open Sans"/>
          <w:lang w:val="en-US"/>
        </w:rPr>
        <w:t xml:space="preserve"> patterns.</w:t>
      </w:r>
    </w:p>
    <w:p w:rsidR="00953FB1" w:rsidRDefault="00953FB1" w:rsidP="00953FB1">
      <w:pPr>
        <w:pStyle w:val="ListParagraph"/>
        <w:numPr>
          <w:ilvl w:val="0"/>
          <w:numId w:val="1"/>
        </w:numPr>
        <w:rPr>
          <w:rFonts w:ascii="Open Sans" w:hAnsi="Open Sans" w:cs="Open Sans"/>
          <w:lang w:val="en-US"/>
        </w:rPr>
      </w:pPr>
      <w:r>
        <w:rPr>
          <w:rFonts w:ascii="Open Sans" w:hAnsi="Open Sans" w:cs="Open Sans"/>
          <w:lang w:val="en-US"/>
        </w:rPr>
        <w:t xml:space="preserve">Dependence on indicators is less compared to price action tools such as </w:t>
      </w:r>
      <w:r>
        <w:rPr>
          <w:rFonts w:ascii="Open Sans" w:hAnsi="Open Sans" w:cs="Open Sans"/>
          <w:lang w:val="en-US"/>
        </w:rPr>
        <w:t xml:space="preserve">Support, Resistance, Volumes, </w:t>
      </w:r>
      <w:r w:rsidR="002B7B34">
        <w:rPr>
          <w:rFonts w:ascii="Open Sans" w:hAnsi="Open Sans" w:cs="Open Sans"/>
          <w:lang w:val="en-US"/>
        </w:rPr>
        <w:t>and Candlestick</w:t>
      </w:r>
      <w:r>
        <w:rPr>
          <w:rFonts w:ascii="Open Sans" w:hAnsi="Open Sans" w:cs="Open Sans"/>
          <w:lang w:val="en-US"/>
        </w:rPr>
        <w:t xml:space="preserve"> patterns.</w:t>
      </w:r>
    </w:p>
    <w:p w:rsidR="002B7B34" w:rsidRPr="002B7B34" w:rsidRDefault="002B7B34" w:rsidP="00953FB1">
      <w:pPr>
        <w:pStyle w:val="ListParagraph"/>
        <w:numPr>
          <w:ilvl w:val="0"/>
          <w:numId w:val="1"/>
        </w:numPr>
        <w:rPr>
          <w:rFonts w:ascii="Open Sans" w:hAnsi="Open Sans" w:cs="Open Sans"/>
          <w:lang w:val="en-US"/>
        </w:rPr>
      </w:pPr>
      <w:r w:rsidRPr="002B7B34">
        <w:rPr>
          <w:rFonts w:ascii="Open Sans" w:hAnsi="Open Sans" w:cs="Open Sans"/>
          <w:lang w:val="en-US"/>
        </w:rPr>
        <w:t>The indicators act as a tool which the traders can use to confirm their trading decisions, and it is worthwhile to check what the indicators are conveying before placing a buy or a sell order. </w:t>
      </w:r>
    </w:p>
    <w:p w:rsidR="00BD6154" w:rsidRPr="00BD6154" w:rsidRDefault="00BD6154" w:rsidP="002E5DB5">
      <w:pPr>
        <w:jc w:val="cente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D6154">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The Checklist</w:t>
      </w:r>
    </w:p>
    <w:p w:rsidR="00BD6154" w:rsidRPr="00BD6154" w:rsidRDefault="00BD6154" w:rsidP="00BD6154">
      <w:pPr>
        <w:spacing w:after="225" w:line="240" w:lineRule="auto"/>
        <w:rPr>
          <w:rFonts w:ascii="Arial" w:eastAsia="Times New Roman" w:hAnsi="Arial" w:cs="Arial"/>
          <w:color w:val="666666"/>
          <w:sz w:val="24"/>
          <w:szCs w:val="24"/>
          <w:lang w:eastAsia="en-IN"/>
        </w:rPr>
      </w:pPr>
      <w:r w:rsidRPr="00BD6154">
        <w:rPr>
          <w:rFonts w:ascii="Arial" w:eastAsia="Times New Roman" w:hAnsi="Arial" w:cs="Arial"/>
          <w:color w:val="666666"/>
          <w:sz w:val="24"/>
          <w:szCs w:val="24"/>
          <w:lang w:eastAsia="en-IN"/>
        </w:rPr>
        <w:t>In the previous chapters, we started building a checklist that acts as a guiding force behind the trader’s decision to buy or sell. It is time to revisit that checklist.</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The indicators act as a tool which the traders can use to confirm their trading decisions, and it is worthwhile to check what the indicators are conveying before placing a buy or a sell order. While the dependence on indicators is not as much S&amp;R, volumes or candlestick patterns, it is always good to know what the basic indicators suggest. For this reason, I would recommend adding indicators in the checklist, but with a twist to it. I will explain the twist in a bit, but before that, let us reproduce the updated checklist.</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The stock should form a recognizable candlestick pattern</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 xml:space="preserve">S&amp;R should confirm to the trade. The </w:t>
      </w:r>
      <w:r w:rsidR="00F26455" w:rsidRPr="00BD6154">
        <w:rPr>
          <w:rFonts w:ascii="Open Sans" w:hAnsi="Open Sans" w:cs="Open Sans"/>
          <w:lang w:val="en-US"/>
        </w:rPr>
        <w:t>stop loss</w:t>
      </w:r>
      <w:r w:rsidRPr="00BD6154">
        <w:rPr>
          <w:rFonts w:ascii="Open Sans" w:hAnsi="Open Sans" w:cs="Open Sans"/>
          <w:lang w:val="en-US"/>
        </w:rPr>
        <w:t xml:space="preserve"> price should be around S&amp;R</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For a long trade, the low of the pattern should be around the support</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For a short trade, the high of the pattern should be around the resistance</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Volumes should confirm</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Ensure above average volumes on both buy and sell day</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Low volumes are not encouraging, hence do feel free to hesitate while taking trade where the volumes are low</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Indicators should confirm</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Scale the size higher if the confirm</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If they don’t confirm, go ahead with the original plan</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The sub-bullet points under indicators are where the twist lies.</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Now, hypothetically imagine a situation where you are looking at an opportunity to buy shares of Karnataka Bank Limited. On a particular day, Karnataka Bank has formed a bullish hammer, assume everything ticks on the checklist:</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Bullish hammer is a recognizable candlestick pattern</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The low of the bullish hammer also coincides with the support</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The volumes are above average</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t>There is also a MACD crossover (signal line turns greater than the MACD line)</w:t>
      </w:r>
    </w:p>
    <w:p w:rsidR="00BD6154" w:rsidRPr="00BD6154" w:rsidRDefault="00BD6154" w:rsidP="00BD6154">
      <w:pPr>
        <w:pStyle w:val="ListParagraph"/>
        <w:numPr>
          <w:ilvl w:val="0"/>
          <w:numId w:val="1"/>
        </w:numPr>
        <w:rPr>
          <w:rFonts w:ascii="Open Sans" w:hAnsi="Open Sans" w:cs="Open Sans"/>
          <w:lang w:val="en-US"/>
        </w:rPr>
      </w:pPr>
      <w:r w:rsidRPr="00BD6154">
        <w:rPr>
          <w:rFonts w:ascii="Open Sans" w:hAnsi="Open Sans" w:cs="Open Sans"/>
          <w:lang w:val="en-US"/>
        </w:rPr>
        <w:lastRenderedPageBreak/>
        <w:t>With all four checklist points being ticked off I would be happy to buy Karnataka Bank. Hence I place an order to buy, let us say for 500 shares.</w:t>
      </w:r>
    </w:p>
    <w:p w:rsidR="00BD6154" w:rsidRPr="00BD6154" w:rsidRDefault="00BD6154" w:rsidP="00F26455">
      <w:pPr>
        <w:pStyle w:val="ListParagraph"/>
        <w:numPr>
          <w:ilvl w:val="0"/>
          <w:numId w:val="1"/>
        </w:numPr>
        <w:rPr>
          <w:rFonts w:ascii="Open Sans" w:hAnsi="Open Sans" w:cs="Open Sans"/>
          <w:lang w:val="en-US"/>
        </w:rPr>
      </w:pPr>
      <w:r w:rsidRPr="00BD6154">
        <w:rPr>
          <w:rFonts w:ascii="Open Sans" w:hAnsi="Open Sans" w:cs="Open Sans"/>
          <w:lang w:val="en-US"/>
        </w:rPr>
        <w:t>However, imagine a situation where the first 3 checklist conditions are met, but the 4th condition (indicators should confirm) is not satisfied. What do you think I should do?</w:t>
      </w:r>
    </w:p>
    <w:p w:rsidR="00BD6154" w:rsidRPr="00BD6154" w:rsidRDefault="00BD6154" w:rsidP="00F26455">
      <w:pPr>
        <w:pStyle w:val="ListParagraph"/>
        <w:numPr>
          <w:ilvl w:val="0"/>
          <w:numId w:val="1"/>
        </w:numPr>
        <w:rPr>
          <w:rFonts w:ascii="Open Sans" w:hAnsi="Open Sans" w:cs="Open Sans"/>
          <w:lang w:val="en-US"/>
        </w:rPr>
      </w:pPr>
      <w:r w:rsidRPr="00BD6154">
        <w:rPr>
          <w:rFonts w:ascii="Open Sans" w:hAnsi="Open Sans" w:cs="Open Sans"/>
          <w:lang w:val="en-US"/>
        </w:rPr>
        <w:t>I would still go ahead and buy, but instead of 500 shares, I’d probably buy 300 shares.</w:t>
      </w:r>
    </w:p>
    <w:p w:rsidR="00BD6154" w:rsidRPr="00BD6154" w:rsidRDefault="00BD6154" w:rsidP="00F26455">
      <w:pPr>
        <w:pStyle w:val="ListParagraph"/>
        <w:numPr>
          <w:ilvl w:val="0"/>
          <w:numId w:val="1"/>
        </w:numPr>
        <w:rPr>
          <w:rFonts w:ascii="Open Sans" w:hAnsi="Open Sans" w:cs="Open Sans"/>
          <w:lang w:val="en-US"/>
        </w:rPr>
      </w:pPr>
      <w:r w:rsidRPr="00BD6154">
        <w:rPr>
          <w:rFonts w:ascii="Open Sans" w:hAnsi="Open Sans" w:cs="Open Sans"/>
          <w:lang w:val="en-US"/>
        </w:rPr>
        <w:t>This should hopefully convey to you how I tend to (and advocate) the use of indicators.</w:t>
      </w:r>
    </w:p>
    <w:p w:rsidR="00BD6154" w:rsidRPr="00BD6154" w:rsidRDefault="00BD6154" w:rsidP="00F26455">
      <w:pPr>
        <w:pStyle w:val="ListParagraph"/>
        <w:numPr>
          <w:ilvl w:val="0"/>
          <w:numId w:val="1"/>
        </w:numPr>
        <w:rPr>
          <w:rFonts w:ascii="Open Sans" w:hAnsi="Open Sans" w:cs="Open Sans"/>
          <w:lang w:val="en-US"/>
        </w:rPr>
      </w:pPr>
      <w:r w:rsidRPr="00BD6154">
        <w:rPr>
          <w:rFonts w:ascii="Open Sans" w:hAnsi="Open Sans" w:cs="Open Sans"/>
          <w:lang w:val="en-US"/>
        </w:rPr>
        <w:t>When Indicators confirm, I increase my bet size, but when Indicators don’t confirm I still go ahead with my decision to buy, I scale down my bet size.</w:t>
      </w:r>
    </w:p>
    <w:p w:rsidR="00BD6154" w:rsidRPr="00BD6154" w:rsidRDefault="00BD6154" w:rsidP="00F26455">
      <w:pPr>
        <w:pStyle w:val="ListParagraph"/>
        <w:numPr>
          <w:ilvl w:val="0"/>
          <w:numId w:val="1"/>
        </w:numPr>
        <w:rPr>
          <w:rFonts w:ascii="Open Sans" w:hAnsi="Open Sans" w:cs="Open Sans"/>
          <w:lang w:val="en-US"/>
        </w:rPr>
      </w:pPr>
      <w:r w:rsidRPr="00BD6154">
        <w:rPr>
          <w:rFonts w:ascii="Open Sans" w:hAnsi="Open Sans" w:cs="Open Sans"/>
          <w:lang w:val="en-US"/>
        </w:rPr>
        <w:t>However, I would not do this with the first three checklist points. For example, if the low of the bullish hammer does not coincide in and around the support, I’ll really reconsider my plan to buy the stock; in fact, I may skip the opportunity, and look for another opportunity.</w:t>
      </w:r>
    </w:p>
    <w:p w:rsidR="00BD6154" w:rsidRPr="00BD6154" w:rsidRDefault="00BD6154" w:rsidP="00F26455">
      <w:pPr>
        <w:pStyle w:val="ListParagraph"/>
        <w:numPr>
          <w:ilvl w:val="0"/>
          <w:numId w:val="1"/>
        </w:numPr>
        <w:rPr>
          <w:rFonts w:ascii="Open Sans" w:hAnsi="Open Sans" w:cs="Open Sans"/>
          <w:lang w:val="en-US"/>
        </w:rPr>
      </w:pPr>
      <w:r w:rsidRPr="00BD6154">
        <w:rPr>
          <w:rFonts w:ascii="Open Sans" w:hAnsi="Open Sans" w:cs="Open Sans"/>
          <w:lang w:val="en-US"/>
        </w:rPr>
        <w:t>But I do not treat the indicators with the same conviction. It is always good to know what indicators convey, but I don’t base my decisions. If the indicators confirm, I increase the bet size; if they don’t, I still go ahead with my original game plan.</w:t>
      </w:r>
    </w:p>
    <w:p w:rsidR="002B7B34" w:rsidRDefault="002B7B34" w:rsidP="00953FB1">
      <w:pPr>
        <w:pStyle w:val="ListParagraph"/>
        <w:numPr>
          <w:ilvl w:val="0"/>
          <w:numId w:val="1"/>
        </w:numPr>
        <w:rPr>
          <w:rFonts w:ascii="Open Sans" w:hAnsi="Open Sans" w:cs="Open Sans"/>
          <w:lang w:val="en-US"/>
        </w:rPr>
      </w:pPr>
    </w:p>
    <w:p w:rsidR="00953FB1" w:rsidRDefault="00953FB1" w:rsidP="00873EC5">
      <w:pPr>
        <w:jc w:val="cente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66E72" w:rsidRPr="00963441" w:rsidRDefault="00F549F1" w:rsidP="00873EC5">
      <w:pPr>
        <w:jc w:val="cente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63441">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VWAP – Volume Weighted Average </w:t>
      </w:r>
      <w:r w:rsidR="00873EC5" w:rsidRPr="00963441">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Price</w:t>
      </w:r>
    </w:p>
    <w:p w:rsidR="00AC5E15" w:rsidRPr="00873EC5" w:rsidRDefault="00AC5E15" w:rsidP="00873EC5">
      <w:pPr>
        <w:jc w:val="center"/>
        <w:rPr>
          <w:rFonts w:ascii="Open Sans" w:hAnsi="Open Sans" w:cs="Open Sans"/>
          <w:color w:val="403152" w:themeColor="accent4" w:themeShade="80"/>
          <w:sz w:val="36"/>
          <w:lang w:val="en-US"/>
        </w:rPr>
      </w:pPr>
      <w:r w:rsidRPr="00AC5E15">
        <w:rPr>
          <w:rFonts w:ascii="Open Sans" w:hAnsi="Open Sans" w:cs="Open Sans"/>
          <w:noProof/>
          <w:color w:val="403152" w:themeColor="accent4" w:themeShade="80"/>
          <w:sz w:val="36"/>
          <w:lang w:eastAsia="en-IN"/>
        </w:rPr>
        <w:drawing>
          <wp:inline distT="0" distB="0" distL="0" distR="0" wp14:anchorId="27BD2B96" wp14:editId="24682FAD">
            <wp:extent cx="5731510" cy="231954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19547"/>
                    </a:xfrm>
                    <a:prstGeom prst="rect">
                      <a:avLst/>
                    </a:prstGeom>
                  </pic:spPr>
                </pic:pic>
              </a:graphicData>
            </a:graphic>
          </wp:inline>
        </w:drawing>
      </w:r>
    </w:p>
    <w:p w:rsidR="00D412DE" w:rsidRDefault="00D412DE" w:rsidP="00873EC5">
      <w:pPr>
        <w:pStyle w:val="ListParagraph"/>
        <w:numPr>
          <w:ilvl w:val="0"/>
          <w:numId w:val="1"/>
        </w:numPr>
        <w:rPr>
          <w:rFonts w:ascii="Open Sans" w:hAnsi="Open Sans" w:cs="Open Sans"/>
          <w:lang w:val="en-US"/>
        </w:rPr>
      </w:pPr>
      <w:r>
        <w:rPr>
          <w:rFonts w:ascii="Open Sans" w:hAnsi="Open Sans" w:cs="Open Sans"/>
          <w:lang w:val="en-US"/>
        </w:rPr>
        <w:t>It’s an volume weighted average price</w:t>
      </w:r>
    </w:p>
    <w:p w:rsidR="00F549F1" w:rsidRPr="00873EC5" w:rsidRDefault="00F549F1" w:rsidP="00873EC5">
      <w:pPr>
        <w:pStyle w:val="ListParagraph"/>
        <w:numPr>
          <w:ilvl w:val="0"/>
          <w:numId w:val="1"/>
        </w:numPr>
        <w:rPr>
          <w:rFonts w:ascii="Open Sans" w:hAnsi="Open Sans" w:cs="Open Sans"/>
          <w:lang w:val="en-US"/>
        </w:rPr>
      </w:pPr>
      <w:r w:rsidRPr="00873EC5">
        <w:rPr>
          <w:rFonts w:ascii="Open Sans" w:hAnsi="Open Sans" w:cs="Open Sans"/>
          <w:lang w:val="en-US"/>
        </w:rPr>
        <w:t>95% of price movement would be around 2 standard deviations.</w:t>
      </w:r>
    </w:p>
    <w:p w:rsidR="00F549F1" w:rsidRPr="00873EC5" w:rsidRDefault="0046144C" w:rsidP="00873EC5">
      <w:pPr>
        <w:pStyle w:val="ListParagraph"/>
        <w:numPr>
          <w:ilvl w:val="0"/>
          <w:numId w:val="1"/>
        </w:numPr>
        <w:rPr>
          <w:rFonts w:ascii="Open Sans" w:hAnsi="Open Sans" w:cs="Open Sans"/>
          <w:lang w:val="en-US"/>
        </w:rPr>
      </w:pPr>
      <w:r w:rsidRPr="00873EC5">
        <w:rPr>
          <w:rFonts w:ascii="Open Sans" w:hAnsi="Open Sans" w:cs="Open Sans"/>
          <w:lang w:val="en-US"/>
        </w:rPr>
        <w:lastRenderedPageBreak/>
        <w:t>If</w:t>
      </w:r>
      <w:r w:rsidR="00F549F1" w:rsidRPr="00873EC5">
        <w:rPr>
          <w:rFonts w:ascii="Open Sans" w:hAnsi="Open Sans" w:cs="Open Sans"/>
          <w:lang w:val="en-US"/>
        </w:rPr>
        <w:t xml:space="preserve"> the gap between</w:t>
      </w:r>
      <w:r w:rsidRPr="00873EC5">
        <w:rPr>
          <w:rFonts w:ascii="Open Sans" w:hAnsi="Open Sans" w:cs="Open Sans"/>
          <w:lang w:val="en-US"/>
        </w:rPr>
        <w:t xml:space="preserve"> price &amp; VWAP line increases then reversal movement is expected.</w:t>
      </w:r>
    </w:p>
    <w:p w:rsidR="0046144C" w:rsidRPr="00873EC5" w:rsidRDefault="00B8050D" w:rsidP="00873EC5">
      <w:pPr>
        <w:pStyle w:val="ListParagraph"/>
        <w:numPr>
          <w:ilvl w:val="0"/>
          <w:numId w:val="1"/>
        </w:numPr>
        <w:rPr>
          <w:rFonts w:ascii="Open Sans" w:hAnsi="Open Sans" w:cs="Open Sans"/>
          <w:lang w:val="en-US"/>
        </w:rPr>
      </w:pPr>
      <w:r w:rsidRPr="00873EC5">
        <w:rPr>
          <w:rFonts w:ascii="Open Sans" w:hAnsi="Open Sans" w:cs="Open Sans"/>
          <w:lang w:val="en-US"/>
        </w:rPr>
        <w:t>Price above VWAP shows bullishness &amp; price below VWAP indicates Bearishness</w:t>
      </w:r>
    </w:p>
    <w:p w:rsidR="00B8050D" w:rsidRPr="00873EC5" w:rsidRDefault="003B7F22" w:rsidP="00873EC5">
      <w:pPr>
        <w:pStyle w:val="ListParagraph"/>
        <w:numPr>
          <w:ilvl w:val="0"/>
          <w:numId w:val="1"/>
        </w:numPr>
        <w:rPr>
          <w:rFonts w:ascii="Open Sans" w:hAnsi="Open Sans" w:cs="Open Sans"/>
          <w:lang w:val="en-US"/>
        </w:rPr>
      </w:pPr>
      <w:r w:rsidRPr="00873EC5">
        <w:rPr>
          <w:rFonts w:ascii="Open Sans" w:hAnsi="Open Sans" w:cs="Open Sans"/>
          <w:lang w:val="en-US"/>
        </w:rPr>
        <w:t xml:space="preserve">VWAP on 1min, 2min, </w:t>
      </w:r>
      <w:r w:rsidR="00CA6DFE" w:rsidRPr="00873EC5">
        <w:rPr>
          <w:rFonts w:ascii="Open Sans" w:hAnsi="Open Sans" w:cs="Open Sans"/>
          <w:lang w:val="en-US"/>
        </w:rPr>
        <w:t>and 3min</w:t>
      </w:r>
      <w:r w:rsidRPr="00873EC5">
        <w:rPr>
          <w:rFonts w:ascii="Open Sans" w:hAnsi="Open Sans" w:cs="Open Sans"/>
          <w:lang w:val="en-US"/>
        </w:rPr>
        <w:t xml:space="preserve"> shows false signals. So never use them for these intervals</w:t>
      </w:r>
    </w:p>
    <w:p w:rsidR="00AE51A7" w:rsidRPr="00873EC5" w:rsidRDefault="00CA6DFE" w:rsidP="00873EC5">
      <w:pPr>
        <w:pStyle w:val="ListParagraph"/>
        <w:numPr>
          <w:ilvl w:val="0"/>
          <w:numId w:val="1"/>
        </w:numPr>
        <w:rPr>
          <w:rFonts w:ascii="Open Sans" w:hAnsi="Open Sans" w:cs="Open Sans"/>
          <w:lang w:val="en-US"/>
        </w:rPr>
      </w:pPr>
      <w:r w:rsidRPr="00873EC5">
        <w:rPr>
          <w:rFonts w:ascii="Open Sans" w:hAnsi="Open Sans" w:cs="Open Sans"/>
          <w:lang w:val="en-US"/>
        </w:rPr>
        <w:t>Best intervals for VWAP are 5, 10 &amp; 15 min</w:t>
      </w:r>
      <w:r w:rsidR="00F81312" w:rsidRPr="00873EC5">
        <w:rPr>
          <w:rFonts w:ascii="Open Sans" w:hAnsi="Open Sans" w:cs="Open Sans"/>
          <w:lang w:val="en-US"/>
        </w:rPr>
        <w:t>ute</w:t>
      </w:r>
      <w:r w:rsidRPr="00873EC5">
        <w:rPr>
          <w:rFonts w:ascii="Open Sans" w:hAnsi="Open Sans" w:cs="Open Sans"/>
          <w:lang w:val="en-US"/>
        </w:rPr>
        <w:t>s. Find the</w:t>
      </w:r>
      <w:r w:rsidR="00F81312" w:rsidRPr="00873EC5">
        <w:rPr>
          <w:rFonts w:ascii="Open Sans" w:hAnsi="Open Sans" w:cs="Open Sans"/>
          <w:lang w:val="en-US"/>
        </w:rPr>
        <w:t xml:space="preserve"> entry at the 10 minutes time frame &amp; trade on the 5 minutes candle.</w:t>
      </w:r>
    </w:p>
    <w:p w:rsidR="00CA6DFE" w:rsidRPr="00873EC5" w:rsidRDefault="00AE51A7" w:rsidP="00873EC5">
      <w:pPr>
        <w:pStyle w:val="ListParagraph"/>
        <w:numPr>
          <w:ilvl w:val="0"/>
          <w:numId w:val="1"/>
        </w:numPr>
        <w:rPr>
          <w:rFonts w:ascii="Open Sans" w:hAnsi="Open Sans" w:cs="Open Sans"/>
          <w:lang w:val="en-US"/>
        </w:rPr>
      </w:pPr>
      <w:r w:rsidRPr="00873EC5">
        <w:rPr>
          <w:rFonts w:ascii="Open Sans" w:hAnsi="Open Sans" w:cs="Open Sans"/>
          <w:lang w:val="en-US"/>
        </w:rPr>
        <w:t>Do Analysis on multiple time frames</w:t>
      </w:r>
      <w:r w:rsidR="00CA6DFE" w:rsidRPr="00873EC5">
        <w:rPr>
          <w:rFonts w:ascii="Open Sans" w:hAnsi="Open Sans" w:cs="Open Sans"/>
          <w:lang w:val="en-US"/>
        </w:rPr>
        <w:t xml:space="preserve"> </w:t>
      </w:r>
    </w:p>
    <w:p w:rsidR="00DF3032" w:rsidRDefault="00DF3032" w:rsidP="00873EC5">
      <w:pPr>
        <w:pStyle w:val="ListParagraph"/>
        <w:numPr>
          <w:ilvl w:val="0"/>
          <w:numId w:val="1"/>
        </w:numPr>
        <w:rPr>
          <w:rFonts w:ascii="Open Sans" w:hAnsi="Open Sans" w:cs="Open Sans"/>
          <w:lang w:val="en-US"/>
        </w:rPr>
      </w:pPr>
      <w:r w:rsidRPr="00873EC5">
        <w:rPr>
          <w:rFonts w:ascii="Open Sans" w:hAnsi="Open Sans" w:cs="Open Sans"/>
          <w:lang w:val="en-US"/>
        </w:rPr>
        <w:t>In VWAP understanding volume is important</w:t>
      </w:r>
    </w:p>
    <w:p w:rsidR="0004207D" w:rsidRDefault="0004207D" w:rsidP="00873EC5">
      <w:pPr>
        <w:pStyle w:val="ListParagraph"/>
        <w:numPr>
          <w:ilvl w:val="0"/>
          <w:numId w:val="1"/>
        </w:numPr>
        <w:rPr>
          <w:rFonts w:ascii="Open Sans" w:hAnsi="Open Sans" w:cs="Open Sans"/>
          <w:lang w:val="en-US"/>
        </w:rPr>
      </w:pPr>
      <w:r>
        <w:rPr>
          <w:rFonts w:ascii="Open Sans" w:hAnsi="Open Sans" w:cs="Open Sans"/>
          <w:lang w:val="en-US"/>
        </w:rPr>
        <w:t xml:space="preserve">We VWAP also </w:t>
      </w:r>
      <w:r w:rsidR="00154BA0">
        <w:rPr>
          <w:rFonts w:ascii="Open Sans" w:hAnsi="Open Sans" w:cs="Open Sans"/>
          <w:lang w:val="en-US"/>
        </w:rPr>
        <w:t>act</w:t>
      </w:r>
      <w:r>
        <w:rPr>
          <w:rFonts w:ascii="Open Sans" w:hAnsi="Open Sans" w:cs="Open Sans"/>
          <w:lang w:val="en-US"/>
        </w:rPr>
        <w:t xml:space="preserve"> as a support or resistance. When price is around the VWAP many traders wait for the signal that will take the support at the VWAP or resistance at the VWAP.</w:t>
      </w:r>
      <w:r w:rsidR="00275A08">
        <w:rPr>
          <w:rFonts w:ascii="Open Sans" w:hAnsi="Open Sans" w:cs="Open Sans"/>
          <w:lang w:val="en-US"/>
        </w:rPr>
        <w:t xml:space="preserve"> </w:t>
      </w:r>
    </w:p>
    <w:p w:rsidR="00275A08" w:rsidRDefault="00275A08" w:rsidP="00873EC5">
      <w:pPr>
        <w:pStyle w:val="ListParagraph"/>
        <w:numPr>
          <w:ilvl w:val="0"/>
          <w:numId w:val="1"/>
        </w:numPr>
        <w:rPr>
          <w:rFonts w:ascii="Open Sans" w:hAnsi="Open Sans" w:cs="Open Sans"/>
          <w:lang w:val="en-US"/>
        </w:rPr>
      </w:pPr>
      <w:r>
        <w:rPr>
          <w:rFonts w:ascii="Open Sans" w:hAnsi="Open Sans" w:cs="Open Sans"/>
          <w:lang w:val="en-US"/>
        </w:rPr>
        <w:t xml:space="preserve">Look for the bearish </w:t>
      </w:r>
      <w:r w:rsidR="00154BA0">
        <w:rPr>
          <w:rFonts w:ascii="Open Sans" w:hAnsi="Open Sans" w:cs="Open Sans"/>
          <w:lang w:val="en-US"/>
        </w:rPr>
        <w:t>(Bearish</w:t>
      </w:r>
      <w:r>
        <w:rPr>
          <w:rFonts w:ascii="Open Sans" w:hAnsi="Open Sans" w:cs="Open Sans"/>
          <w:lang w:val="en-US"/>
        </w:rPr>
        <w:t xml:space="preserve"> inverted Hammer or Bearish </w:t>
      </w:r>
      <w:r w:rsidR="00154BA0">
        <w:rPr>
          <w:rFonts w:ascii="Open Sans" w:hAnsi="Open Sans" w:cs="Open Sans"/>
          <w:lang w:val="en-US"/>
        </w:rPr>
        <w:t>Engulfing) or</w:t>
      </w:r>
      <w:r>
        <w:rPr>
          <w:rFonts w:ascii="Open Sans" w:hAnsi="Open Sans" w:cs="Open Sans"/>
          <w:lang w:val="en-US"/>
        </w:rPr>
        <w:t xml:space="preserve"> the bullish candlestick patterns (</w:t>
      </w:r>
      <w:r w:rsidR="00DD0B82">
        <w:rPr>
          <w:rFonts w:ascii="Open Sans" w:hAnsi="Open Sans" w:cs="Open Sans"/>
          <w:lang w:val="en-US"/>
        </w:rPr>
        <w:t>Hanging</w:t>
      </w:r>
      <w:r>
        <w:rPr>
          <w:rFonts w:ascii="Open Sans" w:hAnsi="Open Sans" w:cs="Open Sans"/>
          <w:lang w:val="en-US"/>
        </w:rPr>
        <w:t xml:space="preserve"> man or Bullish Engulfing)</w:t>
      </w:r>
      <w:r w:rsidR="00F10C0B">
        <w:rPr>
          <w:rFonts w:ascii="Open Sans" w:hAnsi="Open Sans" w:cs="Open Sans"/>
          <w:lang w:val="en-US"/>
        </w:rPr>
        <w:t xml:space="preserve"> at the VWAP that indicates that you will likely to see bearish or bullish trend.</w:t>
      </w:r>
    </w:p>
    <w:p w:rsidR="00090DF7" w:rsidRDefault="00090DF7" w:rsidP="00873EC5">
      <w:pPr>
        <w:pStyle w:val="ListParagraph"/>
        <w:numPr>
          <w:ilvl w:val="0"/>
          <w:numId w:val="1"/>
        </w:numPr>
        <w:rPr>
          <w:rFonts w:ascii="Open Sans" w:hAnsi="Open Sans" w:cs="Open Sans"/>
          <w:lang w:val="en-US"/>
        </w:rPr>
      </w:pPr>
      <w:r>
        <w:rPr>
          <w:rFonts w:ascii="Open Sans" w:hAnsi="Open Sans" w:cs="Open Sans"/>
          <w:lang w:val="en-US"/>
        </w:rPr>
        <w:t xml:space="preserve">If price is above VWAP that means buyers strength is more compared to sellers. </w:t>
      </w:r>
    </w:p>
    <w:p w:rsidR="00090DF7" w:rsidRDefault="00090DF7" w:rsidP="00873EC5">
      <w:pPr>
        <w:pStyle w:val="ListParagraph"/>
        <w:numPr>
          <w:ilvl w:val="0"/>
          <w:numId w:val="1"/>
        </w:numPr>
        <w:rPr>
          <w:rFonts w:ascii="Open Sans" w:hAnsi="Open Sans" w:cs="Open Sans"/>
          <w:lang w:val="en-US"/>
        </w:rPr>
      </w:pPr>
      <w:r>
        <w:rPr>
          <w:rFonts w:ascii="Open Sans" w:hAnsi="Open Sans" w:cs="Open Sans"/>
          <w:lang w:val="en-US"/>
        </w:rPr>
        <w:t>Similarly, if price is below VWAP that means we have more sellers compared to buyers.</w:t>
      </w:r>
    </w:p>
    <w:p w:rsidR="00D412DE" w:rsidRDefault="00A349B3" w:rsidP="00873EC5">
      <w:pPr>
        <w:pStyle w:val="ListParagraph"/>
        <w:numPr>
          <w:ilvl w:val="0"/>
          <w:numId w:val="1"/>
        </w:numPr>
        <w:rPr>
          <w:rFonts w:ascii="Open Sans" w:hAnsi="Open Sans" w:cs="Open Sans"/>
          <w:lang w:val="en-US"/>
        </w:rPr>
      </w:pPr>
      <w:r>
        <w:rPr>
          <w:rFonts w:ascii="Open Sans" w:hAnsi="Open Sans" w:cs="Open Sans"/>
          <w:lang w:val="en-US"/>
        </w:rPr>
        <w:t>So we can use VWAP also to find out who are more active buyers or sellers.</w:t>
      </w:r>
    </w:p>
    <w:p w:rsidR="00515DF7" w:rsidRDefault="00515DF7" w:rsidP="00873EC5">
      <w:pPr>
        <w:pStyle w:val="ListParagraph"/>
        <w:numPr>
          <w:ilvl w:val="0"/>
          <w:numId w:val="1"/>
        </w:numPr>
        <w:rPr>
          <w:rFonts w:ascii="Open Sans" w:hAnsi="Open Sans" w:cs="Open Sans"/>
          <w:lang w:val="en-US"/>
        </w:rPr>
      </w:pPr>
      <w:r>
        <w:rPr>
          <w:rFonts w:ascii="Open Sans" w:hAnsi="Open Sans" w:cs="Open Sans"/>
          <w:lang w:val="en-US"/>
        </w:rPr>
        <w:t>Try to take trade near VWAP line not when price is far from VWAP as it might break or reversal etc. If VWAP line &amp; support or resistance are near to each other or coinciding that might be a very good signal for a put or a call trade.</w:t>
      </w:r>
      <w:r w:rsidR="00A22465">
        <w:rPr>
          <w:rFonts w:ascii="Open Sans" w:hAnsi="Open Sans" w:cs="Open Sans"/>
          <w:lang w:val="en-US"/>
        </w:rPr>
        <w:t xml:space="preserve"> If you take the trade near to VWAP line your stop loss will be very small. </w:t>
      </w:r>
      <w:r w:rsidR="00DA6974">
        <w:rPr>
          <w:rFonts w:ascii="Open Sans" w:hAnsi="Open Sans" w:cs="Open Sans"/>
          <w:lang w:val="en-US"/>
        </w:rPr>
        <w:t xml:space="preserve">So you can easily take the risk compared to when price &amp; VWAP line are far &amp; there your stop loss has to be very big. </w:t>
      </w:r>
      <w:r w:rsidR="004F1080">
        <w:rPr>
          <w:rFonts w:ascii="Open Sans" w:hAnsi="Open Sans" w:cs="Open Sans"/>
          <w:lang w:val="en-US"/>
        </w:rPr>
        <w:t>If it got triggered you might face big loss.</w:t>
      </w:r>
    </w:p>
    <w:p w:rsidR="002E1E7C" w:rsidRPr="00953FB1" w:rsidRDefault="00963441" w:rsidP="00873EC5">
      <w:pPr>
        <w:pStyle w:val="ListParagraph"/>
        <w:numPr>
          <w:ilvl w:val="0"/>
          <w:numId w:val="1"/>
        </w:numPr>
        <w:rPr>
          <w:rFonts w:ascii="Open Sans" w:hAnsi="Open Sans" w:cs="Open Sans"/>
          <w:highlight w:val="yellow"/>
          <w:lang w:val="en-US"/>
        </w:rPr>
      </w:pPr>
      <w:r w:rsidRPr="00953FB1">
        <w:rPr>
          <w:rFonts w:ascii="Open Sans" w:hAnsi="Open Sans" w:cs="Open Sans"/>
          <w:highlight w:val="yellow"/>
          <w:lang w:val="en-US"/>
        </w:rPr>
        <w:t>Some more points to be added later.</w:t>
      </w:r>
    </w:p>
    <w:p w:rsidR="00963441" w:rsidRDefault="00963441" w:rsidP="00963441">
      <w:pPr>
        <w:jc w:val="cente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63441">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Bollinger Band</w:t>
      </w:r>
    </w:p>
    <w:p w:rsidR="00963441" w:rsidRDefault="00963441" w:rsidP="00963441">
      <w:pPr>
        <w:pStyle w:val="ListParagraph"/>
        <w:numPr>
          <w:ilvl w:val="0"/>
          <w:numId w:val="1"/>
        </w:numPr>
        <w:rPr>
          <w:rFonts w:ascii="Open Sans" w:hAnsi="Open Sans" w:cs="Open Sans"/>
          <w:lang w:val="en-US"/>
        </w:rPr>
      </w:pPr>
      <w:r>
        <w:rPr>
          <w:rFonts w:ascii="Open Sans" w:hAnsi="Open Sans" w:cs="Open Sans"/>
          <w:lang w:val="en-US"/>
        </w:rPr>
        <w:t xml:space="preserve">It’s </w:t>
      </w:r>
      <w:r>
        <w:rPr>
          <w:rFonts w:ascii="Open Sans" w:hAnsi="Open Sans" w:cs="Open Sans"/>
          <w:lang w:val="en-US"/>
        </w:rPr>
        <w:t>the most used technical indicator.</w:t>
      </w:r>
    </w:p>
    <w:p w:rsidR="00963441" w:rsidRDefault="00963441" w:rsidP="00963441">
      <w:pPr>
        <w:pStyle w:val="ListParagraph"/>
        <w:numPr>
          <w:ilvl w:val="0"/>
          <w:numId w:val="1"/>
        </w:numPr>
        <w:rPr>
          <w:rFonts w:ascii="Open Sans" w:hAnsi="Open Sans" w:cs="Open Sans"/>
          <w:lang w:val="en-US"/>
        </w:rPr>
      </w:pPr>
      <w:r>
        <w:rPr>
          <w:rFonts w:ascii="Open Sans" w:hAnsi="Open Sans" w:cs="Open Sans"/>
          <w:lang w:val="en-US"/>
        </w:rPr>
        <w:t>It is used to determine overbought &amp; oversold levels, where a trader will try to sell when the price reaches the top of the band &amp; will execute a buy when the prices reaches the bottom of the band.</w:t>
      </w:r>
    </w:p>
    <w:p w:rsidR="00963441" w:rsidRDefault="00963441" w:rsidP="00963441">
      <w:pPr>
        <w:pStyle w:val="ListParagraph"/>
        <w:numPr>
          <w:ilvl w:val="0"/>
          <w:numId w:val="1"/>
        </w:numPr>
        <w:rPr>
          <w:rFonts w:ascii="Open Sans" w:hAnsi="Open Sans" w:cs="Open Sans"/>
          <w:lang w:val="en-US"/>
        </w:rPr>
      </w:pPr>
      <w:r>
        <w:rPr>
          <w:rFonts w:ascii="Open Sans" w:hAnsi="Open Sans" w:cs="Open Sans"/>
          <w:lang w:val="en-US"/>
        </w:rPr>
        <w:t xml:space="preserve">It has 3 components – </w:t>
      </w:r>
    </w:p>
    <w:p w:rsidR="00963441" w:rsidRDefault="00963441" w:rsidP="00963441">
      <w:pPr>
        <w:pStyle w:val="ListParagraph"/>
        <w:numPr>
          <w:ilvl w:val="1"/>
          <w:numId w:val="1"/>
        </w:numPr>
        <w:rPr>
          <w:rFonts w:ascii="Open Sans" w:hAnsi="Open Sans" w:cs="Open Sans"/>
          <w:lang w:val="en-US"/>
        </w:rPr>
      </w:pPr>
      <w:r>
        <w:rPr>
          <w:rFonts w:ascii="Open Sans" w:hAnsi="Open Sans" w:cs="Open Sans"/>
          <w:lang w:val="en-US"/>
        </w:rPr>
        <w:t>Middle Line – It’s the 20 day Simple Moving Average of the closing price</w:t>
      </w:r>
    </w:p>
    <w:p w:rsidR="00963441" w:rsidRDefault="00963441" w:rsidP="00963441">
      <w:pPr>
        <w:pStyle w:val="ListParagraph"/>
        <w:numPr>
          <w:ilvl w:val="1"/>
          <w:numId w:val="1"/>
        </w:numPr>
        <w:rPr>
          <w:rFonts w:ascii="Open Sans" w:hAnsi="Open Sans" w:cs="Open Sans"/>
          <w:lang w:val="en-US"/>
        </w:rPr>
      </w:pPr>
      <w:r>
        <w:rPr>
          <w:rFonts w:ascii="Open Sans" w:hAnsi="Open Sans" w:cs="Open Sans"/>
          <w:lang w:val="en-US"/>
        </w:rPr>
        <w:t>Upper Band – It’s a + 2 Standard Deviations of the middle line</w:t>
      </w:r>
    </w:p>
    <w:p w:rsidR="00963441" w:rsidRDefault="00963441" w:rsidP="00963441">
      <w:pPr>
        <w:pStyle w:val="ListParagraph"/>
        <w:numPr>
          <w:ilvl w:val="1"/>
          <w:numId w:val="1"/>
        </w:numPr>
        <w:rPr>
          <w:rFonts w:ascii="Open Sans" w:hAnsi="Open Sans" w:cs="Open Sans"/>
          <w:lang w:val="en-US"/>
        </w:rPr>
      </w:pPr>
      <w:r>
        <w:rPr>
          <w:rFonts w:ascii="Open Sans" w:hAnsi="Open Sans" w:cs="Open Sans"/>
          <w:lang w:val="en-US"/>
        </w:rPr>
        <w:t>Lower Band – it’s a - 2 Standard Deviations of the middle line</w:t>
      </w:r>
    </w:p>
    <w:p w:rsidR="00963441" w:rsidRDefault="00963441" w:rsidP="00963441">
      <w:pPr>
        <w:pStyle w:val="ListParagraph"/>
        <w:numPr>
          <w:ilvl w:val="0"/>
          <w:numId w:val="1"/>
        </w:numPr>
        <w:rPr>
          <w:rFonts w:ascii="Open Sans" w:hAnsi="Open Sans" w:cs="Open Sans"/>
          <w:lang w:val="en-US"/>
        </w:rPr>
      </w:pPr>
      <w:r w:rsidRPr="00963441">
        <w:rPr>
          <w:rFonts w:ascii="Open Sans" w:hAnsi="Open Sans" w:cs="Open Sans"/>
          <w:lang w:val="en-US"/>
        </w:rPr>
        <w:t xml:space="preserve">Standard Deviation – Variance from its average. In finance standard deviation of the stock price represents volatility of the stock. For e.g. If </w:t>
      </w:r>
      <w:r>
        <w:rPr>
          <w:rFonts w:ascii="Open Sans" w:hAnsi="Open Sans" w:cs="Open Sans"/>
          <w:lang w:val="en-US"/>
        </w:rPr>
        <w:t>standard deviation is</w:t>
      </w:r>
      <w:r w:rsidRPr="00963441">
        <w:rPr>
          <w:rFonts w:ascii="Open Sans" w:hAnsi="Open Sans" w:cs="Open Sans"/>
          <w:lang w:val="en-US"/>
        </w:rPr>
        <w:t xml:space="preserve">12% </w:t>
      </w:r>
      <w:r>
        <w:rPr>
          <w:rFonts w:ascii="Open Sans" w:hAnsi="Open Sans" w:cs="Open Sans"/>
          <w:lang w:val="en-US"/>
        </w:rPr>
        <w:t>, it is good as saying that the stocks volatility is 12%</w:t>
      </w:r>
    </w:p>
    <w:p w:rsidR="00327343" w:rsidRDefault="00327343" w:rsidP="00963441">
      <w:pPr>
        <w:pStyle w:val="ListParagraph"/>
        <w:numPr>
          <w:ilvl w:val="0"/>
          <w:numId w:val="1"/>
        </w:numPr>
        <w:rPr>
          <w:rFonts w:ascii="Open Sans" w:hAnsi="Open Sans" w:cs="Open Sans"/>
          <w:lang w:val="en-US"/>
        </w:rPr>
      </w:pPr>
      <w:r>
        <w:rPr>
          <w:rFonts w:ascii="Open Sans" w:hAnsi="Open Sans" w:cs="Open Sans"/>
          <w:lang w:val="en-US"/>
        </w:rPr>
        <w:lastRenderedPageBreak/>
        <w:t>Ballinger Band works well in the sideways markets but fails in a trending market.</w:t>
      </w:r>
    </w:p>
    <w:p w:rsidR="00953FB1" w:rsidRDefault="00953FB1" w:rsidP="00953FB1">
      <w:pPr>
        <w:rPr>
          <w:rFonts w:ascii="Open Sans" w:hAnsi="Open Sans" w:cs="Open Sans"/>
          <w:lang w:val="en-US"/>
        </w:rPr>
      </w:pPr>
      <w:r>
        <w:rPr>
          <w:noProof/>
          <w:lang w:eastAsia="en-IN"/>
        </w:rPr>
        <w:drawing>
          <wp:inline distT="0" distB="0" distL="0" distR="0">
            <wp:extent cx="5731510" cy="2104302"/>
            <wp:effectExtent l="0" t="0" r="2540" b="0"/>
            <wp:docPr id="2" name="Picture 2" descr="M2-Ch15-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Ch15-Char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4302"/>
                    </a:xfrm>
                    <a:prstGeom prst="rect">
                      <a:avLst/>
                    </a:prstGeom>
                    <a:noFill/>
                    <a:ln>
                      <a:noFill/>
                    </a:ln>
                  </pic:spPr>
                </pic:pic>
              </a:graphicData>
            </a:graphic>
          </wp:inline>
        </w:drawing>
      </w:r>
    </w:p>
    <w:p w:rsidR="00953FB1" w:rsidRDefault="00953FB1" w:rsidP="00953FB1">
      <w:pPr>
        <w:rPr>
          <w:rFonts w:ascii="Open Sans" w:hAnsi="Open Sans" w:cs="Open Sans"/>
          <w:lang w:val="en-US"/>
        </w:rPr>
      </w:pPr>
    </w:p>
    <w:p w:rsidR="00953FB1" w:rsidRPr="00953FB1" w:rsidRDefault="00953FB1" w:rsidP="00953FB1">
      <w:pPr>
        <w:pStyle w:val="ListParagraph"/>
        <w:numPr>
          <w:ilvl w:val="0"/>
          <w:numId w:val="1"/>
        </w:numPr>
        <w:rPr>
          <w:rFonts w:ascii="Open Sans" w:hAnsi="Open Sans" w:cs="Open Sans"/>
          <w:lang w:val="en-US"/>
        </w:rPr>
      </w:pPr>
      <w:r w:rsidRPr="00953FB1">
        <w:rPr>
          <w:rFonts w:ascii="Open Sans" w:hAnsi="Open Sans" w:cs="Open Sans"/>
          <w:lang w:val="en-US"/>
        </w:rPr>
        <w:t>The central black line is the 20 day SMA. The two red lines placed above and below the black like are the +2 SD and -2SD. The idea is to short the stock when the price touches the upper band, expecting it to revert to average. Likewise, one can go long when the price touches the lower band, expecting it to revert to the average.</w:t>
      </w:r>
    </w:p>
    <w:p w:rsidR="00953FB1" w:rsidRPr="00953FB1" w:rsidRDefault="00953FB1" w:rsidP="00953FB1">
      <w:pPr>
        <w:pStyle w:val="ListParagraph"/>
        <w:numPr>
          <w:ilvl w:val="0"/>
          <w:numId w:val="1"/>
        </w:numPr>
        <w:rPr>
          <w:rFonts w:ascii="Open Sans" w:hAnsi="Open Sans" w:cs="Open Sans"/>
          <w:lang w:val="en-US"/>
        </w:rPr>
      </w:pPr>
      <w:r w:rsidRPr="00953FB1">
        <w:rPr>
          <w:rFonts w:ascii="Open Sans" w:hAnsi="Open Sans" w:cs="Open Sans"/>
          <w:lang w:val="en-US"/>
        </w:rPr>
        <w:t>I have highlighted using a down arrow all the sell signals BB generated, while most of the signals worked quite well, there was a phase when the price stuck to the upper band. In fact, the price continued to drift higher, and therefore even the upper band expanded. This is called an envelope expansion.</w:t>
      </w:r>
    </w:p>
    <w:p w:rsidR="00953FB1" w:rsidRPr="00953FB1" w:rsidRDefault="00953FB1" w:rsidP="00953FB1">
      <w:pPr>
        <w:pStyle w:val="ListParagraph"/>
        <w:numPr>
          <w:ilvl w:val="0"/>
          <w:numId w:val="1"/>
        </w:numPr>
        <w:rPr>
          <w:rFonts w:ascii="Open Sans" w:hAnsi="Open Sans" w:cs="Open Sans"/>
          <w:lang w:val="en-US"/>
        </w:rPr>
      </w:pPr>
      <w:r w:rsidRPr="00953FB1">
        <w:rPr>
          <w:rFonts w:ascii="Open Sans" w:hAnsi="Open Sans" w:cs="Open Sans"/>
          <w:lang w:val="en-US"/>
        </w:rPr>
        <w:t>The BB’s upper and lower band together forms an envelope. The envelope expands, whenever the price drifts in a particular direction, indicating strong momentum. The BB signal fails when there is an envelope expansion. This leads us to an important conclusion; BB works well in sideways markets and fails in a trending market.</w:t>
      </w:r>
    </w:p>
    <w:p w:rsidR="00953FB1" w:rsidRDefault="00953FB1" w:rsidP="00953FB1">
      <w:pPr>
        <w:pStyle w:val="ListParagraph"/>
        <w:numPr>
          <w:ilvl w:val="0"/>
          <w:numId w:val="1"/>
        </w:numPr>
        <w:rPr>
          <w:rFonts w:ascii="Open Sans" w:hAnsi="Open Sans" w:cs="Open Sans"/>
          <w:lang w:val="en-US"/>
        </w:rPr>
      </w:pPr>
      <w:r w:rsidRPr="00953FB1">
        <w:rPr>
          <w:rFonts w:ascii="Open Sans" w:hAnsi="Open Sans" w:cs="Open Sans"/>
          <w:lang w:val="en-US"/>
        </w:rPr>
        <w:t>Whenever I use BB, I expect the trade to start working in my favour almost immediately. If it does not, I start validating the possibility of an envelope expansion.</w:t>
      </w:r>
    </w:p>
    <w:p w:rsidR="00643843" w:rsidRDefault="00643843" w:rsidP="00643843">
      <w:pPr>
        <w:jc w:val="cente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ATR - </w:t>
      </w:r>
      <w:r w:rsidRPr="00643843">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Average True Range</w:t>
      </w:r>
    </w:p>
    <w:p w:rsidR="00643843" w:rsidRDefault="00643843" w:rsidP="00643843">
      <w:pPr>
        <w:pStyle w:val="ListParagraph"/>
        <w:numPr>
          <w:ilvl w:val="0"/>
          <w:numId w:val="1"/>
        </w:numPr>
        <w:rPr>
          <w:rFonts w:ascii="Open Sans" w:hAnsi="Open Sans" w:cs="Open Sans"/>
          <w:lang w:val="en-US"/>
        </w:rPr>
      </w:pPr>
      <w:r>
        <w:rPr>
          <w:rFonts w:ascii="Open Sans" w:hAnsi="Open Sans" w:cs="Open Sans"/>
          <w:lang w:val="en-US"/>
        </w:rPr>
        <w:t xml:space="preserve">It’s the </w:t>
      </w:r>
      <w:r w:rsidR="00C22010">
        <w:rPr>
          <w:rFonts w:ascii="Open Sans" w:hAnsi="Open Sans" w:cs="Open Sans"/>
          <w:lang w:val="en-US"/>
        </w:rPr>
        <w:t>Volatility indicator</w:t>
      </w:r>
    </w:p>
    <w:p w:rsidR="00C22010" w:rsidRDefault="001E55D7" w:rsidP="00643843">
      <w:pPr>
        <w:pStyle w:val="ListParagraph"/>
        <w:numPr>
          <w:ilvl w:val="0"/>
          <w:numId w:val="1"/>
        </w:numPr>
        <w:rPr>
          <w:rFonts w:ascii="Open Sans" w:hAnsi="Open Sans" w:cs="Open Sans"/>
          <w:lang w:val="en-US"/>
        </w:rPr>
      </w:pPr>
      <w:r>
        <w:rPr>
          <w:rFonts w:ascii="Open Sans" w:hAnsi="Open Sans" w:cs="Open Sans"/>
          <w:lang w:val="en-US"/>
        </w:rPr>
        <w:t>It measures volatility, taking into account any gaps in the price movement.</w:t>
      </w:r>
    </w:p>
    <w:p w:rsidR="00BA318C" w:rsidRDefault="00BA318C" w:rsidP="00643843">
      <w:pPr>
        <w:pStyle w:val="ListParagraph"/>
        <w:numPr>
          <w:ilvl w:val="0"/>
          <w:numId w:val="1"/>
        </w:numPr>
        <w:rPr>
          <w:rFonts w:ascii="Open Sans" w:hAnsi="Open Sans" w:cs="Open Sans"/>
          <w:lang w:val="en-US"/>
        </w:rPr>
      </w:pPr>
      <w:r>
        <w:rPr>
          <w:rFonts w:ascii="Open Sans" w:hAnsi="Open Sans" w:cs="Open Sans"/>
          <w:lang w:val="en-US"/>
        </w:rPr>
        <w:t>ATR focuses on the total price movement &amp; conveys how wildly the market is swinging as it moves. It takes into account the price movement in each period by considering the following ranges.</w:t>
      </w:r>
    </w:p>
    <w:p w:rsidR="00BA318C" w:rsidRDefault="00BA318C" w:rsidP="00BA318C">
      <w:pPr>
        <w:pStyle w:val="ListParagraph"/>
        <w:numPr>
          <w:ilvl w:val="1"/>
          <w:numId w:val="1"/>
        </w:numPr>
        <w:rPr>
          <w:rFonts w:ascii="Open Sans" w:hAnsi="Open Sans" w:cs="Open Sans"/>
          <w:lang w:val="en-US"/>
        </w:rPr>
      </w:pPr>
      <w:r>
        <w:rPr>
          <w:rFonts w:ascii="Open Sans" w:hAnsi="Open Sans" w:cs="Open Sans"/>
          <w:lang w:val="en-US"/>
        </w:rPr>
        <w:t>Difference between High &amp; Low of each period</w:t>
      </w:r>
    </w:p>
    <w:p w:rsidR="00BA318C" w:rsidRDefault="00BA318C" w:rsidP="00BA318C">
      <w:pPr>
        <w:pStyle w:val="ListParagraph"/>
        <w:numPr>
          <w:ilvl w:val="1"/>
          <w:numId w:val="1"/>
        </w:numPr>
        <w:rPr>
          <w:rFonts w:ascii="Open Sans" w:hAnsi="Open Sans" w:cs="Open Sans"/>
          <w:lang w:val="en-US"/>
        </w:rPr>
      </w:pPr>
      <w:r>
        <w:rPr>
          <w:rFonts w:ascii="Open Sans" w:hAnsi="Open Sans" w:cs="Open Sans"/>
          <w:lang w:val="en-US"/>
        </w:rPr>
        <w:t>Difference between High &amp; previous period’s Close</w:t>
      </w:r>
    </w:p>
    <w:p w:rsidR="00BA318C" w:rsidRDefault="00BA318C" w:rsidP="00BA318C">
      <w:pPr>
        <w:pStyle w:val="ListParagraph"/>
        <w:numPr>
          <w:ilvl w:val="1"/>
          <w:numId w:val="1"/>
        </w:numPr>
        <w:rPr>
          <w:rFonts w:ascii="Open Sans" w:hAnsi="Open Sans" w:cs="Open Sans"/>
          <w:lang w:val="en-US"/>
        </w:rPr>
      </w:pPr>
      <w:r>
        <w:rPr>
          <w:rFonts w:ascii="Open Sans" w:hAnsi="Open Sans" w:cs="Open Sans"/>
          <w:lang w:val="en-US"/>
        </w:rPr>
        <w:lastRenderedPageBreak/>
        <w:t>Difference between Low &amp; previous period’s Close</w:t>
      </w:r>
    </w:p>
    <w:p w:rsidR="00BA318C" w:rsidRDefault="00BA318C" w:rsidP="00BA318C">
      <w:pPr>
        <w:pStyle w:val="ListParagraph"/>
        <w:numPr>
          <w:ilvl w:val="0"/>
          <w:numId w:val="1"/>
        </w:numPr>
        <w:rPr>
          <w:rFonts w:ascii="Open Sans" w:hAnsi="Open Sans" w:cs="Open Sans"/>
          <w:lang w:val="en-US"/>
        </w:rPr>
      </w:pPr>
      <w:r>
        <w:rPr>
          <w:rFonts w:ascii="Open Sans" w:hAnsi="Open Sans" w:cs="Open Sans"/>
          <w:lang w:val="en-US"/>
        </w:rPr>
        <w:t>Traders use Bollinger Band &amp; ATR in conjunction as they approach volatility differently &amp; are complimentary.</w:t>
      </w:r>
      <w:bookmarkStart w:id="0" w:name="_GoBack"/>
      <w:bookmarkEnd w:id="0"/>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ATR calculation is based on 14 periods, which can be intraday, daily, weekly or monthly. You can change it to the value you wish.</w:t>
      </w:r>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To measure recent volatility use shorter average such as 2 to 10 periods</w:t>
      </w:r>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For longer volatility use 25 to 50 periods</w:t>
      </w:r>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It is not upper or lower bound &amp; hence can take any value</w:t>
      </w:r>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ATR is stock specific, for one stock it can be 2 &amp; for another it can be 150</w:t>
      </w:r>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ATR can be used to identify stop loss as well</w:t>
      </w:r>
    </w:p>
    <w:p w:rsidR="001E55D7" w:rsidRDefault="001E55D7" w:rsidP="00643843">
      <w:pPr>
        <w:pStyle w:val="ListParagraph"/>
        <w:numPr>
          <w:ilvl w:val="0"/>
          <w:numId w:val="1"/>
        </w:numPr>
        <w:rPr>
          <w:rFonts w:ascii="Open Sans" w:hAnsi="Open Sans" w:cs="Open Sans"/>
          <w:lang w:val="en-US"/>
        </w:rPr>
      </w:pPr>
      <w:r>
        <w:rPr>
          <w:rFonts w:ascii="Open Sans" w:hAnsi="Open Sans" w:cs="Open Sans"/>
          <w:lang w:val="en-US"/>
        </w:rPr>
        <w:t>ATR of a stock is 48 means that the stock is likely to move 48 points up or down on average. You can add this to the current day’s range to estimate the day’s range.</w:t>
      </w:r>
    </w:p>
    <w:p w:rsidR="00780BA9" w:rsidRPr="00780BA9" w:rsidRDefault="00780BA9" w:rsidP="00780BA9">
      <w:pPr>
        <w:pStyle w:val="ListParagraph"/>
        <w:numPr>
          <w:ilvl w:val="0"/>
          <w:numId w:val="1"/>
        </w:numPr>
        <w:rPr>
          <w:rFonts w:ascii="Open Sans" w:hAnsi="Open Sans" w:cs="Open Sans"/>
          <w:lang w:val="en-US"/>
        </w:rPr>
      </w:pPr>
      <w:r w:rsidRPr="00780BA9">
        <w:rPr>
          <w:rFonts w:ascii="Open Sans" w:hAnsi="Open Sans" w:cs="Open Sans"/>
          <w:lang w:val="en-US"/>
        </w:rPr>
        <w:t>If the ATR of a stock is 48, then it means that the stock is likely to move 48 points either ways up or down on average. You can add this to the current day’s range to estimate the day’s range. For example, the stock price is 1320; then the stock is likely to trade between 1320 – 48 = 1272 and 1320 + 48 = 1368</w:t>
      </w:r>
    </w:p>
    <w:p w:rsidR="00780BA9" w:rsidRPr="00780BA9" w:rsidRDefault="00780BA9" w:rsidP="00780BA9">
      <w:pPr>
        <w:pStyle w:val="ListParagraph"/>
        <w:numPr>
          <w:ilvl w:val="0"/>
          <w:numId w:val="1"/>
        </w:numPr>
        <w:rPr>
          <w:rFonts w:ascii="Open Sans" w:hAnsi="Open Sans" w:cs="Open Sans"/>
          <w:lang w:val="en-US"/>
        </w:rPr>
      </w:pPr>
      <w:r w:rsidRPr="00780BA9">
        <w:rPr>
          <w:rFonts w:ascii="Open Sans" w:hAnsi="Open Sans" w:cs="Open Sans"/>
          <w:lang w:val="en-US"/>
        </w:rPr>
        <w:t>If the ATR for the next day decreases to say 40, then it means that the volatility is decreasing, and so is the expected range for the day.</w:t>
      </w:r>
    </w:p>
    <w:p w:rsidR="00780BA9" w:rsidRPr="00780BA9" w:rsidRDefault="00780BA9" w:rsidP="00780BA9">
      <w:pPr>
        <w:pStyle w:val="ListParagraph"/>
        <w:numPr>
          <w:ilvl w:val="0"/>
          <w:numId w:val="1"/>
        </w:numPr>
        <w:rPr>
          <w:rFonts w:ascii="Open Sans" w:hAnsi="Open Sans" w:cs="Open Sans"/>
          <w:lang w:val="en-US"/>
        </w:rPr>
      </w:pPr>
      <w:r w:rsidRPr="00780BA9">
        <w:rPr>
          <w:rFonts w:ascii="Open Sans" w:hAnsi="Open Sans" w:cs="Open Sans"/>
          <w:lang w:val="en-US"/>
        </w:rPr>
        <w:t>It is best to use ATR to identify the volatility-based SL while trading. Assume you have initiated a long trade on the stock at 1325, then your SL should be at least 1272 or below since the ATR is 48</w:t>
      </w:r>
    </w:p>
    <w:p w:rsidR="00780BA9" w:rsidRPr="00780BA9" w:rsidRDefault="00780BA9" w:rsidP="00780BA9">
      <w:pPr>
        <w:pStyle w:val="ListParagraph"/>
        <w:numPr>
          <w:ilvl w:val="0"/>
          <w:numId w:val="1"/>
        </w:numPr>
        <w:rPr>
          <w:rFonts w:ascii="Open Sans" w:hAnsi="Open Sans" w:cs="Open Sans"/>
          <w:lang w:val="en-US"/>
        </w:rPr>
      </w:pPr>
      <w:r w:rsidRPr="00780BA9">
        <w:rPr>
          <w:rFonts w:ascii="Open Sans" w:hAnsi="Open Sans" w:cs="Open Sans"/>
          <w:lang w:val="en-US"/>
        </w:rPr>
        <w:t>Likewise, if you have initiated a short at 1320, then your stop</w:t>
      </w:r>
      <w:r w:rsidR="00E34644">
        <w:rPr>
          <w:rFonts w:ascii="Open Sans" w:hAnsi="Open Sans" w:cs="Open Sans"/>
          <w:lang w:val="en-US"/>
        </w:rPr>
        <w:t xml:space="preserve"> </w:t>
      </w:r>
      <w:r w:rsidRPr="00780BA9">
        <w:rPr>
          <w:rFonts w:ascii="Open Sans" w:hAnsi="Open Sans" w:cs="Open Sans"/>
          <w:lang w:val="en-US"/>
        </w:rPr>
        <w:t>loss should be at least 1368 or above.</w:t>
      </w:r>
    </w:p>
    <w:p w:rsidR="00780BA9" w:rsidRDefault="00780BA9" w:rsidP="00780BA9">
      <w:pPr>
        <w:pStyle w:val="ListParagraph"/>
        <w:numPr>
          <w:ilvl w:val="0"/>
          <w:numId w:val="1"/>
        </w:numPr>
        <w:rPr>
          <w:rFonts w:ascii="Open Sans" w:hAnsi="Open Sans" w:cs="Open Sans"/>
          <w:lang w:val="en-US"/>
        </w:rPr>
      </w:pPr>
      <w:r w:rsidRPr="00780BA9">
        <w:rPr>
          <w:rFonts w:ascii="Open Sans" w:hAnsi="Open Sans" w:cs="Open Sans"/>
          <w:lang w:val="en-US"/>
        </w:rPr>
        <w:t>If these SL levels are outside your risk to reward appetite, then its best to avoid such trade.</w:t>
      </w:r>
    </w:p>
    <w:p w:rsidR="00E34644" w:rsidRDefault="00E34644" w:rsidP="00E34644">
      <w:pPr>
        <w:rPr>
          <w:rFonts w:ascii="Open Sans" w:hAnsi="Open Sans" w:cs="Open Sans"/>
          <w:lang w:val="en-US"/>
        </w:rPr>
      </w:pPr>
      <w:r>
        <w:rPr>
          <w:noProof/>
          <w:lang w:eastAsia="en-IN"/>
        </w:rPr>
        <w:lastRenderedPageBreak/>
        <w:drawing>
          <wp:inline distT="0" distB="0" distL="0" distR="0">
            <wp:extent cx="5731510" cy="3163906"/>
            <wp:effectExtent l="0" t="0" r="2540" b="0"/>
            <wp:docPr id="3" name="Picture 3" descr="Image 9_ATR_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9_ATR_cre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3906"/>
                    </a:xfrm>
                    <a:prstGeom prst="rect">
                      <a:avLst/>
                    </a:prstGeom>
                    <a:noFill/>
                    <a:ln>
                      <a:noFill/>
                    </a:ln>
                  </pic:spPr>
                </pic:pic>
              </a:graphicData>
            </a:graphic>
          </wp:inline>
        </w:drawing>
      </w:r>
    </w:p>
    <w:p w:rsidR="00D54CD9" w:rsidRDefault="00D54CD9" w:rsidP="00E34644">
      <w:pPr>
        <w:rPr>
          <w:rFonts w:ascii="Open Sans" w:hAnsi="Open Sans" w:cs="Open Sans"/>
          <w:lang w:val="en-US"/>
        </w:rPr>
      </w:pPr>
    </w:p>
    <w:p w:rsidR="00D54CD9" w:rsidRPr="00D54CD9" w:rsidRDefault="00D54CD9" w:rsidP="00D54CD9">
      <w:pPr>
        <w:jc w:val="center"/>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54CD9">
        <w:rPr>
          <w:rFonts w:ascii="Open Sans" w:hAnsi="Open Sans" w:cs="Open Sans"/>
          <w:b/>
          <w:caps/>
          <w:color w:val="403152" w:themeColor="accent4" w:themeShade="80"/>
          <w:sz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Average True Range Band</w:t>
      </w:r>
    </w:p>
    <w:p w:rsidR="00D54CD9" w:rsidRPr="00D54CD9" w:rsidRDefault="00D54CD9" w:rsidP="00D54CD9">
      <w:pPr>
        <w:spacing w:after="225" w:line="240" w:lineRule="auto"/>
        <w:rPr>
          <w:rFonts w:ascii="Arial" w:eastAsia="Times New Roman" w:hAnsi="Arial" w:cs="Arial"/>
          <w:color w:val="666666"/>
          <w:sz w:val="24"/>
          <w:szCs w:val="24"/>
          <w:lang w:eastAsia="en-IN"/>
        </w:rPr>
      </w:pPr>
      <w:r w:rsidRPr="00D54CD9">
        <w:rPr>
          <w:rFonts w:ascii="Open Sans" w:hAnsi="Open Sans" w:cs="Open Sans"/>
          <w:lang w:val="en-US"/>
        </w:rPr>
        <w:t>The ATR bands are an extension of the ATR concept. The idea is to plot an envelope around the stock price to evaluate if the stock prices are behaving</w:t>
      </w:r>
      <w:r w:rsidRPr="00D54CD9">
        <w:rPr>
          <w:rFonts w:ascii="Arial" w:eastAsia="Times New Roman" w:hAnsi="Arial" w:cs="Arial"/>
          <w:color w:val="666666"/>
          <w:sz w:val="24"/>
          <w:szCs w:val="24"/>
          <w:lang w:eastAsia="en-IN"/>
        </w:rPr>
        <w:t xml:space="preserve"> </w:t>
      </w:r>
      <w:r w:rsidRPr="00D54CD9">
        <w:rPr>
          <w:rFonts w:ascii="Open Sans" w:hAnsi="Open Sans" w:cs="Open Sans"/>
          <w:lang w:val="en-US"/>
        </w:rPr>
        <w:t>“normally” or trending in a particular direction. To do this, the ATR band calculates the upper and lower band.</w:t>
      </w:r>
    </w:p>
    <w:p w:rsidR="00D54CD9" w:rsidRPr="00D54CD9" w:rsidRDefault="00D54CD9" w:rsidP="00D54CD9">
      <w:pPr>
        <w:spacing w:after="225" w:line="240" w:lineRule="auto"/>
        <w:rPr>
          <w:rFonts w:ascii="Arial" w:eastAsia="Times New Roman" w:hAnsi="Arial" w:cs="Arial"/>
          <w:color w:val="666666"/>
          <w:sz w:val="24"/>
          <w:szCs w:val="24"/>
          <w:lang w:eastAsia="en-IN"/>
        </w:rPr>
      </w:pPr>
      <w:r w:rsidRPr="00D54CD9">
        <w:rPr>
          <w:rFonts w:ascii="Arial" w:eastAsia="Times New Roman" w:hAnsi="Arial" w:cs="Arial"/>
          <w:b/>
          <w:bCs/>
          <w:color w:val="666666"/>
          <w:sz w:val="24"/>
          <w:szCs w:val="24"/>
          <w:lang w:eastAsia="en-IN"/>
        </w:rPr>
        <w:t>What should you know?</w:t>
      </w:r>
    </w:p>
    <w:p w:rsidR="00D54CD9" w:rsidRPr="00D54CD9" w:rsidRDefault="00D54CD9" w:rsidP="00D54CD9">
      <w:pPr>
        <w:pStyle w:val="ListParagraph"/>
        <w:numPr>
          <w:ilvl w:val="0"/>
          <w:numId w:val="1"/>
        </w:numPr>
        <w:rPr>
          <w:rFonts w:ascii="Open Sans" w:hAnsi="Open Sans" w:cs="Open Sans"/>
          <w:lang w:val="en-US"/>
        </w:rPr>
      </w:pPr>
      <w:r w:rsidRPr="00D54CD9">
        <w:rPr>
          <w:rFonts w:ascii="Open Sans" w:hAnsi="Open Sans" w:cs="Open Sans"/>
          <w:lang w:val="en-US"/>
        </w:rPr>
        <w:t>The ATR band calculates and plots the upper and lower envelope around the stock price.</w:t>
      </w:r>
    </w:p>
    <w:p w:rsidR="00D54CD9" w:rsidRPr="00D54CD9" w:rsidRDefault="00D54CD9" w:rsidP="00D54CD9">
      <w:pPr>
        <w:pStyle w:val="ListParagraph"/>
        <w:numPr>
          <w:ilvl w:val="0"/>
          <w:numId w:val="1"/>
        </w:numPr>
        <w:rPr>
          <w:rFonts w:ascii="Open Sans" w:hAnsi="Open Sans" w:cs="Open Sans"/>
          <w:lang w:val="en-US"/>
        </w:rPr>
      </w:pPr>
      <w:r w:rsidRPr="00D54CD9">
        <w:rPr>
          <w:rFonts w:ascii="Open Sans" w:hAnsi="Open Sans" w:cs="Open Sans"/>
          <w:lang w:val="en-US"/>
        </w:rPr>
        <w:t>To begin with, a moving average of the stock price is calculated.</w:t>
      </w:r>
    </w:p>
    <w:p w:rsidR="00D54CD9" w:rsidRPr="00D54CD9" w:rsidRDefault="00D54CD9" w:rsidP="00D54CD9">
      <w:pPr>
        <w:pStyle w:val="ListParagraph"/>
        <w:numPr>
          <w:ilvl w:val="0"/>
          <w:numId w:val="1"/>
        </w:numPr>
        <w:rPr>
          <w:rFonts w:ascii="Open Sans" w:hAnsi="Open Sans" w:cs="Open Sans"/>
          <w:lang w:val="en-US"/>
        </w:rPr>
      </w:pPr>
      <w:r w:rsidRPr="00D54CD9">
        <w:rPr>
          <w:rFonts w:ascii="Open Sans" w:hAnsi="Open Sans" w:cs="Open Sans"/>
          <w:lang w:val="en-US"/>
        </w:rPr>
        <w:t>The ATR value is added to the moving average value, and this forms the upper envelope.</w:t>
      </w:r>
    </w:p>
    <w:p w:rsidR="00D54CD9" w:rsidRPr="00D54CD9" w:rsidRDefault="00D54CD9" w:rsidP="00D54CD9">
      <w:pPr>
        <w:pStyle w:val="ListParagraph"/>
        <w:numPr>
          <w:ilvl w:val="0"/>
          <w:numId w:val="1"/>
        </w:numPr>
        <w:rPr>
          <w:rFonts w:ascii="Open Sans" w:hAnsi="Open Sans" w:cs="Open Sans"/>
          <w:lang w:val="en-US"/>
        </w:rPr>
      </w:pPr>
      <w:r w:rsidRPr="00D54CD9">
        <w:rPr>
          <w:rFonts w:ascii="Open Sans" w:hAnsi="Open Sans" w:cs="Open Sans"/>
          <w:lang w:val="en-US"/>
        </w:rPr>
        <w:t>The ATR value is subtracted to the moving average value, and this forms the lower envelope.</w:t>
      </w:r>
    </w:p>
    <w:p w:rsidR="00D54CD9" w:rsidRPr="00D54CD9" w:rsidRDefault="00D54CD9" w:rsidP="00D54CD9">
      <w:pPr>
        <w:pStyle w:val="ListParagraph"/>
        <w:numPr>
          <w:ilvl w:val="0"/>
          <w:numId w:val="1"/>
        </w:numPr>
        <w:rPr>
          <w:rFonts w:ascii="Open Sans" w:hAnsi="Open Sans" w:cs="Open Sans"/>
          <w:lang w:val="en-US"/>
        </w:rPr>
      </w:pPr>
      <w:r w:rsidRPr="00D54CD9">
        <w:rPr>
          <w:rFonts w:ascii="Open Sans" w:hAnsi="Open Sans" w:cs="Open Sans"/>
          <w:lang w:val="en-US"/>
        </w:rPr>
        <w:t>If the stock price penetrates either the upper or lower envelop, the expectation is that the stock price will continue to move in the same direction. For example, if the stock price has penetrated above the upper envelop, the expectation is that the stock will continue to move higher.</w:t>
      </w:r>
    </w:p>
    <w:p w:rsidR="00D54CD9" w:rsidRPr="00D54CD9" w:rsidRDefault="00D54CD9" w:rsidP="00D54CD9">
      <w:pPr>
        <w:pStyle w:val="ListParagraph"/>
        <w:numPr>
          <w:ilvl w:val="0"/>
          <w:numId w:val="1"/>
        </w:numPr>
        <w:rPr>
          <w:rFonts w:ascii="Open Sans" w:hAnsi="Open Sans" w:cs="Open Sans"/>
          <w:lang w:val="en-US"/>
        </w:rPr>
      </w:pPr>
      <w:r w:rsidRPr="00D54CD9">
        <w:rPr>
          <w:rFonts w:ascii="Open Sans" w:hAnsi="Open Sans" w:cs="Open Sans"/>
          <w:lang w:val="en-US"/>
        </w:rPr>
        <w:t>You can even use the ATR bands as an alternative to the Bollinger Bands trading system. You can read more about the </w:t>
      </w:r>
      <w:hyperlink r:id="rId9" w:tgtFrame="_blank" w:history="1">
        <w:r w:rsidRPr="00D54CD9">
          <w:rPr>
            <w:rFonts w:ascii="Open Sans" w:hAnsi="Open Sans" w:cs="Open Sans"/>
            <w:lang w:val="en-US"/>
          </w:rPr>
          <w:t>Bollinger Band (section 15.2)</w:t>
        </w:r>
      </w:hyperlink>
    </w:p>
    <w:p w:rsidR="00D54CD9" w:rsidRPr="00E34644" w:rsidRDefault="00D54CD9" w:rsidP="00E34644">
      <w:pPr>
        <w:rPr>
          <w:rFonts w:ascii="Open Sans" w:hAnsi="Open Sans" w:cs="Open Sans"/>
          <w:lang w:val="en-US"/>
        </w:rPr>
      </w:pPr>
    </w:p>
    <w:p w:rsidR="00953FB1" w:rsidRPr="00D54CD9" w:rsidRDefault="00F716A7" w:rsidP="00D54CD9">
      <w:pPr>
        <w:rPr>
          <w:rFonts w:ascii="Open Sans" w:hAnsi="Open Sans" w:cs="Open Sans"/>
          <w:lang w:val="en-US"/>
        </w:rPr>
      </w:pPr>
      <w:r>
        <w:rPr>
          <w:noProof/>
          <w:lang w:eastAsia="en-IN"/>
        </w:rPr>
        <w:lastRenderedPageBreak/>
        <w:drawing>
          <wp:inline distT="0" distB="0" distL="0" distR="0">
            <wp:extent cx="5731510" cy="2209911"/>
            <wp:effectExtent l="0" t="0" r="2540" b="0"/>
            <wp:docPr id="4" name="Picture 4" descr="Image 11_ATRbands_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11_ATRbands_cre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09911"/>
                    </a:xfrm>
                    <a:prstGeom prst="rect">
                      <a:avLst/>
                    </a:prstGeom>
                    <a:noFill/>
                    <a:ln>
                      <a:noFill/>
                    </a:ln>
                  </pic:spPr>
                </pic:pic>
              </a:graphicData>
            </a:graphic>
          </wp:inline>
        </w:drawing>
      </w:r>
    </w:p>
    <w:sectPr w:rsidR="00953FB1" w:rsidRPr="00D54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D5"/>
    <w:multiLevelType w:val="multilevel"/>
    <w:tmpl w:val="BAEA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F2D2C"/>
    <w:multiLevelType w:val="hybridMultilevel"/>
    <w:tmpl w:val="522CF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BF39A9"/>
    <w:multiLevelType w:val="multilevel"/>
    <w:tmpl w:val="734C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A01B11"/>
    <w:multiLevelType w:val="multilevel"/>
    <w:tmpl w:val="2B3E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506751"/>
    <w:multiLevelType w:val="multilevel"/>
    <w:tmpl w:val="79784E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C52885"/>
    <w:multiLevelType w:val="multilevel"/>
    <w:tmpl w:val="79784E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041180"/>
    <w:multiLevelType w:val="multilevel"/>
    <w:tmpl w:val="2EB89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174"/>
    <w:rsid w:val="0004207D"/>
    <w:rsid w:val="00090DF7"/>
    <w:rsid w:val="00154BA0"/>
    <w:rsid w:val="001B13EE"/>
    <w:rsid w:val="001E55D7"/>
    <w:rsid w:val="00266E72"/>
    <w:rsid w:val="00275A08"/>
    <w:rsid w:val="002B7B34"/>
    <w:rsid w:val="002E1E7C"/>
    <w:rsid w:val="002E5DB5"/>
    <w:rsid w:val="00327343"/>
    <w:rsid w:val="003B7F22"/>
    <w:rsid w:val="0046144C"/>
    <w:rsid w:val="004F1080"/>
    <w:rsid w:val="00515DF7"/>
    <w:rsid w:val="00643843"/>
    <w:rsid w:val="00780BA9"/>
    <w:rsid w:val="00873EC5"/>
    <w:rsid w:val="00953FB1"/>
    <w:rsid w:val="00963441"/>
    <w:rsid w:val="00A22465"/>
    <w:rsid w:val="00A349B3"/>
    <w:rsid w:val="00AC5E15"/>
    <w:rsid w:val="00AE51A7"/>
    <w:rsid w:val="00B8050D"/>
    <w:rsid w:val="00BA318C"/>
    <w:rsid w:val="00BD6154"/>
    <w:rsid w:val="00C22010"/>
    <w:rsid w:val="00CA6DFE"/>
    <w:rsid w:val="00D412DE"/>
    <w:rsid w:val="00D54CD9"/>
    <w:rsid w:val="00D76174"/>
    <w:rsid w:val="00DA6974"/>
    <w:rsid w:val="00DD0B82"/>
    <w:rsid w:val="00DF3032"/>
    <w:rsid w:val="00E34644"/>
    <w:rsid w:val="00F10C0B"/>
    <w:rsid w:val="00F26455"/>
    <w:rsid w:val="00F458F4"/>
    <w:rsid w:val="00F549F1"/>
    <w:rsid w:val="00F716A7"/>
    <w:rsid w:val="00F81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61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EC5"/>
    <w:pPr>
      <w:ind w:left="720"/>
      <w:contextualSpacing/>
    </w:pPr>
  </w:style>
  <w:style w:type="paragraph" w:styleId="BalloonText">
    <w:name w:val="Balloon Text"/>
    <w:basedOn w:val="Normal"/>
    <w:link w:val="BalloonTextChar"/>
    <w:uiPriority w:val="99"/>
    <w:semiHidden/>
    <w:unhideWhenUsed/>
    <w:rsid w:val="00AC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E15"/>
    <w:rPr>
      <w:rFonts w:ascii="Tahoma" w:hAnsi="Tahoma" w:cs="Tahoma"/>
      <w:sz w:val="16"/>
      <w:szCs w:val="16"/>
    </w:rPr>
  </w:style>
  <w:style w:type="paragraph" w:styleId="NormalWeb">
    <w:name w:val="Normal (Web)"/>
    <w:basedOn w:val="Normal"/>
    <w:uiPriority w:val="99"/>
    <w:semiHidden/>
    <w:unhideWhenUsed/>
    <w:rsid w:val="00953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615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80B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61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EC5"/>
    <w:pPr>
      <w:ind w:left="720"/>
      <w:contextualSpacing/>
    </w:pPr>
  </w:style>
  <w:style w:type="paragraph" w:styleId="BalloonText">
    <w:name w:val="Balloon Text"/>
    <w:basedOn w:val="Normal"/>
    <w:link w:val="BalloonTextChar"/>
    <w:uiPriority w:val="99"/>
    <w:semiHidden/>
    <w:unhideWhenUsed/>
    <w:rsid w:val="00AC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E15"/>
    <w:rPr>
      <w:rFonts w:ascii="Tahoma" w:hAnsi="Tahoma" w:cs="Tahoma"/>
      <w:sz w:val="16"/>
      <w:szCs w:val="16"/>
    </w:rPr>
  </w:style>
  <w:style w:type="paragraph" w:styleId="NormalWeb">
    <w:name w:val="Normal (Web)"/>
    <w:basedOn w:val="Normal"/>
    <w:uiPriority w:val="99"/>
    <w:semiHidden/>
    <w:unhideWhenUsed/>
    <w:rsid w:val="00953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615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80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8827">
      <w:bodyDiv w:val="1"/>
      <w:marLeft w:val="0"/>
      <w:marRight w:val="0"/>
      <w:marTop w:val="0"/>
      <w:marBottom w:val="0"/>
      <w:divBdr>
        <w:top w:val="none" w:sz="0" w:space="0" w:color="auto"/>
        <w:left w:val="none" w:sz="0" w:space="0" w:color="auto"/>
        <w:bottom w:val="none" w:sz="0" w:space="0" w:color="auto"/>
        <w:right w:val="none" w:sz="0" w:space="0" w:color="auto"/>
      </w:divBdr>
    </w:div>
    <w:div w:id="1254506721">
      <w:bodyDiv w:val="1"/>
      <w:marLeft w:val="0"/>
      <w:marRight w:val="0"/>
      <w:marTop w:val="0"/>
      <w:marBottom w:val="0"/>
      <w:divBdr>
        <w:top w:val="none" w:sz="0" w:space="0" w:color="auto"/>
        <w:left w:val="none" w:sz="0" w:space="0" w:color="auto"/>
        <w:bottom w:val="none" w:sz="0" w:space="0" w:color="auto"/>
        <w:right w:val="none" w:sz="0" w:space="0" w:color="auto"/>
      </w:divBdr>
    </w:div>
    <w:div w:id="1288047284">
      <w:bodyDiv w:val="1"/>
      <w:marLeft w:val="0"/>
      <w:marRight w:val="0"/>
      <w:marTop w:val="0"/>
      <w:marBottom w:val="0"/>
      <w:divBdr>
        <w:top w:val="none" w:sz="0" w:space="0" w:color="auto"/>
        <w:left w:val="none" w:sz="0" w:space="0" w:color="auto"/>
        <w:bottom w:val="none" w:sz="0" w:space="0" w:color="auto"/>
        <w:right w:val="none" w:sz="0" w:space="0" w:color="auto"/>
      </w:divBdr>
    </w:div>
    <w:div w:id="1749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zerodha.com/varsity/chapter/indicators-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7</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2023-05-10T13:22:00Z</dcterms:created>
  <dcterms:modified xsi:type="dcterms:W3CDTF">2023-05-30T16:42:00Z</dcterms:modified>
</cp:coreProperties>
</file>