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after="0"/>
      </w:pPr>
    </w:p>
    <w:p>
      <w:pPr>
        <w:spacing w:after="0"/>
        <w:jc w:val="center"/>
      </w:pPr>
      <w:r>
        <w:rPr>
          <w:rFonts w:ascii="Georgia" w:cs="Georgia" w:eastAsia="Georgia" w:hAnsi="Georgia"/>
          <w:color w:val="313131"/>
          <w:sz w:val="72"/>
          <w:szCs w:val="72"/>
        </w:rPr>
        <w:t xml:space="preserve">S</w:t>
      </w:r>
    </w:p>
    <w:p>
      <w:pPr>
        <w:spacing w:before="200" w:after="0"/>
      </w:pPr>
    </w:p>
    <w:p>
      <w:pPr>
        <w:spacing w:after="0"/>
        <w:jc w:val="center"/>
      </w:pPr>
      <w:r>
        <w:rPr>
          <w:rFonts w:ascii="Arial" w:cs="Arial" w:eastAsia="Arial" w:hAnsi="Arial"/>
          <w:b/>
          <w:bCs/>
          <w:color w:val="313131"/>
          <w:spacing w:val="200"/>
          <w:sz w:val="40"/>
          <w:szCs w:val="40"/>
        </w:rPr>
        <w:t xml:space="preserve">SOLANKI CO</w:t>
      </w:r>
    </w:p>
    <w:p>
      <w:pPr>
        <w:pBdr>
          <w:bottom w:val="single" w:color="D4C4B0" w:sz="4" w:space="8"/>
        </w:pBdr>
        <w:spacing w:before="200" w:after="0"/>
        <w:jc w:val="center"/>
      </w:pPr>
    </w:p>
    <w:p>
      <w:pPr>
        <w:spacing w:before="400" w:after="0"/>
      </w:pPr>
    </w:p>
    <w:p>
      <w:pPr>
        <w:spacing w:after="80"/>
        <w:jc w:val="center"/>
      </w:pPr>
      <w:r>
        <w:rPr>
          <w:rFonts w:ascii="Arial" w:cs="Arial" w:eastAsia="Arial" w:hAnsi="Arial"/>
          <w:b/>
          <w:bCs/>
          <w:color w:val="313131"/>
          <w:spacing w:val="120"/>
          <w:sz w:val="32"/>
          <w:szCs w:val="32"/>
        </w:rPr>
        <w:t xml:space="preserve">EXECUTION PLAYBOOK</w:t>
      </w:r>
    </w:p>
    <w:p>
      <w:pPr>
        <w:spacing w:after="0"/>
        <w:jc w:val="center"/>
      </w:pPr>
      <w:r>
        <w:rPr>
          <w:rFonts w:ascii="Arial" w:cs="Arial" w:eastAsia="Arial" w:hAnsi="Arial"/>
          <w:color w:val="786E64"/>
          <w:sz w:val="22"/>
          <w:szCs w:val="22"/>
        </w:rPr>
        <w:t xml:space="preserve">10-Step Action Plan for Each Pillar</w:t>
      </w:r>
    </w:p>
    <w:p>
      <w:pPr>
        <w:spacing w:before="1600" w:after="0"/>
      </w:pPr>
    </w:p>
    <w:p>
      <w:pPr>
        <w:spacing w:after="40"/>
        <w:jc w:val="center"/>
      </w:pPr>
      <w:r>
        <w:rPr>
          <w:rFonts w:ascii="Arial" w:cs="Arial" w:eastAsia="Arial" w:hAnsi="Arial"/>
          <w:color w:val="D4C4B0"/>
          <w:spacing w:val="100"/>
          <w:sz w:val="16"/>
          <w:szCs w:val="16"/>
        </w:rPr>
        <w:t xml:space="preserve">CONFIDENTIAL</w:t>
      </w:r>
    </w:p>
    <w:p>
      <w:pPr>
        <w:spacing w:after="40"/>
        <w:jc w:val="center"/>
      </w:pPr>
      <w:r>
        <w:rPr>
          <w:rFonts w:ascii="Arial" w:cs="Arial" w:eastAsia="Arial" w:hAnsi="Arial"/>
          <w:color w:val="786E64"/>
          <w:sz w:val="18"/>
          <w:szCs w:val="18"/>
        </w:rPr>
        <w:t xml:space="preserve">Prepared for Nitin Solanki</w:t>
      </w:r>
    </w:p>
    <w:p>
      <w:pPr>
        <w:jc w:val="center"/>
      </w:pPr>
      <w:r>
        <w:rPr>
          <w:rFonts w:ascii="Arial" w:cs="Arial" w:eastAsia="Arial" w:hAnsi="Arial"/>
          <w:color w:val="786E64"/>
          <w:sz w:val="18"/>
          <w:szCs w:val="18"/>
        </w:rPr>
        <w:t xml:space="preserve">February 2026</w:t>
      </w:r>
    </w:p>
    <w:p>
      <w:r>
        <w:br w:type="page"/>
      </w:r>
    </w:p>
    <w:p>
      <w:pPr>
        <w:spacing w:before="400" w:after="80"/>
      </w:pPr>
      <w:r>
        <w:rPr>
          <w:rFonts w:ascii="Arial" w:cs="Arial" w:eastAsia="Arial" w:hAnsi="Arial"/>
          <w:b/>
          <w:bCs/>
          <w:color w:val="313131"/>
          <w:spacing w:val="80"/>
          <w:sz w:val="26"/>
          <w:szCs w:val="26"/>
        </w:rPr>
        <w:t xml:space="preserve">HOW TO USE THIS DOCUMENT</w:t>
      </w:r>
    </w:p>
    <w:p>
      <w:pPr>
        <w:pBdr>
          <w:bottom w:val="single" w:color="D4C4B0" w:sz="4" w:space="1"/>
        </w:pBdr>
        <w:spacing w:before="0" w:after="200"/>
      </w:pPr>
    </w:p>
    <w:p>
      <w:pPr>
        <w:spacing w:after="200"/>
      </w:pPr>
      <w:r>
        <w:rPr>
          <w:rFonts w:ascii="Arial" w:cs="Arial" w:eastAsia="Arial" w:hAnsi="Arial"/>
          <w:color w:val="786E64"/>
          <w:sz w:val="20"/>
          <w:szCs w:val="20"/>
        </w:rPr>
        <w:t xml:space="preserve">This playbook translates the six pillars of Solanki Co from vision into action. Each pillar has a 10-step execution plan designed to move from zero to operational within 12 months.</w:t>
      </w:r>
    </w:p>
    <w:p>
      <w:pPr>
        <w:spacing w:after="200"/>
      </w:pPr>
      <w:r>
        <w:rPr>
          <w:rFonts w:ascii="Arial" w:cs="Arial" w:eastAsia="Arial" w:hAnsi="Arial"/>
          <w:color w:val="786E64"/>
          <w:sz w:val="20"/>
          <w:szCs w:val="20"/>
        </w:rPr>
        <w:t xml:space="preserve">Every step includes a clear action, specific details on what to do, and a target timeline. Steps are sequenced intentionally — earlier steps create the foundation for later ones. Some steps across pillars can run in parallel.</w:t>
      </w:r>
    </w:p>
    <w:p>
      <w:pPr>
        <w:spacing w:after="200"/>
      </w:pPr>
      <w:r>
        <w:rPr>
          <w:rFonts w:ascii="Arial" w:cs="Arial" w:eastAsia="Arial" w:hAnsi="Arial"/>
          <w:color w:val="786E64"/>
          <w:sz w:val="20"/>
          <w:szCs w:val="20"/>
        </w:rPr>
        <w:t xml:space="preserve">The timelines assume you are actively working across all six pillars simultaneously, prioritizing Foundation and Capital as the anchors, with Advisory, Digital, Studios, and Travel building around them.</w:t>
      </w:r>
    </w:p>
    <w:p>
      <w:pPr>
        <w:spacing w:after="200"/>
      </w:pPr>
      <w:r>
        <w:rPr>
          <w:rFonts w:ascii="Arial" w:cs="Arial" w:eastAsia="Arial" w:hAnsi="Arial"/>
          <w:b/>
          <w:bCs/>
          <w:color w:val="313131"/>
          <w:sz w:val="20"/>
          <w:szCs w:val="20"/>
        </w:rPr>
        <w:t xml:space="preserve">Recommended priority order: </w:t>
      </w:r>
      <w:r>
        <w:rPr>
          <w:rFonts w:ascii="Arial" w:cs="Arial" w:eastAsia="Arial" w:hAnsi="Arial"/>
          <w:color w:val="786E64"/>
          <w:sz w:val="20"/>
          <w:szCs w:val="20"/>
        </w:rPr>
        <w:t xml:space="preserve">Foundation + Capital (core identity and revenue) → Studios + Digital (content engine and productized services) → Advisory + Travel (relationship-driven, can scale later).</w:t>
      </w:r>
    </w:p>
    <w:p>
      <w:r>
        <w:br w:type="page"/>
      </w:r>
    </w:p>
    <w:p>
      <w:pPr>
        <w:spacing w:before="400" w:after="80"/>
      </w:pPr>
      <w:r>
        <w:rPr>
          <w:rFonts w:ascii="Arial" w:cs="Arial" w:eastAsia="Arial" w:hAnsi="Arial"/>
          <w:b/>
          <w:bCs/>
          <w:color w:val="313131"/>
          <w:spacing w:val="80"/>
          <w:sz w:val="26"/>
          <w:szCs w:val="26"/>
        </w:rPr>
        <w:t xml:space="preserve">THE SIX PILLARS</w:t>
      </w:r>
    </w:p>
    <w:p>
      <w:pPr>
        <w:pBdr>
          <w:bottom w:val="single" w:color="D4C4B0" w:sz="4" w:space="1"/>
        </w:pBdr>
        <w:spacing w:before="0" w:after="200"/>
      </w:pPr>
    </w:p>
    <w:p>
      <w:pPr>
        <w:spacing w:before="160" w:after="40"/>
      </w:pPr>
      <w:r>
        <w:rPr>
          <w:rFonts w:ascii="Arial" w:cs="Arial" w:eastAsia="Arial" w:hAnsi="Arial"/>
          <w:b/>
          <w:bCs/>
          <w:color w:val="D4C4B0"/>
          <w:sz w:val="22"/>
          <w:szCs w:val="22"/>
        </w:rPr>
        <w:t xml:space="preserve">1. </w:t>
      </w:r>
      <w:r>
        <w:rPr>
          <w:rFonts w:ascii="Arial" w:cs="Arial" w:eastAsia="Arial" w:hAnsi="Arial"/>
          <w:b/>
          <w:bCs/>
          <w:color w:val="313131"/>
          <w:sz w:val="22"/>
          <w:szCs w:val="22"/>
        </w:rPr>
        <w:t xml:space="preserve">The Solanki Foundation</w:t>
      </w:r>
    </w:p>
    <w:p>
      <w:pPr>
        <w:spacing w:after="80"/>
        <w:ind w:left="360"/>
      </w:pPr>
      <w:r>
        <w:rPr>
          <w:rFonts w:ascii="Arial" w:cs="Arial" w:eastAsia="Arial" w:hAnsi="Arial"/>
          <w:i/>
          <w:iCs/>
          <w:color w:val="786E64"/>
          <w:sz w:val="18"/>
          <w:szCs w:val="18"/>
        </w:rPr>
        <w:t xml:space="preserve">Supporting South Asian women impacted by relationship trauma through culturally competent mental health resources, community, and pathways to stability.</w:t>
      </w:r>
    </w:p>
    <w:p>
      <w:pPr>
        <w:spacing w:before="160" w:after="40"/>
      </w:pPr>
      <w:r>
        <w:rPr>
          <w:rFonts w:ascii="Arial" w:cs="Arial" w:eastAsia="Arial" w:hAnsi="Arial"/>
          <w:b/>
          <w:bCs/>
          <w:color w:val="D4C4B0"/>
          <w:sz w:val="22"/>
          <w:szCs w:val="22"/>
        </w:rPr>
        <w:t xml:space="preserve">2. </w:t>
      </w:r>
      <w:r>
        <w:rPr>
          <w:rFonts w:ascii="Arial" w:cs="Arial" w:eastAsia="Arial" w:hAnsi="Arial"/>
          <w:b/>
          <w:bCs/>
          <w:color w:val="313131"/>
          <w:sz w:val="22"/>
          <w:szCs w:val="22"/>
        </w:rPr>
        <w:t xml:space="preserve">Mora Sol Capital</w:t>
      </w:r>
    </w:p>
    <w:p>
      <w:pPr>
        <w:spacing w:after="80"/>
        <w:ind w:left="360"/>
      </w:pPr>
      <w:r>
        <w:rPr>
          <w:rFonts w:ascii="Arial" w:cs="Arial" w:eastAsia="Arial" w:hAnsi="Arial"/>
          <w:i/>
          <w:iCs/>
          <w:color w:val="786E64"/>
          <w:sz w:val="18"/>
          <w:szCs w:val="18"/>
        </w:rPr>
        <w:t xml:space="preserve">Hospitality, storage, and structured funding. Downside-first capital deployed through disciplined partnerships.</w:t>
      </w:r>
    </w:p>
    <w:p>
      <w:pPr>
        <w:spacing w:before="160" w:after="40"/>
      </w:pPr>
      <w:r>
        <w:rPr>
          <w:rFonts w:ascii="Arial" w:cs="Arial" w:eastAsia="Arial" w:hAnsi="Arial"/>
          <w:b/>
          <w:bCs/>
          <w:color w:val="D4C4B0"/>
          <w:sz w:val="22"/>
          <w:szCs w:val="22"/>
        </w:rPr>
        <w:t xml:space="preserve">3. </w:t>
      </w:r>
      <w:r>
        <w:rPr>
          <w:rFonts w:ascii="Arial" w:cs="Arial" w:eastAsia="Arial" w:hAnsi="Arial"/>
          <w:b/>
          <w:bCs/>
          <w:color w:val="313131"/>
          <w:sz w:val="22"/>
          <w:szCs w:val="22"/>
        </w:rPr>
        <w:t xml:space="preserve">Mora Sol Advisory</w:t>
      </w:r>
    </w:p>
    <w:p>
      <w:pPr>
        <w:spacing w:after="80"/>
        <w:ind w:left="360"/>
      </w:pPr>
      <w:r>
        <w:rPr>
          <w:rFonts w:ascii="Arial" w:cs="Arial" w:eastAsia="Arial" w:hAnsi="Arial"/>
          <w:i/>
          <w:iCs/>
          <w:color w:val="786E64"/>
          <w:sz w:val="18"/>
          <w:szCs w:val="18"/>
        </w:rPr>
        <w:t xml:space="preserve">Selective strategy and operating counsel for founders and leadership teams navigating inflection points.</w:t>
      </w:r>
    </w:p>
    <w:p>
      <w:pPr>
        <w:spacing w:before="160" w:after="40"/>
      </w:pPr>
      <w:r>
        <w:rPr>
          <w:rFonts w:ascii="Arial" w:cs="Arial" w:eastAsia="Arial" w:hAnsi="Arial"/>
          <w:b/>
          <w:bCs/>
          <w:color w:val="D4C4B0"/>
          <w:sz w:val="22"/>
          <w:szCs w:val="22"/>
        </w:rPr>
        <w:t xml:space="preserve">4. </w:t>
      </w:r>
      <w:r>
        <w:rPr>
          <w:rFonts w:ascii="Arial" w:cs="Arial" w:eastAsia="Arial" w:hAnsi="Arial"/>
          <w:b/>
          <w:bCs/>
          <w:color w:val="313131"/>
          <w:sz w:val="22"/>
          <w:szCs w:val="22"/>
        </w:rPr>
        <w:t xml:space="preserve">Mora Sol Digital</w:t>
      </w:r>
    </w:p>
    <w:p>
      <w:pPr>
        <w:spacing w:after="80"/>
        <w:ind w:left="360"/>
      </w:pPr>
      <w:r>
        <w:rPr>
          <w:rFonts w:ascii="Arial" w:cs="Arial" w:eastAsia="Arial" w:hAnsi="Arial"/>
          <w:i/>
          <w:iCs/>
          <w:color w:val="786E64"/>
          <w:sz w:val="18"/>
          <w:szCs w:val="18"/>
        </w:rPr>
        <w:t xml:space="preserve">AI automation, CRM, and revenue infrastructure. Productized systems that scale without your time.</w:t>
      </w:r>
    </w:p>
    <w:p>
      <w:pPr>
        <w:spacing w:before="160" w:after="40"/>
      </w:pPr>
      <w:r>
        <w:rPr>
          <w:rFonts w:ascii="Arial" w:cs="Arial" w:eastAsia="Arial" w:hAnsi="Arial"/>
          <w:b/>
          <w:bCs/>
          <w:color w:val="D4C4B0"/>
          <w:sz w:val="22"/>
          <w:szCs w:val="22"/>
        </w:rPr>
        <w:t xml:space="preserve">5. </w:t>
      </w:r>
      <w:r>
        <w:rPr>
          <w:rFonts w:ascii="Arial" w:cs="Arial" w:eastAsia="Arial" w:hAnsi="Arial"/>
          <w:b/>
          <w:bCs/>
          <w:color w:val="313131"/>
          <w:sz w:val="22"/>
          <w:szCs w:val="22"/>
        </w:rPr>
        <w:t xml:space="preserve">Mora Sol Studios</w:t>
      </w:r>
    </w:p>
    <w:p>
      <w:pPr>
        <w:spacing w:after="80"/>
        <w:ind w:left="360"/>
      </w:pPr>
      <w:r>
        <w:rPr>
          <w:rFonts w:ascii="Arial" w:cs="Arial" w:eastAsia="Arial" w:hAnsi="Arial"/>
          <w:i/>
          <w:iCs/>
          <w:color w:val="786E64"/>
          <w:sz w:val="18"/>
          <w:szCs w:val="18"/>
        </w:rPr>
        <w:t xml:space="preserve">Editorial storytelling, branded content, and community. The creative engine and voice of the platform.</w:t>
      </w:r>
    </w:p>
    <w:p>
      <w:pPr>
        <w:spacing w:before="160" w:after="40"/>
      </w:pPr>
      <w:r>
        <w:rPr>
          <w:rFonts w:ascii="Arial" w:cs="Arial" w:eastAsia="Arial" w:hAnsi="Arial"/>
          <w:b/>
          <w:bCs/>
          <w:color w:val="D4C4B0"/>
          <w:sz w:val="22"/>
          <w:szCs w:val="22"/>
        </w:rPr>
        <w:t xml:space="preserve">6. </w:t>
      </w:r>
      <w:r>
        <w:rPr>
          <w:rFonts w:ascii="Arial" w:cs="Arial" w:eastAsia="Arial" w:hAnsi="Arial"/>
          <w:b/>
          <w:bCs/>
          <w:color w:val="313131"/>
          <w:sz w:val="22"/>
          <w:szCs w:val="22"/>
        </w:rPr>
        <w:t xml:space="preserve">Solanki Private Travel</w:t>
      </w:r>
    </w:p>
    <w:p>
      <w:pPr>
        <w:spacing w:after="80"/>
        <w:ind w:left="360"/>
      </w:pPr>
      <w:r>
        <w:rPr>
          <w:rFonts w:ascii="Arial" w:cs="Arial" w:eastAsia="Arial" w:hAnsi="Arial"/>
          <w:i/>
          <w:iCs/>
          <w:color w:val="786E64"/>
          <w:sz w:val="18"/>
          <w:szCs w:val="18"/>
        </w:rPr>
        <w:t xml:space="preserve">Tailor-made travel and experiences. Founder-led curation built on taste, discretion, and trusted partnerships.</w:t>
      </w:r>
    </w:p>
    <w:p>
      <w:r>
        <w:br w:type="page"/>
      </w:r>
    </w:p>
    <w:p>
      <w:pPr>
        <w:spacing w:before="200" w:after="120"/>
      </w:pPr>
      <w:r>
        <w:rPr>
          <w:rFonts w:ascii="Arial" w:cs="Arial" w:eastAsia="Arial" w:hAnsi="Arial"/>
          <w:color w:val="D4C4B0"/>
          <w:spacing w:val="80"/>
          <w:sz w:val="16"/>
          <w:szCs w:val="16"/>
        </w:rPr>
        <w:t xml:space="preserve">PILLAR 1  |  IMPACT</w:t>
      </w:r>
    </w:p>
    <w:p>
      <w:pPr>
        <w:spacing w:before="0" w:after="80"/>
      </w:pPr>
      <w:r>
        <w:rPr>
          <w:rFonts w:ascii="Arial" w:cs="Arial" w:eastAsia="Arial" w:hAnsi="Arial"/>
          <w:b/>
          <w:bCs/>
          <w:color w:val="313131"/>
          <w:sz w:val="28"/>
          <w:szCs w:val="28"/>
        </w:rPr>
        <w:t xml:space="preserve">THE SOLANKI FOUNDATION</w:t>
      </w:r>
    </w:p>
    <w:p>
      <w:pPr>
        <w:pBdr>
          <w:bottom w:val="single" w:color="D4C4B0" w:sz="4" w:space="1"/>
        </w:pBdr>
        <w:spacing w:before="0" w:after="200"/>
      </w:pPr>
    </w:p>
    <w:p>
      <w:pPr>
        <w:spacing w:after="300"/>
      </w:pPr>
      <w:r>
        <w:rPr>
          <w:rFonts w:ascii="Arial" w:cs="Arial" w:eastAsia="Arial" w:hAnsi="Arial"/>
          <w:i/>
          <w:iCs/>
          <w:color w:val="786E64"/>
          <w:sz w:val="20"/>
          <w:szCs w:val="20"/>
        </w:rPr>
        <w:t xml:space="preserve">Supporting South Asian women impacted by relationship trauma through culturally competent mental health resources, community, and pathways to stability.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5060"/>
        <w:gridCol w:w="1500"/>
      </w:tblGrid>
      <w:tr>
        <w:tc>
          <w:tcPr>
            <w:tcW w:type="dxa" w:w="6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w:t>
            </w:r>
          </w:p>
        </w:tc>
        <w:tc>
          <w:tcPr>
            <w:tcW w:type="dxa" w:w="22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ACTION</w:t>
            </w:r>
          </w:p>
        </w:tc>
        <w:tc>
          <w:tcPr>
            <w:tcW w:type="dxa" w:w="506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DETAILS</w:t>
            </w:r>
          </w:p>
        </w:tc>
        <w:tc>
          <w:tcPr>
            <w:tcW w:type="dxa" w:w="15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TIMELINE</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1</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Define the Mission Brief</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Write a one-page mission document: who you serve, what you fund, what success looks like in Year 1. This becomes the anchor for every conversation, grant, and partnership.</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 1</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2</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File as 501(c)(3)</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Engage a nonprofit attorney to file IRS Form 1023 or 1023-EZ. Secure EIN, draft bylaws, appoint initial board of directors (minimum 3). Budget ~$2-5K for legal.</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Weeks 1-4</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3</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Build the Board</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Recruit 3-5 board members with complementary skills: one nonprofit operator, one mental health professional, one community leader, one donor-network connector. Start with people who believe in the mission and show up.</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Weeks 2-6</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4</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Research Partner Organizations</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Identify 10-15 existing orgs serving South Asian women (Sakhi, Manavi, SAHELI, local shelters). Study their programs, gaps, and funding needs. You are funding and amplifying, not competing.</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Weeks 2-8</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5</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Secure Inaugural Partnerships</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Approach top 3-5 orgs with a specific ask: co-fund a pilot program, sponsor a cohort, or underwrite a service gap. Start with one signed MOU that proves the model.</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2-4</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6</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Launch Foundation Website + Intake</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Publish the foundation.html page as a standalone site or subdomain. Add a simple intake form (Typeform or Google Form) for partnership inquiries and volunteer interest.</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2</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7</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Create the Narrative</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Produce 2-3 pieces of foundation content through Studios: a founder video, a written impact brief, and a one-pager for potential donors. Story is the fundraising engine.</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2-3</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8</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Host a Private Gathering</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Invite 20-30 people to an intimate dinner or salon in Palm Beach. Present the mission, share the data (1 in 3, 73%, under 2%), and make a soft ask. First donors often come from the room.</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4</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9</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Run the First Program</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Execute the pilot with your inaugural partner org. Document everything: number of women served, services delivered, outcomes measured. This becomes your proof of concept.</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4-8</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10</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Publish Impact Report</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Produce a Year 1 impact report: dollars deployed, women reached, partner outcomes, lessons learned. Distribute to donors, post on site, and use as the basis for Year 2 fundraising.</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10-12</w:t>
            </w:r>
          </w:p>
        </w:tc>
      </w:tr>
    </w:tbl>
    <w:p>
      <w:r>
        <w:br w:type="page"/>
      </w:r>
    </w:p>
    <w:p>
      <w:pPr>
        <w:spacing w:before="200" w:after="120"/>
      </w:pPr>
      <w:r>
        <w:rPr>
          <w:rFonts w:ascii="Arial" w:cs="Arial" w:eastAsia="Arial" w:hAnsi="Arial"/>
          <w:color w:val="D4C4B0"/>
          <w:spacing w:val="80"/>
          <w:sz w:val="16"/>
          <w:szCs w:val="16"/>
        </w:rPr>
        <w:t xml:space="preserve">PILLAR 2  |  CAPITAL</w:t>
      </w:r>
    </w:p>
    <w:p>
      <w:pPr>
        <w:spacing w:before="0" w:after="80"/>
      </w:pPr>
      <w:r>
        <w:rPr>
          <w:rFonts w:ascii="Arial" w:cs="Arial" w:eastAsia="Arial" w:hAnsi="Arial"/>
          <w:b/>
          <w:bCs/>
          <w:color w:val="313131"/>
          <w:sz w:val="28"/>
          <w:szCs w:val="28"/>
        </w:rPr>
        <w:t xml:space="preserve">MORA SOL CAPITAL</w:t>
      </w:r>
    </w:p>
    <w:p>
      <w:pPr>
        <w:pBdr>
          <w:bottom w:val="single" w:color="D4C4B0" w:sz="4" w:space="1"/>
        </w:pBdr>
        <w:spacing w:before="0" w:after="200"/>
      </w:pPr>
    </w:p>
    <w:p>
      <w:pPr>
        <w:spacing w:after="300"/>
      </w:pPr>
      <w:r>
        <w:rPr>
          <w:rFonts w:ascii="Arial" w:cs="Arial" w:eastAsia="Arial" w:hAnsi="Arial"/>
          <w:i/>
          <w:iCs/>
          <w:color w:val="786E64"/>
          <w:sz w:val="20"/>
          <w:szCs w:val="20"/>
        </w:rPr>
        <w:t xml:space="preserve">Hospitality, storage, and structured funding. Downside-first capital deployed through disciplined partnerships.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5060"/>
        <w:gridCol w:w="1500"/>
      </w:tblGrid>
      <w:tr>
        <w:tc>
          <w:tcPr>
            <w:tcW w:type="dxa" w:w="6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w:t>
            </w:r>
          </w:p>
        </w:tc>
        <w:tc>
          <w:tcPr>
            <w:tcW w:type="dxa" w:w="22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ACTION</w:t>
            </w:r>
          </w:p>
        </w:tc>
        <w:tc>
          <w:tcPr>
            <w:tcW w:type="dxa" w:w="506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DETAILS</w:t>
            </w:r>
          </w:p>
        </w:tc>
        <w:tc>
          <w:tcPr>
            <w:tcW w:type="dxa" w:w="15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TIMELINE</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1</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Define Investment Thesis</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Write a 3-5 page thesis document covering: target asset classes (hospitality, storage/flex, structured lending), check size range, return expectations, risk framework, and partnership criteria. This is your filter for every deal.</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 1-2</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2</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Establish Legal Entity</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Form the GP entity (LLC or LP structure). Engage a securities attorney to draft operating agreement, subscription docs, and PPM if raising outside capital. Budget $15-30K for legal.</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Weeks 2-6</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3</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Build the Operator Network</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Identify 15-20 hotel operators, storage developers, and fund managers you respect. Take meetings. You are not the operator — you need partners who are. Prioritize track record, alignment, and transparency.</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1-3</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4</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Source First Hospitality Deal</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Work with 2-3 hotel-focused fund managers or operators to evaluate live deals. Underwrite at least 5 opportunities before committing capital. Focus on select-service or boutique hotels with strong basis and experienced sponsors.</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2-5</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5</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Source First Storage/Flex Deal</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Identify markets with supply-demand imbalance in self-storage or flex industrial. Partner with a developer-operator who handles execution. Evaluate 3-5 deals with a focus on basis per square foot, population growth, and lease-up risk.</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2-5</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6</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Deploy First Structured Note</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Structure or participate in a short-duration bridge loan or mezzanine position. Prioritize downside protection: senior position, personal guarantees, or collateral coverage above 1.0x. Start small ($250K-$500K).</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3-6</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7</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Build the Data Room</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Create a standardized data room template for each vertical: deal summary, financial model, sponsor background, risk memo. Discipline here builds credibility with co-investors and future LPs.</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3</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8</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Establish Reporting Cadence</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Set up quarterly investor reporting even if you are the only LP. Track IRR, cash-on-cash, MOIC, and qualitative notes per deal. Build the muscle before you need it.</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4</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9</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Cultivate LP Pipeline</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Begin having conversations with 10-15 potential co-investors: family offices, HNW individuals, other GPs. Share your thesis, your first deals, and your process. Trust is built over time, not in a single pitch.</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4-8</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10</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Close Fund I or Deal-by-Deal SPV</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Depending on traction, either formalize Fund I ($5-25M target) or continue deploying through deal-by-deal SPVs. The goal by Month 12 is 3-5 deployed positions across all three verticals with documented track record.</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8-12</w:t>
            </w:r>
          </w:p>
        </w:tc>
      </w:tr>
    </w:tbl>
    <w:p>
      <w:r>
        <w:br w:type="page"/>
      </w:r>
    </w:p>
    <w:p>
      <w:pPr>
        <w:spacing w:before="200" w:after="120"/>
      </w:pPr>
      <w:r>
        <w:rPr>
          <w:rFonts w:ascii="Arial" w:cs="Arial" w:eastAsia="Arial" w:hAnsi="Arial"/>
          <w:color w:val="D4C4B0"/>
          <w:spacing w:val="80"/>
          <w:sz w:val="16"/>
          <w:szCs w:val="16"/>
        </w:rPr>
        <w:t xml:space="preserve">PILLAR 3  |  ADVISORY</w:t>
      </w:r>
    </w:p>
    <w:p>
      <w:pPr>
        <w:spacing w:before="0" w:after="80"/>
      </w:pPr>
      <w:r>
        <w:rPr>
          <w:rFonts w:ascii="Arial" w:cs="Arial" w:eastAsia="Arial" w:hAnsi="Arial"/>
          <w:b/>
          <w:bCs/>
          <w:color w:val="313131"/>
          <w:sz w:val="28"/>
          <w:szCs w:val="28"/>
        </w:rPr>
        <w:t xml:space="preserve">MORA SOL ADVISORY</w:t>
      </w:r>
    </w:p>
    <w:p>
      <w:pPr>
        <w:pBdr>
          <w:bottom w:val="single" w:color="D4C4B0" w:sz="4" w:space="1"/>
        </w:pBdr>
        <w:spacing w:before="0" w:after="200"/>
      </w:pPr>
    </w:p>
    <w:p>
      <w:pPr>
        <w:spacing w:after="300"/>
      </w:pPr>
      <w:r>
        <w:rPr>
          <w:rFonts w:ascii="Arial" w:cs="Arial" w:eastAsia="Arial" w:hAnsi="Arial"/>
          <w:i/>
          <w:iCs/>
          <w:color w:val="786E64"/>
          <w:sz w:val="20"/>
          <w:szCs w:val="20"/>
        </w:rPr>
        <w:t xml:space="preserve">Selective strategy and operating counsel for founders and leadership teams navigating inflection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5060"/>
        <w:gridCol w:w="1500"/>
      </w:tblGrid>
      <w:tr>
        <w:tc>
          <w:tcPr>
            <w:tcW w:type="dxa" w:w="6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w:t>
            </w:r>
          </w:p>
        </w:tc>
        <w:tc>
          <w:tcPr>
            <w:tcW w:type="dxa" w:w="22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ACTION</w:t>
            </w:r>
          </w:p>
        </w:tc>
        <w:tc>
          <w:tcPr>
            <w:tcW w:type="dxa" w:w="506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DETAILS</w:t>
            </w:r>
          </w:p>
        </w:tc>
        <w:tc>
          <w:tcPr>
            <w:tcW w:type="dxa" w:w="15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TIMELINE</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1</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Define Your Advisory Niche</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Write a clear positioning statement: who you advise (founders, operators, family businesses), what you help with (growth strategy, capital raising, operational restructuring), and what you do not do. Specificity builds credibility.</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 1</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2</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Package the Offering</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Create 2-3 engagement models: a short-term diagnostic (2-4 week sprint), an ongoing retainer (quarterly), and a project-based scope. Define deliverables, pricing, and boundaries for each.</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Weeks 1-2</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3</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Build a One-Page Capabilities Deck</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Design a single-page PDF or digital brief that captures who you are, what you do, relevant experience, and how to engage. No 40-slide pitch deck — this is advisory, not fundraising.</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 2</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4</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Activate Your Network</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Reach out to 20-30 people in your existing network: former colleagues, founders you have helped informally, investors, attorneys. Let them know the advisory practice is formalized. Referrals are the engine.</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Weeks 2-4</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5</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Land First 2-3 Clients</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Take on 2-3 initial engagements, ideally across different use cases (one founder, one operator, one family business). Price to build case studies, not to maximize revenue. The portfolio of outcomes is the product.</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1-3</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6</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Develop Process Templates</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Build repeatable frameworks: a diagnostic questionnaire, a 90-day action plan template, a board-ready strategy memo format. Systems let you scale quality without scaling your time.</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2</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7</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Create Thought Leadership</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Publish 1-2 pieces per month through Studios: short essays on strategy, operational lessons, or market observations. Position yourself as someone who thinks clearly and publicly. LinkedIn + the Solanki site are your distribution.</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2-6</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8</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Build Strategic Partnerships</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Develop referral relationships with 3-5 complementary professionals: a corporate attorney, an executive recruiter, a fractional CFO, a branding firm. You send them business, they send you business.</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3-6</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9</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Document Case Studies</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With client permission, write 2-3 anonymized or branded case studies: the situation, your approach, the outcome. These go on the advisory page and become your most powerful sales tool.</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6-9</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10</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Evaluate Scale Model</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At 6-9 months, decide: do you stay solo and selective, bring on a junior associate, or productize into a group practice? The right answer depends on pipeline, margin, and how much of your time you want allocated here.</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9-12</w:t>
            </w:r>
          </w:p>
        </w:tc>
      </w:tr>
    </w:tbl>
    <w:p>
      <w:r>
        <w:br w:type="page"/>
      </w:r>
    </w:p>
    <w:p>
      <w:pPr>
        <w:spacing w:before="200" w:after="120"/>
      </w:pPr>
      <w:r>
        <w:rPr>
          <w:rFonts w:ascii="Arial" w:cs="Arial" w:eastAsia="Arial" w:hAnsi="Arial"/>
          <w:color w:val="D4C4B0"/>
          <w:spacing w:val="80"/>
          <w:sz w:val="16"/>
          <w:szCs w:val="16"/>
        </w:rPr>
        <w:t xml:space="preserve">PILLAR 4  |  DIGITAL</w:t>
      </w:r>
    </w:p>
    <w:p>
      <w:pPr>
        <w:spacing w:before="0" w:after="80"/>
      </w:pPr>
      <w:r>
        <w:rPr>
          <w:rFonts w:ascii="Arial" w:cs="Arial" w:eastAsia="Arial" w:hAnsi="Arial"/>
          <w:b/>
          <w:bCs/>
          <w:color w:val="313131"/>
          <w:sz w:val="28"/>
          <w:szCs w:val="28"/>
        </w:rPr>
        <w:t xml:space="preserve">MORA SOL DIGITAL</w:t>
      </w:r>
    </w:p>
    <w:p>
      <w:pPr>
        <w:pBdr>
          <w:bottom w:val="single" w:color="D4C4B0" w:sz="4" w:space="1"/>
        </w:pBdr>
        <w:spacing w:before="0" w:after="200"/>
      </w:pPr>
    </w:p>
    <w:p>
      <w:pPr>
        <w:spacing w:after="300"/>
      </w:pPr>
      <w:r>
        <w:rPr>
          <w:rFonts w:ascii="Arial" w:cs="Arial" w:eastAsia="Arial" w:hAnsi="Arial"/>
          <w:i/>
          <w:iCs/>
          <w:color w:val="786E64"/>
          <w:sz w:val="20"/>
          <w:szCs w:val="20"/>
        </w:rPr>
        <w:t xml:space="preserve">AI automation, CRM, and revenue infrastructure. Productized systems that scale without your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5060"/>
        <w:gridCol w:w="1500"/>
      </w:tblGrid>
      <w:tr>
        <w:tc>
          <w:tcPr>
            <w:tcW w:type="dxa" w:w="6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w:t>
            </w:r>
          </w:p>
        </w:tc>
        <w:tc>
          <w:tcPr>
            <w:tcW w:type="dxa" w:w="22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ACTION</w:t>
            </w:r>
          </w:p>
        </w:tc>
        <w:tc>
          <w:tcPr>
            <w:tcW w:type="dxa" w:w="506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DETAILS</w:t>
            </w:r>
          </w:p>
        </w:tc>
        <w:tc>
          <w:tcPr>
            <w:tcW w:type="dxa" w:w="15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TIMELINE</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1</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Define Service Menu</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Codify exactly what you build: AI workflow automation, CRM setup and optimization, revenue ops infrastructure, email/marketing automation. Each service should be a repeatable, scoped package with clear deliverables.</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 1</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2</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Build Your Own Stack First</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Implement every tool you plan to sell on Solanki Co itself. CRM, email sequences, analytics, automation flows. You become the case study. If you cannot show it working for you, nobody will buy it from you.</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Weeks 1-4</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3</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Create Productized Packages</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Design 3 tiers: a starter package (CRM setup + 3 automations), a growth package (full rev ops + AI workflows), and a custom enterprise scope. Fixed pricing, defined timelines, clear SOWs.</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 2-3</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4</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Build the Sales Page</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Update digital.html with the service tiers, pricing framework (or 'starting at' anchors), a client intake form, and 1-2 mini case studies. The page should convert a warm lead into a booked call.</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Weeks 3-4</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5</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Land First 3 Clients</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Target small businesses and founders in your network who are drowning in manual processes. Offer the starter package at a reduced rate in exchange for a testimonial and case study. Deliver flawlessly.</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1-3</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6</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Build SOPs and Playbooks</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Document every implementation step: CRM migration checklist, automation build workflow, QA testing protocol, client onboarding flow. These SOPs are how you eventually delegate without losing quality.</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2-3</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7</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Develop Template Library</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Create reusable templates: email sequences, CRM pipelines, dashboard configurations, Zapier/Make workflows. Templates cut delivery time by 60% and increase margin on every engagement.</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2-4</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8</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Hire or Contract First Builder</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Bring on a part-time contractor (VA, junior dev, or ops specialist) to handle implementation while you focus on sales and strategy. Test with 1 contractor before scaling to a team.</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4</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9</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Launch Content Engine</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Publish weekly content showing AI automation wins, before/after metrics, and system breakdowns. Short-form on X, long-form on the site via Studios. This is your top-of-funnel acquisition strategy.</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3-6</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10</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Hit $10K MRR Milestone</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Target: 5-8 active clients generating $10K+ in monthly recurring revenue by Month 9-12. At this point, evaluate: keep it as a lean productized service, or invest in scaling with a small team and higher-ticket enterprise clients.</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9-12</w:t>
            </w:r>
          </w:p>
        </w:tc>
      </w:tr>
    </w:tbl>
    <w:p>
      <w:r>
        <w:br w:type="page"/>
      </w:r>
    </w:p>
    <w:p>
      <w:pPr>
        <w:spacing w:before="200" w:after="120"/>
      </w:pPr>
      <w:r>
        <w:rPr>
          <w:rFonts w:ascii="Arial" w:cs="Arial" w:eastAsia="Arial" w:hAnsi="Arial"/>
          <w:color w:val="D4C4B0"/>
          <w:spacing w:val="80"/>
          <w:sz w:val="16"/>
          <w:szCs w:val="16"/>
        </w:rPr>
        <w:t xml:space="preserve">PILLAR 5  |  STUDIOS</w:t>
      </w:r>
    </w:p>
    <w:p>
      <w:pPr>
        <w:spacing w:before="0" w:after="80"/>
      </w:pPr>
      <w:r>
        <w:rPr>
          <w:rFonts w:ascii="Arial" w:cs="Arial" w:eastAsia="Arial" w:hAnsi="Arial"/>
          <w:b/>
          <w:bCs/>
          <w:color w:val="313131"/>
          <w:sz w:val="28"/>
          <w:szCs w:val="28"/>
        </w:rPr>
        <w:t xml:space="preserve">MORA SOL STUDIOS</w:t>
      </w:r>
    </w:p>
    <w:p>
      <w:pPr>
        <w:pBdr>
          <w:bottom w:val="single" w:color="D4C4B0" w:sz="4" w:space="1"/>
        </w:pBdr>
        <w:spacing w:before="0" w:after="200"/>
      </w:pPr>
    </w:p>
    <w:p>
      <w:pPr>
        <w:spacing w:after="300"/>
      </w:pPr>
      <w:r>
        <w:rPr>
          <w:rFonts w:ascii="Arial" w:cs="Arial" w:eastAsia="Arial" w:hAnsi="Arial"/>
          <w:i/>
          <w:iCs/>
          <w:color w:val="786E64"/>
          <w:sz w:val="20"/>
          <w:szCs w:val="20"/>
        </w:rPr>
        <w:t xml:space="preserve">Editorial storytelling, branded content, and community. The creative engine and voice of the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5060"/>
        <w:gridCol w:w="1500"/>
      </w:tblGrid>
      <w:tr>
        <w:tc>
          <w:tcPr>
            <w:tcW w:type="dxa" w:w="6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w:t>
            </w:r>
          </w:p>
        </w:tc>
        <w:tc>
          <w:tcPr>
            <w:tcW w:type="dxa" w:w="22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ACTION</w:t>
            </w:r>
          </w:p>
        </w:tc>
        <w:tc>
          <w:tcPr>
            <w:tcW w:type="dxa" w:w="506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DETAILS</w:t>
            </w:r>
          </w:p>
        </w:tc>
        <w:tc>
          <w:tcPr>
            <w:tcW w:type="dxa" w:w="15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TIMELINE</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1</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Define the Editorial Voice</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Write a brand voice guide for Studios: tone (quiet conviction, substance over flash), themes (entrepreneurship, legacy, culture, craft), formats (essays, short films, interviews, social series). This is the DNA.</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 1</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2</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Build the Content Calendar</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Map out 90 days of content across three formats: written (2x/month long-form), social (3-4x/week short-form), and video (1x/month). Assign each piece to a pillar so Studios serves the entire ecosystem.</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Weeks 1-2</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3</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Set Up Production Infrastructure</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Establish the tools: video editing suite (Final Cut or DaVinci), design tools (Canva Pro or Figma), podcast setup if applicable, social scheduling (Typefully for X, Later for IG). Invest in a quality microphone and lighting for video.</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Weeks 2-3</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4</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Produce Foundational Content</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Create 5 anchor pieces before launch: a founder origin story (video), the Mora Sol philosophy (essay), one piece per active pillar (Capital thesis overview, Foundation mission, Digital capabilities). These seed the entire platform.</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Weeks 3-6</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5</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Launch Social Presence</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Activate X (@solanki) and Instagram (@solanki.co) with a consistent posting cadence. Week 1: 1 post/day for 7 days as a launch sequence. Then settle into 3-4x/week. Quality over quantity — every post should feel intentional.</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2</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6</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Start a Newsletter</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Launch a simple email newsletter (Substack, Beehiiv, or ConvertKit). Monthly frequency. Curated insights, one original essay, links to new content. Build the list from Day 1 — even with 50 subscribers, the compounding starts now.</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2</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7</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Produce First Video Series</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Create a 3-5 episode mini series: short interviews with operators, founders, or community members. Keep production clean and minimal (the brand aesthetic). Publish on YouTube and clip for social.</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3-5</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8</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Build Community Touchpoints</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Host 1-2 small events (virtual or in-person): a roundtable, a dinner, a creative workshop. Studios is the community arm — content creates reach, events create depth. Document everything for future content.</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4-6</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9</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Monetize Through Branded Content</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Offer Studios capabilities to external clients: branded video, content strategy, social management. Package as a service alongside Digital. Target 2-3 external clients by Month 8.</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6-9</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10</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Measure and Refine</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At Month 6 and Month 12, audit performance: follower growth, engagement rates, newsletter open rates, content-to-lead conversion. Double down on what works, kill what does not. Studios should drive awareness across every pillar.</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6-12</w:t>
            </w:r>
          </w:p>
        </w:tc>
      </w:tr>
    </w:tbl>
    <w:p>
      <w:r>
        <w:br w:type="page"/>
      </w:r>
    </w:p>
    <w:p>
      <w:pPr>
        <w:spacing w:before="200" w:after="120"/>
      </w:pPr>
      <w:r>
        <w:rPr>
          <w:rFonts w:ascii="Arial" w:cs="Arial" w:eastAsia="Arial" w:hAnsi="Arial"/>
          <w:color w:val="D4C4B0"/>
          <w:spacing w:val="80"/>
          <w:sz w:val="16"/>
          <w:szCs w:val="16"/>
        </w:rPr>
        <w:t xml:space="preserve">PILLAR 6  |  TRAVEL</w:t>
      </w:r>
    </w:p>
    <w:p>
      <w:pPr>
        <w:spacing w:before="0" w:after="80"/>
      </w:pPr>
      <w:r>
        <w:rPr>
          <w:rFonts w:ascii="Arial" w:cs="Arial" w:eastAsia="Arial" w:hAnsi="Arial"/>
          <w:b/>
          <w:bCs/>
          <w:color w:val="313131"/>
          <w:sz w:val="28"/>
          <w:szCs w:val="28"/>
        </w:rPr>
        <w:t xml:space="preserve">SOLANKI PRIVATE TRAVEL</w:t>
      </w:r>
    </w:p>
    <w:p>
      <w:pPr>
        <w:pBdr>
          <w:bottom w:val="single" w:color="D4C4B0" w:sz="4" w:space="1"/>
        </w:pBdr>
        <w:spacing w:before="0" w:after="200"/>
      </w:pPr>
    </w:p>
    <w:p>
      <w:pPr>
        <w:spacing w:after="300"/>
      </w:pPr>
      <w:r>
        <w:rPr>
          <w:rFonts w:ascii="Arial" w:cs="Arial" w:eastAsia="Arial" w:hAnsi="Arial"/>
          <w:i/>
          <w:iCs/>
          <w:color w:val="786E64"/>
          <w:sz w:val="20"/>
          <w:szCs w:val="20"/>
        </w:rPr>
        <w:t xml:space="preserve">Tailor-made travel and experiences. Founder-led curation built on taste, discretion, and trusted partnerships.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5060"/>
        <w:gridCol w:w="1500"/>
      </w:tblGrid>
      <w:tr>
        <w:tc>
          <w:tcPr>
            <w:tcW w:type="dxa" w:w="6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w:t>
            </w:r>
          </w:p>
        </w:tc>
        <w:tc>
          <w:tcPr>
            <w:tcW w:type="dxa" w:w="22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ACTION</w:t>
            </w:r>
          </w:p>
        </w:tc>
        <w:tc>
          <w:tcPr>
            <w:tcW w:type="dxa" w:w="506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DETAILS</w:t>
            </w:r>
          </w:p>
        </w:tc>
        <w:tc>
          <w:tcPr>
            <w:tcW w:type="dxa" w:w="1500"/>
            <w:tcBorders>
              <w:top w:val="single" w:color="D4C4B0" w:sz="1"/>
              <w:left w:val="single" w:color="D4C4B0" w:sz="1"/>
              <w:bottom w:val="single" w:color="D4C4B0" w:sz="1"/>
              <w:right w:val="single" w:color="D4C4B0" w:sz="1"/>
            </w:tcBorders>
            <w:shd w:fill="313131" w:val="clear"/>
            <w:tcMar>
              <w:top w:type="dxa" w:w="80"/>
              <w:left w:type="dxa" w:w="120"/>
              <w:bottom w:type="dxa" w:w="80"/>
              <w:right w:type="dxa" w:w="120"/>
            </w:tcMar>
          </w:tcPr>
          <w:p>
            <w:pPr>
              <w:jc w:val="center"/>
            </w:pPr>
            <w:r>
              <w:rPr>
                <w:rFonts w:ascii="Arial" w:cs="Arial" w:eastAsia="Arial" w:hAnsi="Arial"/>
                <w:b/>
                <w:bCs/>
                <w:color w:val="FFFFFF"/>
                <w:spacing w:val="40"/>
                <w:sz w:val="16"/>
                <w:szCs w:val="16"/>
              </w:rPr>
              <w:t xml:space="preserve">TIMELINE</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1</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Define the Travel Philosophy</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Write a one-page positioning document: what kind of travel you curate (experiential, luxury, culturally immersive), who the ideal client is (HNW individuals, couples, families), and what you do not do (group tours, budget travel, cookie-cutter itineraries).</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 1</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2</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Get Credentialed</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Apply to host agency networks (Virtuoso, Travel Leaders, Signature) or affiliate with an established luxury travel advisor as a mentor. Credentials unlock preferred rates, upgrades, and supplier access that you cannot get independently.</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Weeks 1-4</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3</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Build Supplier Relationships</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Reach out to 20-30 hotels, DMCs (destination management companies), and experience providers you admire. Introduce yourself, request rate sheets, and begin building rapport. Relationships are the product.</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1-3</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4</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Create 3 Signature Itineraries</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Design 3 sample journeys that showcase your taste and range: one aspirational (East Africa safari), one cultural (Rajasthan immersion), one accessible luxury (Amalfi Coast for families). These are your portfolio pieces.</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1-2</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5</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Launch the Travel Page</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Update travel.html with your philosophy, 1-2 sample itineraries (beautifully presented), and a consultation request form. The page should feel like an invitation, not a booking engine.</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2</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6</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Land First 3-5 Clients</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Start with your personal network: friends, family, advisory clients, Foundation donors. Offer to plan a trip at a reduced planning fee in exchange for feedback and a testimonial. Word of mouth is everything in luxury travel.</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2-4</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7</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Develop the Client Experience</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Build the end-to-end service flow: discovery call template, proposal format (branded PDF), pre-trip briefing, real-time support during travel, post-trip follow-up. Every touchpoint should feel considered.</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3</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8</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Build a Visual Content Library</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Photograph and document every trip (with client permission). Build a library of original images and short videos for social, the website, and proposals. Studios handles production, Travel provides the material.</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Months 3-8</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9</w:t>
            </w:r>
          </w:p>
        </w:tc>
        <w:tc>
          <w:tcPr>
            <w:tcW w:type="dxa" w:w="22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r>
              <w:rPr>
                <w:rFonts w:ascii="Arial" w:cs="Arial" w:eastAsia="Arial" w:hAnsi="Arial"/>
                <w:b/>
                <w:bCs/>
                <w:color w:val="313131"/>
                <w:sz w:val="19"/>
                <w:szCs w:val="19"/>
              </w:rPr>
              <w:t xml:space="preserve">Create Referral Program</w:t>
            </w:r>
          </w:p>
        </w:tc>
        <w:tc>
          <w:tcPr>
            <w:tcW w:type="dxa" w:w="506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tcPr>
          <w:p>
            <w:pPr>
              <w:spacing w:after="0"/>
            </w:pPr>
            <w:r>
              <w:rPr>
                <w:rFonts w:ascii="Arial" w:cs="Arial" w:eastAsia="Arial" w:hAnsi="Arial"/>
                <w:color w:val="786E64"/>
                <w:sz w:val="18"/>
                <w:szCs w:val="18"/>
              </w:rPr>
              <w:t xml:space="preserve">Design a simple referral incentive: travel credit, a gift, or a charitable donation to the Foundation in the referrer's name. Luxury travel grows through trust networks, not advertising.</w:t>
            </w:r>
          </w:p>
        </w:tc>
        <w:tc>
          <w:tcPr>
            <w:tcW w:type="dxa" w:w="1500"/>
            <w:tcBorders>
              <w:top w:val="single" w:color="D4C4B0" w:sz="1"/>
              <w:left w:val="single" w:color="D4C4B0" w:sz="1"/>
              <w:bottom w:val="single" w:color="D4C4B0" w:sz="1"/>
              <w:right w:val="single" w:color="D4C4B0" w:sz="1"/>
            </w:tcBorders>
            <w:shd w:fill="FFFFFF"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6</w:t>
            </w:r>
          </w:p>
        </w:tc>
      </w:tr>
      <w:tr>
        <w:tc>
          <w:tcPr>
            <w:tcW w:type="dxa" w:w="600"/>
            <w:tcBorders>
              <w:top w:val="single" w:color="D4C4B0" w:sz="1"/>
              <w:left w:val="single" w:color="D4C4B0" w:sz="1"/>
              <w:bottom w:val="single" w:color="D4C4B0" w:sz="1"/>
              <w:right w:val="single" w:color="D4C4B0" w:sz="1"/>
            </w:tcBorders>
            <w:shd w:fill="E8DFD3" w:val="clear"/>
            <w:tcMar>
              <w:top w:type="dxa" w:w="80"/>
              <w:left w:type="dxa" w:w="120"/>
              <w:bottom w:type="dxa" w:w="80"/>
              <w:right w:type="dxa" w:w="120"/>
            </w:tcMar>
            <w:vAlign w:val="center"/>
          </w:tcPr>
          <w:p>
            <w:pPr>
              <w:jc w:val="center"/>
            </w:pPr>
            <w:r>
              <w:rPr>
                <w:rFonts w:ascii="Arial" w:cs="Arial" w:eastAsia="Arial" w:hAnsi="Arial"/>
                <w:b/>
                <w:bCs/>
                <w:color w:val="313131"/>
                <w:sz w:val="20"/>
                <w:szCs w:val="20"/>
              </w:rPr>
              <w:t xml:space="preserve">10</w:t>
            </w:r>
          </w:p>
        </w:tc>
        <w:tc>
          <w:tcPr>
            <w:tcW w:type="dxa" w:w="22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r>
              <w:rPr>
                <w:rFonts w:ascii="Arial" w:cs="Arial" w:eastAsia="Arial" w:hAnsi="Arial"/>
                <w:b/>
                <w:bCs/>
                <w:color w:val="313131"/>
                <w:sz w:val="19"/>
                <w:szCs w:val="19"/>
              </w:rPr>
              <w:t xml:space="preserve">Evaluate Annual Revenue Model</w:t>
            </w:r>
          </w:p>
        </w:tc>
        <w:tc>
          <w:tcPr>
            <w:tcW w:type="dxa" w:w="506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tcPr>
          <w:p>
            <w:pPr>
              <w:spacing w:after="0"/>
            </w:pPr>
            <w:r>
              <w:rPr>
                <w:rFonts w:ascii="Arial" w:cs="Arial" w:eastAsia="Arial" w:hAnsi="Arial"/>
                <w:color w:val="786E64"/>
                <w:sz w:val="18"/>
                <w:szCs w:val="18"/>
              </w:rPr>
              <w:t xml:space="preserve">At Month 12, assess: planning fees collected, commission income, average trip value, client retention rate. Decide whether to scale (hire a junior advisor), keep it boutique (5-10 clients/year), or sunset if the economics do not justify the time.</w:t>
            </w:r>
          </w:p>
        </w:tc>
        <w:tc>
          <w:tcPr>
            <w:tcW w:type="dxa" w:w="1500"/>
            <w:tcBorders>
              <w:top w:val="single" w:color="D4C4B0" w:sz="1"/>
              <w:left w:val="single" w:color="D4C4B0" w:sz="1"/>
              <w:bottom w:val="single" w:color="D4C4B0" w:sz="1"/>
              <w:right w:val="single" w:color="D4C4B0" w:sz="1"/>
            </w:tcBorders>
            <w:shd w:fill="F7F4F0" w:val="clear"/>
            <w:tcMar>
              <w:top w:type="dxa" w:w="80"/>
              <w:left w:type="dxa" w:w="120"/>
              <w:bottom w:type="dxa" w:w="80"/>
              <w:right w:type="dxa" w:w="120"/>
            </w:tcMar>
            <w:vAlign w:val="center"/>
          </w:tcPr>
          <w:p>
            <w:pPr>
              <w:jc w:val="center"/>
            </w:pPr>
            <w:r>
              <w:rPr>
                <w:rFonts w:ascii="Arial" w:cs="Arial" w:eastAsia="Arial" w:hAnsi="Arial"/>
                <w:color w:val="786E64"/>
                <w:sz w:val="17"/>
                <w:szCs w:val="17"/>
              </w:rPr>
              <w:t xml:space="preserve">Month 12</w:t>
            </w:r>
          </w:p>
        </w:tc>
      </w:tr>
    </w:tbl>
    <w:p>
      <w:r>
        <w:br w:type="page"/>
      </w:r>
    </w:p>
    <w:p>
      <w:pPr>
        <w:spacing w:before="1200" w:after="0"/>
      </w:pPr>
    </w:p>
    <w:p>
      <w:pPr>
        <w:spacing w:after="200"/>
        <w:jc w:val="center"/>
      </w:pPr>
      <w:r>
        <w:rPr>
          <w:rFonts w:ascii="Georgia" w:cs="Georgia" w:eastAsia="Georgia" w:hAnsi="Georgia"/>
          <w:color w:val="D4C4B0"/>
          <w:sz w:val="56"/>
          <w:szCs w:val="56"/>
        </w:rPr>
        <w:t xml:space="preserve">S</w:t>
      </w:r>
    </w:p>
    <w:p>
      <w:pPr>
        <w:pBdr>
          <w:bottom w:val="single" w:color="D4C4B0" w:sz="4" w:space="8"/>
        </w:pBdr>
        <w:spacing w:after="0"/>
        <w:jc w:val="center"/>
      </w:pPr>
    </w:p>
    <w:p>
      <w:pPr>
        <w:spacing w:before="300" w:after="0"/>
      </w:pPr>
    </w:p>
    <w:p>
      <w:pPr>
        <w:spacing w:after="200"/>
        <w:jc w:val="center"/>
      </w:pPr>
      <w:r>
        <w:rPr>
          <w:rFonts w:ascii="Georgia" w:cs="Georgia" w:eastAsia="Georgia" w:hAnsi="Georgia"/>
          <w:i/>
          <w:iCs/>
          <w:color w:val="313131"/>
          <w:sz w:val="28"/>
          <w:szCs w:val="28"/>
        </w:rPr>
        <w:t xml:space="preserve">Vision without execution is decoration.</w:t>
      </w:r>
    </w:p>
    <w:p>
      <w:pPr>
        <w:spacing w:after="0"/>
        <w:jc w:val="center"/>
      </w:pPr>
      <w:r>
        <w:rPr>
          <w:rFonts w:ascii="Arial" w:cs="Arial" w:eastAsia="Arial" w:hAnsi="Arial"/>
          <w:color w:val="D4C4B0"/>
          <w:spacing w:val="80"/>
          <w:sz w:val="18"/>
          <w:szCs w:val="18"/>
        </w:rPr>
        <w:t xml:space="preserve">solanki.co</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D4C4B0"/>
        <w:sz w:val="14"/>
        <w:szCs w:val="14"/>
      </w:rPr>
      <w:t xml:space="preserve">Page </w:t>
    </w:r>
    <w:r>
      <w:rPr>
        <w:rFonts w:ascii="Arial" w:cs="Arial" w:eastAsia="Arial" w:hAnsi="Arial"/>
        <w:color w:val="D4C4B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D4C4B0"/>
        <w:spacing w:val="60"/>
        <w:sz w:val="14"/>
        <w:szCs w:val="14"/>
      </w:rPr>
      <w:t xml:space="preserve">SOLANKI CO  |  EXECUTION PLAYBOOK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2026-02-22T19:39:08.215Z</dcterms:created>
  <dcterms:modified xsi:type="dcterms:W3CDTF">2026-02-22T19:39:08.215Z</dcterms:modified>
</cp:coreProperties>
</file>

<file path=docProps/custom.xml><?xml version="1.0" encoding="utf-8"?>
<Properties xmlns="http://schemas.openxmlformats.org/officeDocument/2006/custom-properties" xmlns:vt="http://schemas.openxmlformats.org/officeDocument/2006/docPropsVTypes"/>
</file>