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0"/>
        <w:jc w:val="center"/>
      </w:pPr>
      <w:r>
        <w:rPr>
          <w:rFonts w:ascii="Georgia" w:cs="Georgia" w:eastAsia="Georgia" w:hAnsi="Georgia"/>
          <w:color w:val="313131"/>
          <w:sz w:val="72"/>
          <w:szCs w:val="72"/>
        </w:rPr>
        <w:t xml:space="preserve">S</w:t>
      </w:r>
    </w:p>
    <w:p>
      <w:pPr>
        <w:spacing w:before="200" w:after="0"/>
      </w:pPr>
    </w:p>
    <w:p>
      <w:pPr>
        <w:spacing w:after="0"/>
        <w:jc w:val="center"/>
      </w:pPr>
      <w:r>
        <w:rPr>
          <w:rFonts w:ascii="Arial" w:cs="Arial" w:eastAsia="Arial" w:hAnsi="Arial"/>
          <w:b/>
          <w:bCs/>
          <w:color w:val="313131"/>
          <w:spacing w:val="200"/>
          <w:sz w:val="40"/>
          <w:szCs w:val="40"/>
        </w:rPr>
        <w:t xml:space="preserve">SOLANKI CO</w:t>
      </w:r>
    </w:p>
    <w:p>
      <w:pPr>
        <w:pBdr>
          <w:bottom w:val="single" w:color="D4C4B0" w:sz="4" w:space="8"/>
        </w:pBdr>
        <w:spacing w:before="200" w:after="0"/>
        <w:jc w:val="center"/>
      </w:pPr>
    </w:p>
    <w:p>
      <w:pPr>
        <w:spacing w:before="400" w:after="0"/>
      </w:pPr>
    </w:p>
    <w:p>
      <w:pPr>
        <w:spacing w:after="80"/>
        <w:jc w:val="center"/>
      </w:pPr>
      <w:r>
        <w:rPr>
          <w:rFonts w:ascii="Arial" w:cs="Arial" w:eastAsia="Arial" w:hAnsi="Arial"/>
          <w:b/>
          <w:bCs/>
          <w:color w:val="313131"/>
          <w:spacing w:val="120"/>
          <w:sz w:val="32"/>
          <w:szCs w:val="32"/>
        </w:rPr>
        <w:t xml:space="preserve">EXECUTION PLAYBOOK</w:t>
      </w:r>
    </w:p>
    <w:p>
      <w:pPr>
        <w:spacing w:after="40"/>
        <w:jc w:val="center"/>
      </w:pPr>
      <w:r>
        <w:rPr>
          <w:rFonts w:ascii="Arial" w:cs="Arial" w:eastAsia="Arial" w:hAnsi="Arial"/>
          <w:color w:val="786E64"/>
          <w:sz w:val="22"/>
          <w:szCs w:val="22"/>
        </w:rPr>
        <w:t xml:space="preserve">10-Step Action Plan  +  ROI Projections</w:t>
      </w:r>
    </w:p>
    <w:p>
      <w:pPr>
        <w:spacing w:after="0"/>
        <w:jc w:val="center"/>
      </w:pPr>
      <w:r>
        <w:rPr>
          <w:rFonts w:ascii="Arial" w:cs="Arial" w:eastAsia="Arial" w:hAnsi="Arial"/>
          <w:color w:val="786E64"/>
          <w:sz w:val="22"/>
          <w:szCs w:val="22"/>
        </w:rPr>
        <w:t xml:space="preserve">For Each Pillar</w:t>
      </w:r>
    </w:p>
    <w:p>
      <w:pPr>
        <w:spacing w:before="1400" w:after="0"/>
      </w:pPr>
    </w:p>
    <w:p>
      <w:pPr>
        <w:spacing w:after="40"/>
        <w:jc w:val="center"/>
      </w:pPr>
      <w:r>
        <w:rPr>
          <w:rFonts w:ascii="Arial" w:cs="Arial" w:eastAsia="Arial" w:hAnsi="Arial"/>
          <w:color w:val="D4C4B0"/>
          <w:spacing w:val="100"/>
          <w:sz w:val="16"/>
          <w:szCs w:val="16"/>
        </w:rPr>
        <w:t xml:space="preserve">CONFIDENTIAL</w:t>
      </w:r>
    </w:p>
    <w:p>
      <w:pPr>
        <w:spacing w:after="40"/>
        <w:jc w:val="center"/>
      </w:pPr>
      <w:r>
        <w:rPr>
          <w:rFonts w:ascii="Arial" w:cs="Arial" w:eastAsia="Arial" w:hAnsi="Arial"/>
          <w:color w:val="786E64"/>
          <w:sz w:val="18"/>
          <w:szCs w:val="18"/>
        </w:rPr>
        <w:t xml:space="preserve">Prepared for Nitin Solanki</w:t>
      </w:r>
    </w:p>
    <w:p>
      <w:pPr>
        <w:jc w:val="center"/>
      </w:pPr>
      <w:r>
        <w:rPr>
          <w:rFonts w:ascii="Arial" w:cs="Arial" w:eastAsia="Arial" w:hAnsi="Arial"/>
          <w:color w:val="786E64"/>
          <w:sz w:val="18"/>
          <w:szCs w:val="18"/>
        </w:rPr>
        <w:t xml:space="preserve">February 2026</w:t>
      </w:r>
    </w:p>
    <w:p>
      <w:r>
        <w:br w:type="page"/>
      </w:r>
    </w:p>
    <w:p>
      <w:pPr>
        <w:spacing w:before="400" w:after="80"/>
      </w:pPr>
      <w:r>
        <w:rPr>
          <w:rFonts w:ascii="Arial" w:cs="Arial" w:eastAsia="Arial" w:hAnsi="Arial"/>
          <w:b/>
          <w:bCs/>
          <w:color w:val="313131"/>
          <w:spacing w:val="80"/>
          <w:sz w:val="26"/>
          <w:szCs w:val="26"/>
        </w:rPr>
        <w:t xml:space="preserve">HOW TO USE THIS DOCUMENT</w:t>
      </w:r>
    </w:p>
    <w:p>
      <w:pPr>
        <w:pBdr>
          <w:bottom w:val="single" w:color="D4C4B0" w:sz="4" w:space="1"/>
        </w:pBdr>
        <w:spacing w:before="0" w:after="200"/>
      </w:pPr>
    </w:p>
    <w:p>
      <w:pPr>
        <w:spacing w:after="200"/>
      </w:pPr>
      <w:r>
        <w:rPr>
          <w:rFonts w:ascii="Arial" w:cs="Arial" w:eastAsia="Arial" w:hAnsi="Arial"/>
          <w:color w:val="786E64"/>
          <w:sz w:val="20"/>
          <w:szCs w:val="20"/>
        </w:rPr>
        <w:t xml:space="preserve">This playbook translates the six pillars of Solanki Co from vision into action. Each pillar has a 10-step execution plan and an ROI projection designed to give you clarity on what is possible — in time, in money, and in impact.</w:t>
      </w:r>
    </w:p>
    <w:p>
      <w:pPr>
        <w:spacing w:after="200"/>
      </w:pPr>
      <w:r>
        <w:rPr>
          <w:rFonts w:ascii="Arial" w:cs="Arial" w:eastAsia="Arial" w:hAnsi="Arial"/>
          <w:color w:val="786E64"/>
          <w:sz w:val="20"/>
          <w:szCs w:val="20"/>
        </w:rPr>
        <w:t xml:space="preserve">Every step includes a clear action, specific details on what to do, and a target timeline. Steps are sequenced intentionally — earlier steps create the foundation for later ones. Some steps across pillars can run in parallel.</w:t>
      </w:r>
    </w:p>
    <w:p>
      <w:pPr>
        <w:spacing w:after="200"/>
      </w:pPr>
      <w:r>
        <w:rPr>
          <w:rFonts w:ascii="Arial" w:cs="Arial" w:eastAsia="Arial" w:hAnsi="Arial"/>
          <w:color w:val="786E64"/>
          <w:sz w:val="20"/>
          <w:szCs w:val="20"/>
        </w:rPr>
        <w:t xml:space="preserve">The ROI section for each pillar breaks down realistic income potential for the five profit-generating pillars (Capital, Advisory, Digital, Studios, Travel) and fund allocation for the Foundation. These are conservative-to-moderate projections based on comparable businesses, not aspirational numbers.</w:t>
      </w:r>
    </w:p>
    <w:p>
      <w:pPr>
        <w:spacing w:after="200"/>
      </w:pPr>
      <w:r>
        <w:rPr>
          <w:rFonts w:ascii="Arial" w:cs="Arial" w:eastAsia="Arial" w:hAnsi="Arial"/>
          <w:b/>
          <w:bCs/>
          <w:color w:val="313131"/>
          <w:sz w:val="20"/>
          <w:szCs w:val="20"/>
        </w:rPr>
        <w:t xml:space="preserve">Recommended priority order: </w:t>
      </w:r>
      <w:r>
        <w:rPr>
          <w:rFonts w:ascii="Arial" w:cs="Arial" w:eastAsia="Arial" w:hAnsi="Arial"/>
          <w:color w:val="786E64"/>
          <w:sz w:val="20"/>
          <w:szCs w:val="20"/>
        </w:rPr>
        <w:t xml:space="preserve">Foundation + Capital (core identity and revenue) → Studios + Digital (content engine and productized services) → Advisory + Travel (relationship-driven, can scale later).</w:t>
      </w:r>
    </w:p>
    <w:p>
      <w:r>
        <w:br w:type="page"/>
      </w:r>
    </w:p>
    <w:p>
      <w:pPr>
        <w:spacing w:before="400" w:after="80"/>
      </w:pPr>
      <w:r>
        <w:rPr>
          <w:rFonts w:ascii="Arial" w:cs="Arial" w:eastAsia="Arial" w:hAnsi="Arial"/>
          <w:b/>
          <w:bCs/>
          <w:color w:val="313131"/>
          <w:spacing w:val="80"/>
          <w:sz w:val="26"/>
          <w:szCs w:val="26"/>
        </w:rPr>
        <w:t xml:space="preserve">THE SIX PILLARS</w:t>
      </w:r>
    </w:p>
    <w:p>
      <w:pPr>
        <w:pBdr>
          <w:bottom w:val="single" w:color="D4C4B0" w:sz="4" w:space="1"/>
        </w:pBdr>
        <w:spacing w:before="0" w:after="200"/>
      </w:pPr>
    </w:p>
    <w:p>
      <w:pPr>
        <w:spacing w:before="160" w:after="40"/>
      </w:pPr>
      <w:r>
        <w:rPr>
          <w:rFonts w:ascii="Arial" w:cs="Arial" w:eastAsia="Arial" w:hAnsi="Arial"/>
          <w:b/>
          <w:bCs/>
          <w:color w:val="D4C4B0"/>
          <w:sz w:val="22"/>
          <w:szCs w:val="22"/>
        </w:rPr>
        <w:t xml:space="preserve">1. </w:t>
      </w:r>
      <w:r>
        <w:rPr>
          <w:rFonts w:ascii="Arial" w:cs="Arial" w:eastAsia="Arial" w:hAnsi="Arial"/>
          <w:b/>
          <w:bCs/>
          <w:color w:val="313131"/>
          <w:sz w:val="22"/>
          <w:szCs w:val="22"/>
        </w:rPr>
        <w:t xml:space="preserve">The Solanki Foundation</w:t>
      </w:r>
    </w:p>
    <w:p>
      <w:pPr>
        <w:spacing w:after="80"/>
        <w:ind w:left="360"/>
      </w:pPr>
      <w:r>
        <w:rPr>
          <w:rFonts w:ascii="Arial" w:cs="Arial" w:eastAsia="Arial" w:hAnsi="Arial"/>
          <w:i/>
          <w:iCs/>
          <w:color w:val="786E64"/>
          <w:sz w:val="18"/>
          <w:szCs w:val="18"/>
        </w:rPr>
        <w:t xml:space="preserve">Supporting South Asian women impacted by relationship trauma through culturally competent mental health resources, community, and pathways to stability.</w:t>
      </w:r>
    </w:p>
    <w:p>
      <w:pPr>
        <w:spacing w:before="160" w:after="40"/>
      </w:pPr>
      <w:r>
        <w:rPr>
          <w:rFonts w:ascii="Arial" w:cs="Arial" w:eastAsia="Arial" w:hAnsi="Arial"/>
          <w:b/>
          <w:bCs/>
          <w:color w:val="D4C4B0"/>
          <w:sz w:val="22"/>
          <w:szCs w:val="22"/>
        </w:rPr>
        <w:t xml:space="preserve">2. </w:t>
      </w:r>
      <w:r>
        <w:rPr>
          <w:rFonts w:ascii="Arial" w:cs="Arial" w:eastAsia="Arial" w:hAnsi="Arial"/>
          <w:b/>
          <w:bCs/>
          <w:color w:val="313131"/>
          <w:sz w:val="22"/>
          <w:szCs w:val="22"/>
        </w:rPr>
        <w:t xml:space="preserve">Mora Sol Capital</w:t>
      </w:r>
    </w:p>
    <w:p>
      <w:pPr>
        <w:spacing w:after="80"/>
        <w:ind w:left="360"/>
      </w:pPr>
      <w:r>
        <w:rPr>
          <w:rFonts w:ascii="Arial" w:cs="Arial" w:eastAsia="Arial" w:hAnsi="Arial"/>
          <w:i/>
          <w:iCs/>
          <w:color w:val="786E64"/>
          <w:sz w:val="18"/>
          <w:szCs w:val="18"/>
        </w:rPr>
        <w:t xml:space="preserve">Hospitality, storage, and structured funding. Downside-first capital deployed through disciplined partnerships.</w:t>
      </w:r>
    </w:p>
    <w:p>
      <w:pPr>
        <w:spacing w:before="160" w:after="40"/>
      </w:pPr>
      <w:r>
        <w:rPr>
          <w:rFonts w:ascii="Arial" w:cs="Arial" w:eastAsia="Arial" w:hAnsi="Arial"/>
          <w:b/>
          <w:bCs/>
          <w:color w:val="D4C4B0"/>
          <w:sz w:val="22"/>
          <w:szCs w:val="22"/>
        </w:rPr>
        <w:t xml:space="preserve">3. </w:t>
      </w:r>
      <w:r>
        <w:rPr>
          <w:rFonts w:ascii="Arial" w:cs="Arial" w:eastAsia="Arial" w:hAnsi="Arial"/>
          <w:b/>
          <w:bCs/>
          <w:color w:val="313131"/>
          <w:sz w:val="22"/>
          <w:szCs w:val="22"/>
        </w:rPr>
        <w:t xml:space="preserve">Mora Sol Advisory</w:t>
      </w:r>
    </w:p>
    <w:p>
      <w:pPr>
        <w:spacing w:after="80"/>
        <w:ind w:left="360"/>
      </w:pPr>
      <w:r>
        <w:rPr>
          <w:rFonts w:ascii="Arial" w:cs="Arial" w:eastAsia="Arial" w:hAnsi="Arial"/>
          <w:i/>
          <w:iCs/>
          <w:color w:val="786E64"/>
          <w:sz w:val="18"/>
          <w:szCs w:val="18"/>
        </w:rPr>
        <w:t xml:space="preserve">Selective strategy and operating counsel for founders and leadership teams navigating inflection points.</w:t>
      </w:r>
    </w:p>
    <w:p>
      <w:pPr>
        <w:spacing w:before="160" w:after="40"/>
      </w:pPr>
      <w:r>
        <w:rPr>
          <w:rFonts w:ascii="Arial" w:cs="Arial" w:eastAsia="Arial" w:hAnsi="Arial"/>
          <w:b/>
          <w:bCs/>
          <w:color w:val="D4C4B0"/>
          <w:sz w:val="22"/>
          <w:szCs w:val="22"/>
        </w:rPr>
        <w:t xml:space="preserve">4. </w:t>
      </w:r>
      <w:r>
        <w:rPr>
          <w:rFonts w:ascii="Arial" w:cs="Arial" w:eastAsia="Arial" w:hAnsi="Arial"/>
          <w:b/>
          <w:bCs/>
          <w:color w:val="313131"/>
          <w:sz w:val="22"/>
          <w:szCs w:val="22"/>
        </w:rPr>
        <w:t xml:space="preserve">Mora Sol Digital</w:t>
      </w:r>
    </w:p>
    <w:p>
      <w:pPr>
        <w:spacing w:after="80"/>
        <w:ind w:left="360"/>
      </w:pPr>
      <w:r>
        <w:rPr>
          <w:rFonts w:ascii="Arial" w:cs="Arial" w:eastAsia="Arial" w:hAnsi="Arial"/>
          <w:i/>
          <w:iCs/>
          <w:color w:val="786E64"/>
          <w:sz w:val="18"/>
          <w:szCs w:val="18"/>
        </w:rPr>
        <w:t xml:space="preserve">AI automation, CRM, and revenue infrastructure. Productized systems that scale without your time.</w:t>
      </w:r>
    </w:p>
    <w:p>
      <w:pPr>
        <w:spacing w:before="160" w:after="40"/>
      </w:pPr>
      <w:r>
        <w:rPr>
          <w:rFonts w:ascii="Arial" w:cs="Arial" w:eastAsia="Arial" w:hAnsi="Arial"/>
          <w:b/>
          <w:bCs/>
          <w:color w:val="D4C4B0"/>
          <w:sz w:val="22"/>
          <w:szCs w:val="22"/>
        </w:rPr>
        <w:t xml:space="preserve">5. </w:t>
      </w:r>
      <w:r>
        <w:rPr>
          <w:rFonts w:ascii="Arial" w:cs="Arial" w:eastAsia="Arial" w:hAnsi="Arial"/>
          <w:b/>
          <w:bCs/>
          <w:color w:val="313131"/>
          <w:sz w:val="22"/>
          <w:szCs w:val="22"/>
        </w:rPr>
        <w:t xml:space="preserve">Mora Sol Studios</w:t>
      </w:r>
    </w:p>
    <w:p>
      <w:pPr>
        <w:spacing w:after="80"/>
        <w:ind w:left="360"/>
      </w:pPr>
      <w:r>
        <w:rPr>
          <w:rFonts w:ascii="Arial" w:cs="Arial" w:eastAsia="Arial" w:hAnsi="Arial"/>
          <w:i/>
          <w:iCs/>
          <w:color w:val="786E64"/>
          <w:sz w:val="18"/>
          <w:szCs w:val="18"/>
        </w:rPr>
        <w:t xml:space="preserve">Editorial storytelling, branded content, and community. The creative engine and voice of the platform.</w:t>
      </w:r>
    </w:p>
    <w:p>
      <w:pPr>
        <w:spacing w:before="160" w:after="40"/>
      </w:pPr>
      <w:r>
        <w:rPr>
          <w:rFonts w:ascii="Arial" w:cs="Arial" w:eastAsia="Arial" w:hAnsi="Arial"/>
          <w:b/>
          <w:bCs/>
          <w:color w:val="D4C4B0"/>
          <w:sz w:val="22"/>
          <w:szCs w:val="22"/>
        </w:rPr>
        <w:t xml:space="preserve">6. </w:t>
      </w:r>
      <w:r>
        <w:rPr>
          <w:rFonts w:ascii="Arial" w:cs="Arial" w:eastAsia="Arial" w:hAnsi="Arial"/>
          <w:b/>
          <w:bCs/>
          <w:color w:val="313131"/>
          <w:sz w:val="22"/>
          <w:szCs w:val="22"/>
        </w:rPr>
        <w:t xml:space="preserve">Solanki Private Travel</w:t>
      </w:r>
    </w:p>
    <w:p>
      <w:pPr>
        <w:spacing w:after="80"/>
        <w:ind w:left="360"/>
      </w:pPr>
      <w:r>
        <w:rPr>
          <w:rFonts w:ascii="Arial" w:cs="Arial" w:eastAsia="Arial" w:hAnsi="Arial"/>
          <w:i/>
          <w:iCs/>
          <w:color w:val="786E64"/>
          <w:sz w:val="18"/>
          <w:szCs w:val="18"/>
        </w:rPr>
        <w:t xml:space="preserve">Tailor-made travel and experiences. Founder-led curation built on taste, discretion, and trusted partnerships.</w:t>
      </w:r>
    </w:p>
    <w:p>
      <w:r>
        <w:br w:type="page"/>
      </w:r>
    </w:p>
    <w:p>
      <w:pPr>
        <w:spacing w:before="200" w:after="120"/>
      </w:pPr>
      <w:r>
        <w:rPr>
          <w:rFonts w:ascii="Arial" w:cs="Arial" w:eastAsia="Arial" w:hAnsi="Arial"/>
          <w:color w:val="D4C4B0"/>
          <w:spacing w:val="80"/>
          <w:sz w:val="16"/>
          <w:szCs w:val="16"/>
        </w:rPr>
        <w:t xml:space="preserve">INCOME POTENTIAL AT A GLANCE</w:t>
      </w:r>
    </w:p>
    <w:p>
      <w:pPr>
        <w:spacing w:before="0" w:after="80"/>
      </w:pPr>
      <w:r>
        <w:rPr>
          <w:rFonts w:ascii="Arial" w:cs="Arial" w:eastAsia="Arial" w:hAnsi="Arial"/>
          <w:b/>
          <w:bCs/>
          <w:color w:val="313131"/>
          <w:sz w:val="28"/>
          <w:szCs w:val="28"/>
        </w:rPr>
        <w:t xml:space="preserve">CONSOLIDATED ROI SUMMARY</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Conservative-to-moderate income projections for the five profit-generating pillars, plus Foundation fund-raising targets. All figures assume active execution of the 10-step plans within each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800"/>
        <w:gridCol w:w="2360"/>
      </w:tblGrid>
      <w:tr>
        <w:tc>
          <w:tcPr>
            <w:tcW w:type="dxa" w:w="24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PILLAR</w:t>
            </w:r>
          </w:p>
        </w:tc>
        <w:tc>
          <w:tcPr>
            <w:tcW w:type="dxa" w:w="1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TYPE</w:t>
            </w:r>
          </w:p>
        </w:tc>
        <w:tc>
          <w:tcPr>
            <w:tcW w:type="dxa" w:w="1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TIME/WEEK (YR 1)</w:t>
            </w:r>
          </w:p>
        </w:tc>
        <w:tc>
          <w:tcPr>
            <w:tcW w:type="dxa" w:w="18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 INCOME</w:t>
            </w:r>
          </w:p>
        </w:tc>
        <w:tc>
          <w:tcPr>
            <w:tcW w:type="dxa" w:w="23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 INCOME</w:t>
            </w:r>
          </w:p>
        </w:tc>
      </w:tr>
      <w:tr>
        <w:tc>
          <w:tcPr>
            <w:tcW w:type="dxa" w:w="24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r>
              <w:rPr>
                <w:rFonts w:ascii="Arial" w:cs="Arial" w:eastAsia="Arial" w:hAnsi="Arial"/>
                <w:b/>
                <w:bCs/>
                <w:color w:val="313131"/>
                <w:sz w:val="18"/>
                <w:szCs w:val="18"/>
              </w:rPr>
              <w:t xml:space="preserve">Foundation</w:t>
            </w:r>
          </w:p>
        </w:tc>
        <w:tc>
          <w:tcPr>
            <w:tcW w:type="dxa" w:w="12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6"/>
                <w:szCs w:val="16"/>
              </w:rPr>
              <w:t xml:space="preserve">Non-Profit</w:t>
            </w:r>
          </w:p>
        </w:tc>
        <w:tc>
          <w:tcPr>
            <w:tcW w:type="dxa" w:w="16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7"/>
                <w:szCs w:val="17"/>
              </w:rPr>
              <w:t xml:space="preserve">8-12 hrs</w:t>
            </w:r>
          </w:p>
        </w:tc>
        <w:tc>
          <w:tcPr>
            <w:tcW w:type="dxa" w:w="1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$100-250K raised</w:t>
            </w:r>
          </w:p>
        </w:tc>
        <w:tc>
          <w:tcPr>
            <w:tcW w:type="dxa" w:w="23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$500K-1M raised</w:t>
            </w:r>
          </w:p>
        </w:tc>
      </w:tr>
      <w:tr>
        <w:tc>
          <w:tcPr>
            <w:tcW w:type="dxa" w:w="24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8"/>
                <w:szCs w:val="18"/>
              </w:rPr>
              <w:t xml:space="preserve">Capital</w:t>
            </w:r>
          </w:p>
        </w:tc>
        <w:tc>
          <w:tcPr>
            <w:tcW w:type="dxa" w:w="1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6"/>
                <w:szCs w:val="16"/>
              </w:rPr>
              <w:t xml:space="preserve">Investment</w:t>
            </w:r>
          </w:p>
        </w:tc>
        <w:tc>
          <w:tcPr>
            <w:tcW w:type="dxa" w:w="16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15-20 hrs</w:t>
            </w:r>
          </w:p>
        </w:tc>
        <w:tc>
          <w:tcPr>
            <w:tcW w:type="dxa" w:w="1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$50-150K</w:t>
            </w:r>
          </w:p>
        </w:tc>
        <w:tc>
          <w:tcPr>
            <w:tcW w:type="dxa" w:w="23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$250-750K+</w:t>
            </w:r>
          </w:p>
        </w:tc>
      </w:tr>
      <w:tr>
        <w:tc>
          <w:tcPr>
            <w:tcW w:type="dxa" w:w="24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r>
              <w:rPr>
                <w:rFonts w:ascii="Arial" w:cs="Arial" w:eastAsia="Arial" w:hAnsi="Arial"/>
                <w:b/>
                <w:bCs/>
                <w:color w:val="313131"/>
                <w:sz w:val="18"/>
                <w:szCs w:val="18"/>
              </w:rPr>
              <w:t xml:space="preserve">Advisory</w:t>
            </w:r>
          </w:p>
        </w:tc>
        <w:tc>
          <w:tcPr>
            <w:tcW w:type="dxa" w:w="12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6"/>
                <w:szCs w:val="16"/>
              </w:rPr>
              <w:t xml:space="preserve">Services</w:t>
            </w:r>
          </w:p>
        </w:tc>
        <w:tc>
          <w:tcPr>
            <w:tcW w:type="dxa" w:w="16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7"/>
                <w:szCs w:val="17"/>
              </w:rPr>
              <w:t xml:space="preserve">10-15 hrs</w:t>
            </w:r>
          </w:p>
        </w:tc>
        <w:tc>
          <w:tcPr>
            <w:tcW w:type="dxa" w:w="18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$75-200K</w:t>
            </w:r>
          </w:p>
        </w:tc>
        <w:tc>
          <w:tcPr>
            <w:tcW w:type="dxa" w:w="236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$200-500K+</w:t>
            </w:r>
          </w:p>
        </w:tc>
      </w:tr>
      <w:tr>
        <w:tc>
          <w:tcPr>
            <w:tcW w:type="dxa" w:w="24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8"/>
                <w:szCs w:val="18"/>
              </w:rPr>
              <w:t xml:space="preserve">Digital</w:t>
            </w:r>
          </w:p>
        </w:tc>
        <w:tc>
          <w:tcPr>
            <w:tcW w:type="dxa" w:w="1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6"/>
                <w:szCs w:val="16"/>
              </w:rPr>
              <w:t xml:space="preserve">Productized</w:t>
            </w:r>
          </w:p>
        </w:tc>
        <w:tc>
          <w:tcPr>
            <w:tcW w:type="dxa" w:w="16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15-20 hrs</w:t>
            </w:r>
          </w:p>
        </w:tc>
        <w:tc>
          <w:tcPr>
            <w:tcW w:type="dxa" w:w="1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$80-180K</w:t>
            </w:r>
          </w:p>
        </w:tc>
        <w:tc>
          <w:tcPr>
            <w:tcW w:type="dxa" w:w="23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$200-400K+</w:t>
            </w:r>
          </w:p>
        </w:tc>
      </w:tr>
      <w:tr>
        <w:tc>
          <w:tcPr>
            <w:tcW w:type="dxa" w:w="24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r>
              <w:rPr>
                <w:rFonts w:ascii="Arial" w:cs="Arial" w:eastAsia="Arial" w:hAnsi="Arial"/>
                <w:b/>
                <w:bCs/>
                <w:color w:val="313131"/>
                <w:sz w:val="18"/>
                <w:szCs w:val="18"/>
              </w:rPr>
              <w:t xml:space="preserve">Studios</w:t>
            </w:r>
          </w:p>
        </w:tc>
        <w:tc>
          <w:tcPr>
            <w:tcW w:type="dxa" w:w="12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6"/>
                <w:szCs w:val="16"/>
              </w:rPr>
              <w:t xml:space="preserve">Creative</w:t>
            </w:r>
          </w:p>
        </w:tc>
        <w:tc>
          <w:tcPr>
            <w:tcW w:type="dxa" w:w="16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color w:val="786E64"/>
                <w:sz w:val="17"/>
                <w:szCs w:val="17"/>
              </w:rPr>
              <w:t xml:space="preserve">10-15 hrs</w:t>
            </w:r>
          </w:p>
        </w:tc>
        <w:tc>
          <w:tcPr>
            <w:tcW w:type="dxa" w:w="180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$30-80K</w:t>
            </w:r>
          </w:p>
        </w:tc>
        <w:tc>
          <w:tcPr>
            <w:tcW w:type="dxa" w:w="2360"/>
            <w:tcBorders>
              <w:top w:val="single" w:color="D4C4B0" w:sz="1"/>
              <w:left w:val="single" w:color="D4C4B0" w:sz="1"/>
              <w:bottom w:val="single" w:color="D4C4B0" w:sz="1"/>
              <w:right w:val="single" w:color="D4C4B0" w:sz="1"/>
            </w:tcBorders>
            <w:shd w:fill="F7F4F0"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$100-250K+</w:t>
            </w:r>
          </w:p>
        </w:tc>
      </w:tr>
      <w:tr>
        <w:tc>
          <w:tcPr>
            <w:tcW w:type="dxa" w:w="24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8"/>
                <w:szCs w:val="18"/>
              </w:rPr>
              <w:t xml:space="preserve">Travel</w:t>
            </w:r>
          </w:p>
        </w:tc>
        <w:tc>
          <w:tcPr>
            <w:tcW w:type="dxa" w:w="1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6"/>
                <w:szCs w:val="16"/>
              </w:rPr>
              <w:t xml:space="preserve">Commission</w:t>
            </w:r>
          </w:p>
        </w:tc>
        <w:tc>
          <w:tcPr>
            <w:tcW w:type="dxa" w:w="16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5-10 hrs</w:t>
            </w:r>
          </w:p>
        </w:tc>
        <w:tc>
          <w:tcPr>
            <w:tcW w:type="dxa" w:w="1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$20-60K</w:t>
            </w:r>
          </w:p>
        </w:tc>
        <w:tc>
          <w:tcPr>
            <w:tcW w:type="dxa" w:w="23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313131"/>
                <w:sz w:val="17"/>
                <w:szCs w:val="17"/>
              </w:rPr>
              <w:t xml:space="preserve">$75-200K+</w:t>
            </w:r>
          </w:p>
        </w:tc>
      </w:tr>
      <w:tr>
        <w:tc>
          <w:tcPr>
            <w:tcW w:type="dxa" w:w="24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r>
              <w:rPr>
                <w:rFonts w:ascii="Arial" w:cs="Arial" w:eastAsia="Arial" w:hAnsi="Arial"/>
                <w:b/>
                <w:bCs/>
                <w:color w:val="FFFFFF"/>
                <w:sz w:val="16"/>
                <w:szCs w:val="16"/>
              </w:rPr>
              <w:t xml:space="preserve">TOTAL (5 Profit Pillars)</w:t>
            </w:r>
          </w:p>
        </w:tc>
        <w:tc>
          <w:tcPr>
            <w:tcW w:type="dxa" w:w="1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color w:val="FFFFFF"/>
                <w:sz w:val="16"/>
                <w:szCs w:val="16"/>
              </w:rPr>
              <w:t xml:space="preserve"/>
            </w:r>
          </w:p>
        </w:tc>
        <w:tc>
          <w:tcPr>
            <w:tcW w:type="dxa" w:w="1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55-80 hrs</w:t>
            </w:r>
          </w:p>
        </w:tc>
        <w:tc>
          <w:tcPr>
            <w:tcW w:type="dxa" w:w="18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$255-670K</w:t>
            </w:r>
          </w:p>
        </w:tc>
        <w:tc>
          <w:tcPr>
            <w:tcW w:type="dxa" w:w="23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$875K-2.1M+</w:t>
            </w:r>
          </w:p>
        </w:tc>
      </w:tr>
    </w:tbl>
    <w:p>
      <w:pPr>
        <w:spacing w:before="200" w:after="0"/>
      </w:pPr>
    </w:p>
    <w:p>
      <w:pPr>
        <w:spacing w:after="100"/>
      </w:pPr>
      <w:r>
        <w:rPr>
          <w:rFonts w:ascii="Arial" w:cs="Arial" w:eastAsia="Arial" w:hAnsi="Arial"/>
          <w:b/>
          <w:bCs/>
          <w:color w:val="4A6741"/>
          <w:sz w:val="17"/>
          <w:szCs w:val="17"/>
        </w:rPr>
        <w:t xml:space="preserve">Foundation row </w:t>
      </w:r>
      <w:r>
        <w:rPr>
          <w:rFonts w:ascii="Arial" w:cs="Arial" w:eastAsia="Arial" w:hAnsi="Arial"/>
          <w:color w:val="786E64"/>
          <w:sz w:val="17"/>
          <w:szCs w:val="17"/>
        </w:rPr>
        <w:t xml:space="preserve">reflects funds raised and deployed toward mission — not personal income. All Foundation funds are allocated per the 501(c)(3) fund allocation model detailed in the Foundation section.</w:t>
      </w:r>
    </w:p>
    <w:p>
      <w:pPr>
        <w:spacing w:after="100"/>
      </w:pPr>
      <w:r>
        <w:rPr>
          <w:rFonts w:ascii="Arial" w:cs="Arial" w:eastAsia="Arial" w:hAnsi="Arial"/>
          <w:b/>
          <w:bCs/>
          <w:color w:val="313131"/>
          <w:sz w:val="17"/>
          <w:szCs w:val="17"/>
        </w:rPr>
        <w:t xml:space="preserve">Time/Week reflects Year 1 </w:t>
      </w:r>
      <w:r>
        <w:rPr>
          <w:rFonts w:ascii="Arial" w:cs="Arial" w:eastAsia="Arial" w:hAnsi="Arial"/>
          <w:color w:val="786E64"/>
          <w:sz w:val="17"/>
          <w:szCs w:val="17"/>
        </w:rPr>
        <w:t xml:space="preserve">when setup and client acquisition are heaviest. Most pillars require 30-50% less time by Year 2 as systems, teams, and referral pipelines mature.</w:t>
      </w:r>
    </w:p>
    <w:p>
      <w:pPr>
        <w:spacing w:after="100"/>
      </w:pPr>
      <w:r>
        <w:rPr>
          <w:rFonts w:ascii="Arial" w:cs="Arial" w:eastAsia="Arial" w:hAnsi="Arial"/>
          <w:b/>
          <w:bCs/>
          <w:color w:val="313131"/>
          <w:sz w:val="17"/>
          <w:szCs w:val="17"/>
        </w:rPr>
        <w:t xml:space="preserve">Not all pillars need to run simultaneously. </w:t>
      </w:r>
      <w:r>
        <w:rPr>
          <w:rFonts w:ascii="Arial" w:cs="Arial" w:eastAsia="Arial" w:hAnsi="Arial"/>
          <w:color w:val="786E64"/>
          <w:sz w:val="17"/>
          <w:szCs w:val="17"/>
        </w:rPr>
        <w:t xml:space="preserve">Focus on 2-3 pillars in Year 1, then layer in additional pillars as bandwidth allows. The total hours assume full parallel execution, which is aggressive.</w:t>
      </w:r>
    </w:p>
    <w:p>
      <w:r>
        <w:br w:type="page"/>
      </w:r>
    </w:p>
    <w:p>
      <w:pPr>
        <w:spacing w:before="200" w:after="120"/>
      </w:pPr>
      <w:r>
        <w:rPr>
          <w:rFonts w:ascii="Arial" w:cs="Arial" w:eastAsia="Arial" w:hAnsi="Arial"/>
          <w:color w:val="D4C4B0"/>
          <w:spacing w:val="80"/>
          <w:sz w:val="16"/>
          <w:szCs w:val="16"/>
        </w:rPr>
        <w:t xml:space="preserve">PILLAR 1  |  FOUNDATION</w:t>
      </w:r>
    </w:p>
    <w:p>
      <w:pPr>
        <w:spacing w:before="0" w:after="80"/>
      </w:pPr>
      <w:r>
        <w:rPr>
          <w:rFonts w:ascii="Arial" w:cs="Arial" w:eastAsia="Arial" w:hAnsi="Arial"/>
          <w:b/>
          <w:bCs/>
          <w:color w:val="313131"/>
          <w:sz w:val="28"/>
          <w:szCs w:val="28"/>
        </w:rPr>
        <w:t xml:space="preserve">THE SOLANKI FOUNDATION</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Supporting South Asian women impacted by relationship trauma through culturally competent mental health resources, community, and pathways to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the Mission Brief</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Write a one-page mission document: who you serve, what you fund, what success looks like in Year 1. This becomes the anchor for every conversation, grant, and partnership.</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File as 501(c)(3)</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Engage a nonprofit attorney to file IRS Form 1023 or 1023-EZ. Secure EIN, draft bylaws, appoint initial board of directors (minimum 3). Budget ~$2-5K for legal.</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1-4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Build the Board</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Recruit 3-5 board members with complementary skills: one nonprofit operator, one mental health professional, one community leader, one donor-network connector. Start with people who believe in the mission and show up.</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2-6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Research Partner Organizations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Identify 10-15 existing orgs serving South Asian women (Sakhi, Manavi, SAHELI, local shelters). Study their programs, gaps, and funding needs. You are funding and amplifying, not competing.</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2-8</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Secure Inaugural Partnerships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Approach top 3-5 orgs with a specific ask: co-fund a pilot program, sponsor a cohort, or underwrite a service gap. Start with one signed MOU that proves the model.</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Launch Foundation Website + Intake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Publish the foundation.html page as a standalone site or subdomain. Add a simple intake form (Typeform or Google Form) for partnership inquiries and volunteer interest.</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Create the Narrative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Produce 2-3 pieces of foundation content through Studios: a founder video, a written impact brief, and a one-pager for potential donors. Story is the fundraising engine.</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Host a Private Gathering</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Invite 20-30 people to an intimate dinner or salon in Palm Beach. Present the mission, share the data (1 in 3, 73%, under 2%), and make a soft ask. First donors often come from the room.</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Run the First Program</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Execute the pilot with your inaugural partner org. Document everything: number of women served, services delivered, outcomes measured. This becomes your proof of concept.</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4-8</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Publish Impact Report</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Produce a Year 1 impact report: dollars deployed, women reached, partner outcomes, lessons learned. Distribute to donors, post on site, and use as the basis for Year 2 fundraising.</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10-12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FUND ALLOCATION MODEL</w:t>
      </w:r>
    </w:p>
    <w:p>
      <w:pPr>
        <w:spacing w:before="100" w:after="0"/>
      </w:pPr>
    </w:p>
    <w:p>
      <w:pPr>
        <w:spacing w:after="200"/>
      </w:pPr>
      <w:r>
        <w:rPr>
          <w:rFonts w:ascii="Arial" w:cs="Arial" w:eastAsia="Arial" w:hAnsi="Arial"/>
          <w:color w:val="786E64"/>
          <w:sz w:val="18"/>
          <w:szCs w:val="18"/>
        </w:rPr>
        <w:t xml:space="preserve">The Foundation is a 501(c)(3) nonprofit. There is no income to the founder. All funds raised are deployed toward the mission. Here is how every dollar would be allocated: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ALLOCATION</w:t>
            </w:r>
          </w:p>
        </w:tc>
        <w:tc>
          <w:tcPr>
            <w:tcW w:type="dxa" w:w="14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 OF FUNDS</w:t>
            </w:r>
          </w:p>
        </w:tc>
        <w:tc>
          <w:tcPr>
            <w:tcW w:type="dxa" w:w="53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PURPOSE</w:t>
            </w:r>
          </w:p>
        </w:tc>
      </w:tr>
      <w:tr>
        <w:tc>
          <w:tcPr>
            <w:tcW w:type="dxa" w:w="26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Direct Program Funding</w:t>
            </w:r>
          </w:p>
        </w:tc>
        <w:tc>
          <w:tcPr>
            <w:tcW w:type="dxa" w:w="14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60-70%</w:t>
            </w:r>
          </w:p>
        </w:tc>
        <w:tc>
          <w:tcPr>
            <w:tcW w:type="dxa" w:w="53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Grants to partner organizations for mental health services, crisis support, housing assistance, and community programs serving South Asian women.</w:t>
            </w:r>
          </w:p>
        </w:tc>
      </w:tr>
      <w:tr>
        <w:tc>
          <w:tcPr>
            <w:tcW w:type="dxa" w:w="26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Fundraising + Events</w:t>
            </w:r>
          </w:p>
        </w:tc>
        <w:tc>
          <w:tcPr>
            <w:tcW w:type="dxa" w:w="14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10-15%</w:t>
            </w:r>
          </w:p>
        </w:tc>
        <w:tc>
          <w:tcPr>
            <w:tcW w:type="dxa" w:w="53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Private gatherings, donor stewardship, annual gala or salon, and donor communication materials.</w:t>
            </w:r>
          </w:p>
        </w:tc>
      </w:tr>
      <w:tr>
        <w:tc>
          <w:tcPr>
            <w:tcW w:type="dxa" w:w="26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Operations + Administration</w:t>
            </w:r>
          </w:p>
        </w:tc>
        <w:tc>
          <w:tcPr>
            <w:tcW w:type="dxa" w:w="14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10-15%</w:t>
            </w:r>
          </w:p>
        </w:tc>
        <w:tc>
          <w:tcPr>
            <w:tcW w:type="dxa" w:w="53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501(c)(3) compliance, accounting, legal, insurance, board expenses, and basic administrative infrastructure.</w:t>
            </w:r>
          </w:p>
        </w:tc>
      </w:tr>
      <w:tr>
        <w:tc>
          <w:tcPr>
            <w:tcW w:type="dxa" w:w="26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Content + Awareness</w:t>
            </w:r>
          </w:p>
        </w:tc>
        <w:tc>
          <w:tcPr>
            <w:tcW w:type="dxa" w:w="14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5-10%</w:t>
            </w:r>
          </w:p>
        </w:tc>
        <w:tc>
          <w:tcPr>
            <w:tcW w:type="dxa" w:w="53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Impact reports, storytelling through Studios, website maintenance, and public awareness campaigns to reduce stigma.</w:t>
            </w:r>
          </w:p>
        </w:tc>
      </w:tr>
      <w:tr>
        <w:tc>
          <w:tcPr>
            <w:tcW w:type="dxa" w:w="26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Reserve Fund</w:t>
            </w:r>
          </w:p>
        </w:tc>
        <w:tc>
          <w:tcPr>
            <w:tcW w:type="dxa" w:w="14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b/>
                <w:bCs/>
                <w:color w:val="4A6741"/>
                <w:sz w:val="17"/>
                <w:szCs w:val="17"/>
              </w:rPr>
              <w:t xml:space="preserve">5%</w:t>
            </w:r>
          </w:p>
        </w:tc>
        <w:tc>
          <w:tcPr>
            <w:tcW w:type="dxa" w:w="53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Operating reserve for continuity. Industry standard is 3-6 months of operating expenses held in reserve.</w:t>
            </w:r>
          </w:p>
        </w:tc>
      </w:tr>
    </w:tbl>
    <w:p>
      <w:pPr>
        <w:spacing w:before="200" w:after="0"/>
      </w:pPr>
    </w:p>
    <w:p>
      <w:pPr>
        <w:spacing w:after="120"/>
      </w:pPr>
      <w:r>
        <w:rPr>
          <w:rFonts w:ascii="Arial" w:cs="Arial" w:eastAsia="Arial" w:hAnsi="Arial"/>
          <w:b/>
          <w:bCs/>
          <w:color w:val="313131"/>
          <w:sz w:val="18"/>
          <w:szCs w:val="18"/>
        </w:rPr>
        <w:t xml:space="preserve">Time Investment: </w:t>
      </w:r>
      <w:r>
        <w:rPr>
          <w:rFonts w:ascii="Arial" w:cs="Arial" w:eastAsia="Arial" w:hAnsi="Arial"/>
          <w:color w:val="786E64"/>
          <w:sz w:val="18"/>
          <w:szCs w:val="18"/>
        </w:rPr>
        <w:t xml:space="preserve">8-12 hours/week in Year 1 (board meetings, partner calls, fundraising, events). Can reduce to 4-6 hours/week in Year 2+ with a strong board and executive director.</w:t>
      </w:r>
    </w:p>
    <w:p>
      <w:pPr>
        <w:spacing w:after="120"/>
      </w:pPr>
      <w:r>
        <w:rPr>
          <w:rFonts w:ascii="Arial" w:cs="Arial" w:eastAsia="Arial" w:hAnsi="Arial"/>
          <w:b/>
          <w:bCs/>
          <w:color w:val="313131"/>
          <w:sz w:val="18"/>
          <w:szCs w:val="18"/>
        </w:rPr>
        <w:t xml:space="preserve">Fundraising Targets: </w:t>
      </w:r>
      <w:r>
        <w:rPr>
          <w:rFonts w:ascii="Arial" w:cs="Arial" w:eastAsia="Arial" w:hAnsi="Arial"/>
          <w:color w:val="786E64"/>
          <w:sz w:val="18"/>
          <w:szCs w:val="18"/>
        </w:rPr>
        <w:t xml:space="preserve">Raise $100K-$250K in Year 1 through personal network, private events, and initial grants. Year 2-3 target: $500K-$1M annually as the donor base, corporate sponsors, and grant pipeline mature.</w:t>
      </w:r>
    </w:p>
    <w:p>
      <w:pPr>
        <w:spacing w:after="120"/>
      </w:pPr>
      <w:r>
        <w:rPr>
          <w:rFonts w:ascii="Arial" w:cs="Arial" w:eastAsia="Arial" w:hAnsi="Arial"/>
          <w:b/>
          <w:bCs/>
          <w:color w:val="313131"/>
          <w:sz w:val="18"/>
          <w:szCs w:val="18"/>
        </w:rPr>
        <w:t xml:space="preserve">Impact Projections: </w:t>
      </w:r>
      <w:r>
        <w:rPr>
          <w:rFonts w:ascii="Arial" w:cs="Arial" w:eastAsia="Arial" w:hAnsi="Arial"/>
          <w:color w:val="786E64"/>
          <w:sz w:val="18"/>
          <w:szCs w:val="18"/>
        </w:rPr>
        <w:t xml:space="preserve">Year 1: Serve 50-100 women through partner programs. Year 2-3: Scale to 300-500+ women annually across multiple partner organizations and geographies.</w:t>
      </w:r>
    </w:p>
    <w:p>
      <w:r>
        <w:br w:type="page"/>
      </w:r>
    </w:p>
    <w:p>
      <w:pPr>
        <w:spacing w:before="200" w:after="120"/>
      </w:pPr>
      <w:r>
        <w:rPr>
          <w:rFonts w:ascii="Arial" w:cs="Arial" w:eastAsia="Arial" w:hAnsi="Arial"/>
          <w:color w:val="D4C4B0"/>
          <w:spacing w:val="80"/>
          <w:sz w:val="16"/>
          <w:szCs w:val="16"/>
        </w:rPr>
        <w:t xml:space="preserve">PILLAR 2  |  CAPITAL</w:t>
      </w:r>
    </w:p>
    <w:p>
      <w:pPr>
        <w:spacing w:before="0" w:after="80"/>
      </w:pPr>
      <w:r>
        <w:rPr>
          <w:rFonts w:ascii="Arial" w:cs="Arial" w:eastAsia="Arial" w:hAnsi="Arial"/>
          <w:b/>
          <w:bCs/>
          <w:color w:val="313131"/>
          <w:sz w:val="28"/>
          <w:szCs w:val="28"/>
        </w:rPr>
        <w:t xml:space="preserve">MORA SOL CAPITAL</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Hospitality, storage, and structured funding. Downside-first capital deployed through disciplined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Investment Thesis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Write a 3-5 page thesis document covering: target asset classes (hospitality, storage/flex, structured lending), check size range, return expectations, risk framework, and partnership criteria. This is your filter for every deal.</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Establish Legal Entity</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Form the GP entity (LLC or LP structure). Engage a securities attorney to draft operating agreement, subscription docs, and PPM if raising outside capital. Budget $15-30K for legal.</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2-6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Build the Operator Network</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Identify 15-20 hotel operators, storage developers, and fund managers you respect. Take meetings. You are not the operator — you need partners who are. Prioritize track record, alignment, and transparency.</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1-3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Source First Hospitality Deal</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Work with 2-3 hotel-focused fund managers or operators to evaluate live deals. Underwrite at least 5 opportunities before committing capital. Focus on select-service or boutique hotels with strong basis and experienced sponsors.</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2-5</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Source First Storage/Flex Deal</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Identify markets with supply-demand imbalance in self-storage or flex industrial. Partner with a developer-operator who handles execution. Evaluate 3-5 deals with a focus on basis per square foot, population growth, and lease-up risk.</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2-5</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Deploy First Structured Note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Structure or participate in a short-duration bridge loan or mezzanine position. Prioritize downside protection: senior position, personal guarantees, or collateral coverage above 1.0x. Start small ($250K-$500K).</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3-6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Build the Data Room</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Create a standardized data room template for each vertical: deal summary, financial model, sponsor background, risk memo. Discipline here builds credibility with co-investors and future LPs.</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Establish Reporting Cadence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Set up quarterly investor reporting even if you are the only LP. Track IRR, cash-on-cash, MOIC, and qualitative notes per deal. Build the muscle before you need it.</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Cultivate LP Pipeline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Begin having conversations with 10-15 potential co-investors: family offices, HNW individuals, other GPs. Share your thesis, your first deals, and your process. Trust is built over time, not in a single pitch.</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4-8</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Close Fund I or Deal-by-Deal SPV</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Depending on traction, either formalize Fund I ($5-25M target) or continue deploying through deal-by-deal SPVs. The goal by Month 12 is 3-5 deployed positions across all three verticals with documented track record.</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8-12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ROI PROJECTIONS</w:t>
      </w:r>
    </w:p>
    <w:p>
      <w:pPr>
        <w:spacing w:before="100" w:after="0"/>
      </w:pPr>
    </w:p>
    <w:p>
      <w:pPr>
        <w:spacing w:after="200"/>
      </w:pPr>
      <w:r>
        <w:rPr>
          <w:rFonts w:ascii="Arial" w:cs="Arial" w:eastAsia="Arial" w:hAnsi="Arial"/>
          <w:i/>
          <w:iCs/>
          <w:color w:val="786E64"/>
          <w:sz w:val="18"/>
          <w:szCs w:val="18"/>
        </w:rPr>
        <w:t xml:space="preserve">Conservative-to-moderate projections based on comparable businesses. Actual results depend on execution consistency, market conditions, and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METRIC</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w:t>
            </w:r>
          </w:p>
        </w:tc>
        <w:tc>
          <w:tcPr>
            <w:tcW w:type="dxa" w:w="21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NOTES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Time Investment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15-20 hrs/week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10-15 hrs/week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Deal sourcing is front-loaded; shifts to portfolio management</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Startup Costs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$20-40K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Minimal</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Legal, entity formation, accounting, compliance</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AUM Deployed</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$1-3M</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$5-25M</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Own capital first, then outside LPs via Fund I</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Management Fee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$0-30K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$100-500K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2% annual fee on AUM once Fund I closes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Carried Interest (Promote)</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$0</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$50-250K+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20% of profits above hurdle; realized on exits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Cash-on-Cash (Own Capital)</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6-10%</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8-12%</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Distributions from hospitality and storage deals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Structured Note Yield</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10-14%</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10-14%</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Short-duration income; re-deploy as notes mature</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Total Potential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$50-150K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$250K-750K+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Blended from fees, promote, distributions, and note yield</w:t>
            </w:r>
          </w:p>
        </w:tc>
      </w:tr>
    </w:tbl>
    <w:p>
      <w:r>
        <w:br w:type="page"/>
      </w:r>
    </w:p>
    <w:p>
      <w:pPr>
        <w:spacing w:before="200" w:after="120"/>
      </w:pPr>
      <w:r>
        <w:rPr>
          <w:rFonts w:ascii="Arial" w:cs="Arial" w:eastAsia="Arial" w:hAnsi="Arial"/>
          <w:color w:val="D4C4B0"/>
          <w:spacing w:val="80"/>
          <w:sz w:val="16"/>
          <w:szCs w:val="16"/>
        </w:rPr>
        <w:t xml:space="preserve">PILLAR 3  |  ADVISORY</w:t>
      </w:r>
    </w:p>
    <w:p>
      <w:pPr>
        <w:spacing w:before="0" w:after="80"/>
      </w:pPr>
      <w:r>
        <w:rPr>
          <w:rFonts w:ascii="Arial" w:cs="Arial" w:eastAsia="Arial" w:hAnsi="Arial"/>
          <w:b/>
          <w:bCs/>
          <w:color w:val="313131"/>
          <w:sz w:val="28"/>
          <w:szCs w:val="28"/>
        </w:rPr>
        <w:t xml:space="preserve">MORA SOL ADVISORY</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Selective strategy and operating counsel for founders and leadership teams navigating inflection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Your Advisory Niche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Write a clear positioning statement: who you advise (founders, operators, family businesses), what you help with (growth strategy, capital raising, operational restructuring), and what you do not do. Specificity builds credibility.</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Package the Offering</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Create 2-3 engagement models: a short-term diagnostic (2-4 week sprint), an ongoing retainer (quarterly), and a project-based scope. Define deliverables, pricing, and boundaries for each.</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1-2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Build a One-Page Capabilities Deck</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Design a single-page PDF or digital brief that captures who you are, what you do, relevant experience, and how to engage. No 40-slide pitch deck — this is advisory, not fundraising.</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Activate Your Network</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Reach out to 20-30 people in your existing network: former colleagues, founders you have helped informally, investors, attorneys. Let them know the advisory practice is formalized. Referrals are the engine.</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2-4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Land First 2-3 Clients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Take on 2-3 initial engagements, ideally across different use cases (one founder, one operator, one family business). Price to build case studies, not to maximize revenue. The portfolio of outcomes is the product.</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1-3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Develop Process Templates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Build repeatable frameworks: a diagnostic questionnaire, a 90-day action plan template, a board-ready strategy memo format. Systems let you scale quality without scaling your time.</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Create Thought Leadership</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Publish 1-2 pieces per month through Studios: short essays on strategy, operational lessons, or market observations. Position yourself as someone who thinks clearly and publicly. LinkedIn + the Solanki site are your distribution.</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Strategic Partnerships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Develop referral relationships with 3-5 complementary professionals: a corporate attorney, an executive recruiter, a fractional CFO, a branding firm. You send them business, they send you business.</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3-6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Document Case Studies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With client permission, write 2-3 anonymized or branded case studies: the situation, your approach, the outcome. These go on the advisory page and become your most powerful sales tool.</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6-9</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Evaluate Scale Model</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At 6-9 months, decide: do you stay solo and selective, bring on a junior associate, or productize into a group practice? The right answer depends on pipeline, margin, and how much of your time you want allocated here.</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9-12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ROI PROJECTIONS</w:t>
      </w:r>
    </w:p>
    <w:p>
      <w:pPr>
        <w:spacing w:before="100" w:after="0"/>
      </w:pPr>
    </w:p>
    <w:p>
      <w:pPr>
        <w:spacing w:after="200"/>
      </w:pPr>
      <w:r>
        <w:rPr>
          <w:rFonts w:ascii="Arial" w:cs="Arial" w:eastAsia="Arial" w:hAnsi="Arial"/>
          <w:i/>
          <w:iCs/>
          <w:color w:val="786E64"/>
          <w:sz w:val="18"/>
          <w:szCs w:val="18"/>
        </w:rPr>
        <w:t xml:space="preserve">Conservative-to-moderate projections based on comparable businesses. Actual results depend on execution consistency, market conditions, and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METRIC</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w:t>
            </w:r>
          </w:p>
        </w:tc>
        <w:tc>
          <w:tcPr>
            <w:tcW w:type="dxa" w:w="21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NOTES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Time Investment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10-15 hrs/week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8-12 hrs/week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Decreases as frameworks and referral engine mature</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Startup Costs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$2-5K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Minimal</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LLC, website, basic marketing materials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Diagnostic Sprint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$5-15K per</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$15-25K per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2-4 week engagement; 3-5 per year</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Retainer Clients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2-3 clients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4-6 clients</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$3-8K/month per client</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Project Engagements</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$10-25K per</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$25-50K per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Capital raises, restructurings, M&amp;A prep</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Equity/Upside Deals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$0</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Variable</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Select clients may offer equity for advisory; long-term upside</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Total Potential Income</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$75-200K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$200-500K+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Retainers provide base; projects provide peaks</w:t>
            </w:r>
          </w:p>
        </w:tc>
      </w:tr>
    </w:tbl>
    <w:p>
      <w:r>
        <w:br w:type="page"/>
      </w:r>
    </w:p>
    <w:p>
      <w:pPr>
        <w:spacing w:before="200" w:after="120"/>
      </w:pPr>
      <w:r>
        <w:rPr>
          <w:rFonts w:ascii="Arial" w:cs="Arial" w:eastAsia="Arial" w:hAnsi="Arial"/>
          <w:color w:val="D4C4B0"/>
          <w:spacing w:val="80"/>
          <w:sz w:val="16"/>
          <w:szCs w:val="16"/>
        </w:rPr>
        <w:t xml:space="preserve">PILLAR 4  |  DIGITAL</w:t>
      </w:r>
    </w:p>
    <w:p>
      <w:pPr>
        <w:spacing w:before="0" w:after="80"/>
      </w:pPr>
      <w:r>
        <w:rPr>
          <w:rFonts w:ascii="Arial" w:cs="Arial" w:eastAsia="Arial" w:hAnsi="Arial"/>
          <w:b/>
          <w:bCs/>
          <w:color w:val="313131"/>
          <w:sz w:val="28"/>
          <w:szCs w:val="28"/>
        </w:rPr>
        <w:t xml:space="preserve">MORA SOL DIGITAL</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AI automation, CRM, and revenue infrastructure. Productized systems that scale without your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Service Menu</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Codify exactly what you build: AI workflow automation, CRM setup and optimization, revenue ops infrastructure, email/marketing automation. Each service should be a repeatable, scoped package with clear deliverables.</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Your Own Stack First</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Implement every tool you plan to sell on Solanki Co itself. CRM, email sequences, analytics, automation flows. You become the case study. If you cannot show it working for you, nobody will buy it from you.</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1-4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Create Productized Packages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Design 3 tiers: a starter package (CRM setup + 3 automations), a growth package (full rev ops + AI workflows), and a custom enterprise scope. Fixed pricing, defined timelines, clear SOWs.</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2-3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the Sales Page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Update digital.html with the service tiers, pricing framework (or 'starting at' anchors), a client intake form, and 1-2 mini case studies. The page should convert a warm lead into a booked call.</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3-4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Land First 3 Clients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Target small businesses and founders in your network who are drowning in manual processes. Offer the starter package at a reduced rate in exchange for a testimonial and case study. Deliver flawlessly.</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1-3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SOPs and Playbooks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Document every implementation step: CRM migration checklist, automation build workflow, QA testing protocol, client onboarding flow. These SOPs are how you eventually delegate without losing quality.</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Develop Template Library</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Create reusable templates: email sequences, CRM pipelines, dashboard configurations, Zapier/Make workflows. Templates cut delivery time by 60% and increase margin on every engagement.</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Hire or Contract First Builder</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Bring on a part-time contractor (VA, junior dev, or ops specialist) to handle implementation while you focus on sales and strategy. Test with 1 contractor before scaling to a team.</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Launch Content Engine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Publish weekly content showing AI automation wins, before/after metrics, and system breakdowns. Short-form on X, long-form on the site via Studios. This is your top-of-funnel acquisition strategy.</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3-6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Hit $10K MRR Milestone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Target: 5-8 active clients generating $10K+ in monthly recurring revenue by Month 9-12. At this point, evaluate: keep it as a lean productized service, or invest in scaling with a small team and higher-ticket enterprise clients.</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9-12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ROI PROJECTIONS</w:t>
      </w:r>
    </w:p>
    <w:p>
      <w:pPr>
        <w:spacing w:before="100" w:after="0"/>
      </w:pPr>
    </w:p>
    <w:p>
      <w:pPr>
        <w:spacing w:after="200"/>
      </w:pPr>
      <w:r>
        <w:rPr>
          <w:rFonts w:ascii="Arial" w:cs="Arial" w:eastAsia="Arial" w:hAnsi="Arial"/>
          <w:i/>
          <w:iCs/>
          <w:color w:val="786E64"/>
          <w:sz w:val="18"/>
          <w:szCs w:val="18"/>
        </w:rPr>
        <w:t xml:space="preserve">Conservative-to-moderate projections based on comparable businesses. Actual results depend on execution consistency, market conditions, and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METRIC</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w:t>
            </w:r>
          </w:p>
        </w:tc>
        <w:tc>
          <w:tcPr>
            <w:tcW w:type="dxa" w:w="21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NOTES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Time Investment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15-20 hrs/week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5-10 hrs/week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Most scalable pillar; contractors handle delivery</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Startup Costs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$3-8K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$5-15K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Tools, subscriptions, contractor onboarding</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Starter Package</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$2-5K per</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$3-5K per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CRM + 3 automations; highest volume tier</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Growth Package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$8-15K per</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$10-20K per</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Full rev ops + AI workflows; core revenue</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Enterprise / Custom</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$15-30K per</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$25-50K+ per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Custom builds; fewer clients, higher margin</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Recurring Revenue (MRR)</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$5-10K/mo</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$15-30K/mo</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Maintenance retainers, ongoing optimization</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Contractor Costs</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$2-4K/mo</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$5-10K/mo</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Implementation team; scales with revenue</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Total Potential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$80-180K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$200-400K+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High margin once templates + team are in place</w:t>
            </w:r>
          </w:p>
        </w:tc>
      </w:tr>
    </w:tbl>
    <w:p>
      <w:r>
        <w:br w:type="page"/>
      </w:r>
    </w:p>
    <w:p>
      <w:pPr>
        <w:spacing w:before="200" w:after="120"/>
      </w:pPr>
      <w:r>
        <w:rPr>
          <w:rFonts w:ascii="Arial" w:cs="Arial" w:eastAsia="Arial" w:hAnsi="Arial"/>
          <w:color w:val="D4C4B0"/>
          <w:spacing w:val="80"/>
          <w:sz w:val="16"/>
          <w:szCs w:val="16"/>
        </w:rPr>
        <w:t xml:space="preserve">PILLAR 5  |  STUDIOS</w:t>
      </w:r>
    </w:p>
    <w:p>
      <w:pPr>
        <w:spacing w:before="0" w:after="80"/>
      </w:pPr>
      <w:r>
        <w:rPr>
          <w:rFonts w:ascii="Arial" w:cs="Arial" w:eastAsia="Arial" w:hAnsi="Arial"/>
          <w:b/>
          <w:bCs/>
          <w:color w:val="313131"/>
          <w:sz w:val="28"/>
          <w:szCs w:val="28"/>
        </w:rPr>
        <w:t xml:space="preserve">MORA SOL STUDIOS</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Editorial storytelling, branded content, and community. The creative engine and voice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the Editorial Voice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Write a brand voice guide for Studios: tone (quiet conviction, substance over flash), themes (entrepreneurship, legacy, culture, craft), formats (essays, short films, interviews, social series). This is the DNA.</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the Content Calendar</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Map out 90 days of content across three formats: written (2x/month long-form), social (3-4x/week short-form), and video (1x/month). Assign each piece to a pillar so Studios serves the entire ecosystem.</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1-2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Set Up Production Infrastructure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Establish the tools: video editing suite (Final Cut or DaVinci), design tools (Canva Pro or Figma), podcast setup if applicable, social scheduling (Typefully for X, Later for IG). Invest in a quality microphone and lighting for video.</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2-3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Produce Foundational Content</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Create 5 anchor pieces before launch: a founder origin story (video), the Mora Sol philosophy (essay), one piece per active pillar (Capital thesis overview, Foundation mission, Digital capabilities). These seed the entire platform.</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3-6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Launch Social Presence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Activate X (@solanki) and Instagram (@solanki.co) with a consistent posting cadence. Week 1: 1 post/day for 7 days as a launch sequence. Then settle into 3-4x/week. Quality over quantity — every post should feel intentional.</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Start a Newsletter</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Launch a simple email newsletter (Substack, Beehiiv, or ConvertKit). Monthly frequency. Curated insights, one original essay, links to new content. Build the list from Day 1 — even with 50 subscribers, the compounding starts now.</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Produce First Video Series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Create a 3-5 episode mini series: short interviews with operators, founders, or community members. Keep production clean and minimal (the brand aesthetic). Publish on YouTube and clip for social.</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3-5</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Community Touchpoints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Host 1-2 small events (virtual or in-person): a roundtable, a dinner, a creative workshop. Studios is the community arm — content creates reach, events create depth. Document everything for future content.</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4-6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Monetize Through Branded Content</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Offer Studios capabilities to external clients: branded video, content strategy, social management. Package as a service alongside Digital. Target 2-3 external clients by Month 8.</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6-9</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Measure and Refine</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At Month 6 and Month 12, audit performance: follower growth, engagement rates, newsletter open rates, content-to-lead conversion. Double down on what works, kill what does not. Studios should drive awareness across every pillar.</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6-12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ROI PROJECTIONS</w:t>
      </w:r>
    </w:p>
    <w:p>
      <w:pPr>
        <w:spacing w:before="100" w:after="0"/>
      </w:pPr>
    </w:p>
    <w:p>
      <w:pPr>
        <w:spacing w:after="200"/>
      </w:pPr>
      <w:r>
        <w:rPr>
          <w:rFonts w:ascii="Arial" w:cs="Arial" w:eastAsia="Arial" w:hAnsi="Arial"/>
          <w:i/>
          <w:iCs/>
          <w:color w:val="786E64"/>
          <w:sz w:val="18"/>
          <w:szCs w:val="18"/>
        </w:rPr>
        <w:t xml:space="preserve">Conservative-to-moderate projections based on comparable businesses. Actual results depend on execution consistency, market conditions, and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METRIC</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w:t>
            </w:r>
          </w:p>
        </w:tc>
        <w:tc>
          <w:tcPr>
            <w:tcW w:type="dxa" w:w="21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NOTES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Time Investment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10-15 hrs/week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5-8 hrs/week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Heaviest early; systematize with contractors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Startup Costs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$5-10K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$3-5K/yr</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Equipment, tools, subscriptions, freelancers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Internal Value</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High</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Compounding</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Drives leads to Capital, Advisory, Digital, Travel</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Branded Content Clients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2-3 clients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5-8 clients</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$3-10K per project</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Social Management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$0-2K/mo</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$5-10K/mo</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Recurring revenue from managed accounts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Newsletter Sponsorship</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$0</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$500-2K/mo</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Requires 2K+ engaged subscribers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Video Production</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$5-10K per</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$10-25K per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Brand films, mini-docs, event coverage</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Total Potential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$30-80K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$100-250K+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Dual value: direct revenue + ecosystem amplifier</w:t>
            </w:r>
          </w:p>
        </w:tc>
      </w:tr>
    </w:tbl>
    <w:p>
      <w:r>
        <w:br w:type="page"/>
      </w:r>
    </w:p>
    <w:p>
      <w:pPr>
        <w:spacing w:before="200" w:after="120"/>
      </w:pPr>
      <w:r>
        <w:rPr>
          <w:rFonts w:ascii="Arial" w:cs="Arial" w:eastAsia="Arial" w:hAnsi="Arial"/>
          <w:color w:val="D4C4B0"/>
          <w:spacing w:val="80"/>
          <w:sz w:val="16"/>
          <w:szCs w:val="16"/>
        </w:rPr>
        <w:t xml:space="preserve">PILLAR 6  |  TRAVEL</w:t>
      </w:r>
    </w:p>
    <w:p>
      <w:pPr>
        <w:spacing w:before="0" w:after="80"/>
      </w:pPr>
      <w:r>
        <w:rPr>
          <w:rFonts w:ascii="Arial" w:cs="Arial" w:eastAsia="Arial" w:hAnsi="Arial"/>
          <w:b/>
          <w:bCs/>
          <w:color w:val="313131"/>
          <w:sz w:val="28"/>
          <w:szCs w:val="28"/>
        </w:rPr>
        <w:t xml:space="preserve">SOLANKI PRIVATE TRAVEL</w:t>
      </w:r>
    </w:p>
    <w:p>
      <w:pPr>
        <w:pBdr>
          <w:bottom w:val="single" w:color="D4C4B0" w:sz="4" w:space="1"/>
        </w:pBdr>
        <w:spacing w:before="0" w:after="200"/>
      </w:pPr>
    </w:p>
    <w:p>
      <w:pPr>
        <w:spacing w:after="300"/>
      </w:pPr>
      <w:r>
        <w:rPr>
          <w:rFonts w:ascii="Arial" w:cs="Arial" w:eastAsia="Arial" w:hAnsi="Arial"/>
          <w:i/>
          <w:iCs/>
          <w:color w:val="786E64"/>
          <w:sz w:val="20"/>
          <w:szCs w:val="20"/>
        </w:rPr>
        <w:t xml:space="preserve">Tailor-made travel and experiences. Founder-led curation built on taste, discretion, and trusted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c>
          <w:tcPr>
            <w:tcW w:type="dxa" w:w="6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w:t>
            </w:r>
          </w:p>
        </w:tc>
        <w:tc>
          <w:tcPr>
            <w:tcW w:type="dxa" w:w="22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ACTION</w:t>
            </w:r>
          </w:p>
        </w:tc>
        <w:tc>
          <w:tcPr>
            <w:tcW w:type="dxa" w:w="506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DETAILS</w:t>
            </w:r>
          </w:p>
        </w:tc>
        <w:tc>
          <w:tcPr>
            <w:tcW w:type="dxa" w:w="1500"/>
            <w:tcBorders>
              <w:top w:val="single" w:color="D4C4B0" w:sz="1"/>
              <w:left w:val="single" w:color="D4C4B0" w:sz="1"/>
              <w:bottom w:val="single" w:color="D4C4B0" w:sz="1"/>
              <w:right w:val="single" w:color="D4C4B0" w:sz="1"/>
            </w:tcBorders>
            <w:shd w:fill="313131" w:val="clear"/>
            <w:tcMar>
              <w:top w:type="dxa" w:w="80"/>
              <w:left w:type="dxa" w:w="120"/>
              <w:bottom w:type="dxa" w:w="80"/>
              <w:right w:type="dxa" w:w="120"/>
            </w:tcMar>
          </w:tcPr>
          <w:p>
            <w:pPr>
              <w:jc w:val="center"/>
            </w:pPr>
            <w:r>
              <w:rPr>
                <w:rFonts w:ascii="Arial" w:cs="Arial" w:eastAsia="Arial" w:hAnsi="Arial"/>
                <w:b/>
                <w:bCs/>
                <w:color w:val="FFFFFF"/>
                <w:spacing w:val="40"/>
                <w:sz w:val="16"/>
                <w:szCs w:val="16"/>
              </w:rPr>
              <w:t xml:space="preserve">TIMELINE</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Define the Travel Philosophy</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Write a one-page positioning document: what kind of travel you curate (experiential, luxury, culturally immersive), who the ideal client is (HNW individuals, couples, families), and what you do not do (group tours, budget travel, cookie-cutter itineraries).</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 1</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2</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Get Credentialed</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Apply to host agency networks (Virtuoso, Travel Leaders, Signature) or affiliate with an established luxury travel advisor as a mentor. Credentials unlock preferred rates, upgrades, and supplier access that you cannot get independently.</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Weeks 1-4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3</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Build Supplier Relationships</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Reach out to 20-30 hotels, DMCs (destination management companies), and experience providers you admire. Introduce yourself, request rate sheets, and begin building rapport. Relationships are the product.</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1-3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4</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Create 3 Signature Itineraries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Design 3 sample journeys that showcase your taste and range: one aspirational (East Africa safari), one cultural (Rajasthan immersion), one accessible luxury (Amalfi Coast for families). These are your portfolio pieces.</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1-2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5</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Launch the Travel Page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Update travel.html with your philosophy, 1-2 sample itineraries (beautifully presented), and a consultation request form. The page should feel like an invitation, not a booking engine.</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2</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6</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Land First 3-5 Clients</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Start with your personal network: friends, family, advisory clients, Foundation donors. Offer to plan a trip at a reduced planning fee in exchange for feedback and a testimonial. Word of mouth is everything in luxury travel.</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2-4</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7</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Develop the Client Experience</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Build the end-to-end service flow: discovery call template, proposal format (branded PDF), pre-trip briefing, real-time support during travel, post-trip follow-up. Every touchpoint should feel considered.</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3</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8</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Build a Visual Content Library</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Photograph and document every trip (with client permission). Build a library of original images and short videos for social, the website, and proposals. Studios handles production, Travel provides the material.</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Months 3-8</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9</w:t>
            </w:r>
          </w:p>
        </w:tc>
        <w:tc>
          <w:tcPr>
            <w:tcW w:type="dxa" w:w="22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r>
              <w:rPr>
                <w:rFonts w:ascii="Arial" w:cs="Arial" w:eastAsia="Arial" w:hAnsi="Arial"/>
                <w:b/>
                <w:bCs/>
                <w:color w:val="313131"/>
                <w:sz w:val="19"/>
                <w:szCs w:val="19"/>
              </w:rPr>
              <w:t xml:space="preserve">Create Referral Program</w:t>
            </w:r>
          </w:p>
        </w:tc>
        <w:tc>
          <w:tcPr>
            <w:tcW w:type="dxa" w:w="506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tcPr>
          <w:p>
            <w:pPr>
              <w:spacing w:after="0"/>
            </w:pPr>
            <w:r>
              <w:rPr>
                <w:rFonts w:ascii="Arial" w:cs="Arial" w:eastAsia="Arial" w:hAnsi="Arial"/>
                <w:color w:val="786E64"/>
                <w:sz w:val="18"/>
                <w:szCs w:val="18"/>
              </w:rPr>
              <w:t xml:space="preserve">Design a simple referral incentive: travel credit, a gift, or a charitable donation to the Foundation in the referrer's name. Luxury travel grows through trust networks, not advertising.</w:t>
            </w:r>
          </w:p>
        </w:tc>
        <w:tc>
          <w:tcPr>
            <w:tcW w:type="dxa" w:w="1500"/>
            <w:tcBorders>
              <w:top w:val="single" w:color="D4C4B0" w:sz="1"/>
              <w:left w:val="single" w:color="D4C4B0" w:sz="1"/>
              <w:bottom w:val="single" w:color="D4C4B0" w:sz="1"/>
              <w:right w:val="single" w:color="D4C4B0" w:sz="1"/>
            </w:tcBorders>
            <w:shd w:fill="FFFFFF"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6</w:t>
            </w:r>
          </w:p>
        </w:tc>
      </w:tr>
      <w:tr>
        <w:tc>
          <w:tcPr>
            <w:tcW w:type="dxa" w:w="600"/>
            <w:tcBorders>
              <w:top w:val="single" w:color="D4C4B0" w:sz="1"/>
              <w:left w:val="single" w:color="D4C4B0" w:sz="1"/>
              <w:bottom w:val="single" w:color="D4C4B0" w:sz="1"/>
              <w:right w:val="single" w:color="D4C4B0" w:sz="1"/>
            </w:tcBorders>
            <w:shd w:fill="E8DFD3" w:val="clear"/>
            <w:tcMar>
              <w:top w:type="dxa" w:w="80"/>
              <w:left w:type="dxa" w:w="120"/>
              <w:bottom w:type="dxa" w:w="80"/>
              <w:right w:type="dxa" w:w="120"/>
            </w:tcMar>
            <w:vAlign w:val="center"/>
          </w:tcPr>
          <w:p>
            <w:pPr>
              <w:jc w:val="center"/>
            </w:pPr>
            <w:r>
              <w:rPr>
                <w:rFonts w:ascii="Arial" w:cs="Arial" w:eastAsia="Arial" w:hAnsi="Arial"/>
                <w:b/>
                <w:bCs/>
                <w:color w:val="313131"/>
                <w:sz w:val="20"/>
                <w:szCs w:val="20"/>
              </w:rPr>
              <w:t xml:space="preserve">10</w:t>
            </w:r>
          </w:p>
        </w:tc>
        <w:tc>
          <w:tcPr>
            <w:tcW w:type="dxa" w:w="22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r>
              <w:rPr>
                <w:rFonts w:ascii="Arial" w:cs="Arial" w:eastAsia="Arial" w:hAnsi="Arial"/>
                <w:b/>
                <w:bCs/>
                <w:color w:val="313131"/>
                <w:sz w:val="19"/>
                <w:szCs w:val="19"/>
              </w:rPr>
              <w:t xml:space="preserve">Evaluate Annual Revenue Model</w:t>
            </w:r>
          </w:p>
        </w:tc>
        <w:tc>
          <w:tcPr>
            <w:tcW w:type="dxa" w:w="506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tcPr>
          <w:p>
            <w:pPr>
              <w:spacing w:after="0"/>
            </w:pPr>
            <w:r>
              <w:rPr>
                <w:rFonts w:ascii="Arial" w:cs="Arial" w:eastAsia="Arial" w:hAnsi="Arial"/>
                <w:color w:val="786E64"/>
                <w:sz w:val="18"/>
                <w:szCs w:val="18"/>
              </w:rPr>
              <w:t xml:space="preserve">At Month 12, assess: planning fees collected, commission income, average trip value, client retention rate. Decide whether to scale (hire a junior advisor), keep it boutique (5-10 clients/year), or sunset if the economics do not justify the time.</w:t>
            </w:r>
          </w:p>
        </w:tc>
        <w:tc>
          <w:tcPr>
            <w:tcW w:type="dxa" w:w="1500"/>
            <w:tcBorders>
              <w:top w:val="single" w:color="D4C4B0" w:sz="1"/>
              <w:left w:val="single" w:color="D4C4B0" w:sz="1"/>
              <w:bottom w:val="single" w:color="D4C4B0" w:sz="1"/>
              <w:right w:val="single" w:color="D4C4B0" w:sz="1"/>
            </w:tcBorders>
            <w:shd w:fill="F7F4F0" w:val="clear"/>
            <w:tcMar>
              <w:top w:type="dxa" w:w="80"/>
              <w:left w:type="dxa" w:w="120"/>
              <w:bottom w:type="dxa" w:w="80"/>
              <w:right w:type="dxa" w:w="120"/>
            </w:tcMar>
            <w:vAlign w:val="center"/>
          </w:tcPr>
          <w:p>
            <w:pPr>
              <w:jc w:val="center"/>
            </w:pPr>
            <w:r>
              <w:rPr>
                <w:rFonts w:ascii="Arial" w:cs="Arial" w:eastAsia="Arial" w:hAnsi="Arial"/>
                <w:color w:val="786E64"/>
                <w:sz w:val="17"/>
                <w:szCs w:val="17"/>
              </w:rPr>
              <w:t xml:space="preserve">Month 12</w:t>
            </w:r>
          </w:p>
        </w:tc>
      </w:tr>
    </w:tbl>
    <w:p>
      <w:pPr>
        <w:spacing w:before="400" w:after="0"/>
      </w:pPr>
    </w:p>
    <w:p>
      <w:pPr>
        <w:pBdr>
          <w:bottom w:val="single" w:color="4A6741" w:sz="4" w:space="1"/>
        </w:pBdr>
        <w:spacing w:before="0" w:after="80"/>
      </w:pPr>
      <w:r>
        <w:rPr>
          <w:rFonts w:ascii="Arial" w:cs="Arial" w:eastAsia="Arial" w:hAnsi="Arial"/>
          <w:b/>
          <w:bCs/>
          <w:color w:val="4A6741"/>
          <w:spacing w:val="60"/>
          <w:sz w:val="22"/>
          <w:szCs w:val="22"/>
        </w:rPr>
        <w:t xml:space="preserve">ROI PROJECTIONS</w:t>
      </w:r>
    </w:p>
    <w:p>
      <w:pPr>
        <w:spacing w:before="100" w:after="0"/>
      </w:pPr>
    </w:p>
    <w:p>
      <w:pPr>
        <w:spacing w:after="200"/>
      </w:pPr>
      <w:r>
        <w:rPr>
          <w:rFonts w:ascii="Arial" w:cs="Arial" w:eastAsia="Arial" w:hAnsi="Arial"/>
          <w:i/>
          <w:iCs/>
          <w:color w:val="786E64"/>
          <w:sz w:val="18"/>
          <w:szCs w:val="18"/>
        </w:rPr>
        <w:t xml:space="preserve">Conservative-to-moderate projections based on comparable businesses. Actual results depend on execution consistency, market conditions, and network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METRIC</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1</w:t>
            </w:r>
          </w:p>
        </w:tc>
        <w:tc>
          <w:tcPr>
            <w:tcW w:type="dxa" w:w="220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YEAR 2-3</w:t>
            </w:r>
          </w:p>
        </w:tc>
        <w:tc>
          <w:tcPr>
            <w:tcW w:type="dxa" w:w="2160"/>
            <w:tcBorders>
              <w:top w:val="single" w:color="D4C4B0" w:sz="1"/>
              <w:left w:val="single" w:color="D4C4B0" w:sz="1"/>
              <w:bottom w:val="single" w:color="D4C4B0" w:sz="1"/>
              <w:right w:val="single" w:color="D4C4B0" w:sz="1"/>
            </w:tcBorders>
            <w:shd w:fill="4A6741" w:val="clear"/>
            <w:tcMar>
              <w:top w:type="dxa" w:w="80"/>
              <w:left w:type="dxa" w:w="120"/>
              <w:bottom w:type="dxa" w:w="80"/>
              <w:right w:type="dxa" w:w="120"/>
            </w:tcMar>
          </w:tcPr>
          <w:p>
            <w:pPr>
              <w:jc w:val="center"/>
            </w:pPr>
            <w:r>
              <w:rPr>
                <w:rFonts w:ascii="Arial" w:cs="Arial" w:eastAsia="Arial" w:hAnsi="Arial"/>
                <w:b/>
                <w:bCs/>
                <w:color w:val="FFFFFF"/>
                <w:spacing w:val="40"/>
                <w:sz w:val="15"/>
                <w:szCs w:val="15"/>
              </w:rPr>
              <w:t xml:space="preserve">NOTES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Time Investment</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5-10 hrs/week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5-8 hrs/week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Lowest time commitment; seasonal peaks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Startup Costs</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$2-5K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Minimal</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Host agency fees, IATA/CLIA, marketing</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Planning Fees</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$250-500/trip</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$500-1,500/trip</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Non-refundable; applied to booking or kept</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Commission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10-16% of booking</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12-18% of booking</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Higher tiers with Virtuoso/preferred status</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Avg Trip Value</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$10-25K</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$15-50K+</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HNW clients, multi-week itineraries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Clients Per Year</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5-10</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10-20</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Boutique model; quality over volume</w:t>
            </w:r>
          </w:p>
        </w:tc>
      </w:tr>
      <w:tr>
        <w:tc>
          <w:tcPr>
            <w:tcW w:type="dxa" w:w="28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b/>
                <w:bCs/>
                <w:color w:val="313131"/>
                <w:sz w:val="17"/>
                <w:szCs w:val="17"/>
              </w:rPr>
              <w:t xml:space="preserve">Supplier Overrides/Bonuses</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$0</w:t>
            </w:r>
          </w:p>
        </w:tc>
        <w:tc>
          <w:tcPr>
            <w:tcW w:type="dxa" w:w="220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pPr>
              <w:jc w:val="center"/>
            </w:pPr>
            <w:r>
              <w:rPr>
                <w:rFonts w:ascii="Arial" w:cs="Arial" w:eastAsia="Arial" w:hAnsi="Arial"/>
                <w:color w:val="786E64"/>
                <w:sz w:val="17"/>
                <w:szCs w:val="17"/>
              </w:rPr>
              <w:t xml:space="preserve">$2-5K/yr</w:t>
            </w:r>
          </w:p>
        </w:tc>
        <w:tc>
          <w:tcPr>
            <w:tcW w:type="dxa" w:w="2160"/>
            <w:tcBorders>
              <w:top w:val="single" w:color="D4C4B0" w:sz="1"/>
              <w:left w:val="single" w:color="D4C4B0" w:sz="1"/>
              <w:bottom w:val="single" w:color="D4C4B0" w:sz="1"/>
              <w:right w:val="single" w:color="D4C4B0" w:sz="1"/>
            </w:tcBorders>
            <w:shd w:fill="EAF2EC" w:val="clear"/>
            <w:tcMar>
              <w:top w:type="dxa" w:w="60"/>
              <w:left w:type="dxa" w:w="120"/>
              <w:bottom w:type="dxa" w:w="60"/>
              <w:right w:type="dxa" w:w="120"/>
            </w:tcMar>
          </w:tcPr>
          <w:p>
            <w:r>
              <w:rPr>
                <w:rFonts w:ascii="Arial" w:cs="Arial" w:eastAsia="Arial" w:hAnsi="Arial"/>
                <w:color w:val="786E64"/>
                <w:sz w:val="16"/>
                <w:szCs w:val="16"/>
              </w:rPr>
              <w:t xml:space="preserve">Volume bonuses from preferred suppliers</w:t>
            </w:r>
          </w:p>
        </w:tc>
      </w:tr>
      <w:tr>
        <w:tc>
          <w:tcPr>
            <w:tcW w:type="dxa" w:w="28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b/>
                <w:bCs/>
                <w:color w:val="313131"/>
                <w:sz w:val="17"/>
                <w:szCs w:val="17"/>
              </w:rPr>
              <w:t xml:space="preserve">Total Potential Income</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$20-60K</w:t>
            </w:r>
          </w:p>
        </w:tc>
        <w:tc>
          <w:tcPr>
            <w:tcW w:type="dxa" w:w="220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pPr>
              <w:jc w:val="center"/>
            </w:pPr>
            <w:r>
              <w:rPr>
                <w:rFonts w:ascii="Arial" w:cs="Arial" w:eastAsia="Arial" w:hAnsi="Arial"/>
                <w:color w:val="786E64"/>
                <w:sz w:val="17"/>
                <w:szCs w:val="17"/>
              </w:rPr>
              <w:t xml:space="preserve">$75-200K+</w:t>
            </w:r>
          </w:p>
        </w:tc>
        <w:tc>
          <w:tcPr>
            <w:tcW w:type="dxa" w:w="2160"/>
            <w:tcBorders>
              <w:top w:val="single" w:color="D4C4B0" w:sz="1"/>
              <w:left w:val="single" w:color="D4C4B0" w:sz="1"/>
              <w:bottom w:val="single" w:color="D4C4B0" w:sz="1"/>
              <w:right w:val="single" w:color="D4C4B0" w:sz="1"/>
            </w:tcBorders>
            <w:shd w:fill="FFFFFF" w:val="clear"/>
            <w:tcMar>
              <w:top w:type="dxa" w:w="60"/>
              <w:left w:type="dxa" w:w="120"/>
              <w:bottom w:type="dxa" w:w="60"/>
              <w:right w:type="dxa" w:w="120"/>
            </w:tcMar>
          </w:tcPr>
          <w:p>
            <w:r>
              <w:rPr>
                <w:rFonts w:ascii="Arial" w:cs="Arial" w:eastAsia="Arial" w:hAnsi="Arial"/>
                <w:color w:val="786E64"/>
                <w:sz w:val="16"/>
                <w:szCs w:val="16"/>
              </w:rPr>
              <w:t xml:space="preserve">Low overhead; strong margin on commission</w:t>
            </w:r>
          </w:p>
        </w:tc>
      </w:tr>
    </w:tbl>
    <w:p>
      <w:r>
        <w:br w:type="page"/>
      </w:r>
    </w:p>
    <w:p>
      <w:pPr>
        <w:spacing w:before="1200" w:after="0"/>
      </w:pPr>
    </w:p>
    <w:p>
      <w:pPr>
        <w:spacing w:after="200"/>
        <w:jc w:val="center"/>
      </w:pPr>
      <w:r>
        <w:rPr>
          <w:rFonts w:ascii="Georgia" w:cs="Georgia" w:eastAsia="Georgia" w:hAnsi="Georgia"/>
          <w:color w:val="D4C4B0"/>
          <w:sz w:val="56"/>
          <w:szCs w:val="56"/>
        </w:rPr>
        <w:t xml:space="preserve">S</w:t>
      </w:r>
    </w:p>
    <w:p>
      <w:pPr>
        <w:pBdr>
          <w:bottom w:val="single" w:color="D4C4B0" w:sz="4" w:space="8"/>
        </w:pBdr>
        <w:spacing w:after="0"/>
        <w:jc w:val="center"/>
      </w:pPr>
    </w:p>
    <w:p>
      <w:pPr>
        <w:spacing w:before="300" w:after="0"/>
      </w:pPr>
    </w:p>
    <w:p>
      <w:pPr>
        <w:spacing w:after="200"/>
        <w:jc w:val="center"/>
      </w:pPr>
      <w:r>
        <w:rPr>
          <w:rFonts w:ascii="Georgia" w:cs="Georgia" w:eastAsia="Georgia" w:hAnsi="Georgia"/>
          <w:i/>
          <w:iCs/>
          <w:color w:val="313131"/>
          <w:sz w:val="28"/>
          <w:szCs w:val="28"/>
        </w:rPr>
        <w:t xml:space="preserve">Vision without execution is decoration.</w:t>
      </w:r>
    </w:p>
    <w:p>
      <w:pPr>
        <w:spacing w:after="0"/>
        <w:jc w:val="center"/>
      </w:pPr>
      <w:r>
        <w:rPr>
          <w:rFonts w:ascii="Arial" w:cs="Arial" w:eastAsia="Arial" w:hAnsi="Arial"/>
          <w:color w:val="D4C4B0"/>
          <w:spacing w:val="80"/>
          <w:sz w:val="18"/>
          <w:szCs w:val="18"/>
        </w:rPr>
        <w:t xml:space="preserve">solanki.co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4C4B0"/>
        <w:sz w:val="14"/>
        <w:szCs w:val="14"/>
      </w:rPr>
      <w:t xml:space="preserve">Page </w:t>
    </w:r>
    <w:r>
      <w:rPr>
        <w:rFonts w:ascii="Arial" w:cs="Arial" w:eastAsia="Arial" w:hAnsi="Arial"/>
        <w:color w:val="D4C4B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D4C4B0"/>
        <w:spacing w:val="60"/>
        <w:sz w:val="14"/>
        <w:szCs w:val="14"/>
      </w:rPr>
      <w:t xml:space="preserve">SOLANKI CO  |  EXECUTION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2026-02-23T23:21:45.460Z</dcterms:created>
  <dcterms:modified xsi:type="dcterms:W3CDTF">2026-02-23T23:21:45.462Z</dcterms:modified>
</cp:coreProperties>
</file>

<file path=docProps/custom.xml><?xml version="1.0" encoding="utf-8"?>
<Properties xmlns="http://schemas.openxmlformats.org/officeDocument/2006/custom-properties" xmlns:vt="http://schemas.openxmlformats.org/officeDocument/2006/docPropsVTypes"/>
</file>