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color w:val="4B2E83"/>
          <w:sz w:val="24"/>
        </w:rPr>
        <w:t xml:space="preserve">COTIVITI  </w:t>
      </w:r>
      <w:r>
        <w:rPr>
          <w:color w:val="666666"/>
          <w:sz w:val="24"/>
        </w:rPr>
        <w:t>| Intern Assessment</w:t>
      </w:r>
    </w:p>
    <w:p>
      <w:pPr>
        <w:spacing w:before="120"/>
      </w:pPr>
      <w:r>
        <w:rPr>
          <w:rFonts w:ascii="Calibri" w:hAnsi="Calibri"/>
          <w:b/>
          <w:color w:val="4B2E83"/>
          <w:sz w:val="40"/>
        </w:rPr>
        <w:t>Clinical Natural Language Technology for Health Care</w:t>
      </w:r>
    </w:p>
    <w:p>
      <w:r>
        <w:rPr>
          <w:i/>
          <w:color w:val="C4007A"/>
          <w:sz w:val="24"/>
        </w:rPr>
        <w:t>Past, Present, and Future Approaches: NLP, OCR, Computer Vision, LLMs &amp; LMMs</w:t>
      </w:r>
    </w:p>
    <w:p>
      <w:pPr>
        <w:pBdr>
          <w:bottom w:val="single" w:sz="12" w:space="4" w:color="4B2E83"/>
        </w:pBdr>
        <w:spacing w:after="160"/>
      </w:pPr>
      <w:r>
        <w:rPr>
          <w:color w:val="666666"/>
          <w:sz w:val="20"/>
        </w:rPr>
        <w:t>Nitish Kumar  •  San Jose State University  •  Topic 1</w:t>
      </w:r>
    </w:p>
    <w:p>
      <w:pPr>
        <w:spacing w:before="200" w:after="60"/>
        <w:pBdr>
          <w:bottom w:val="single" w:sz="8" w:space="4" w:color="C4007A"/>
        </w:pBdr>
      </w:pPr>
      <w:r>
        <w:rPr>
          <w:rFonts w:ascii="Calibri" w:hAnsi="Calibri"/>
          <w:b/>
          <w:caps/>
          <w:color w:val="4B2E83"/>
          <w:sz w:val="24"/>
        </w:rPr>
        <w:t>DEFINING THE CONCEPT</w:t>
      </w:r>
    </w:p>
    <w:p>
      <w:pPr>
        <w:jc w:val="both"/>
      </w:pPr>
      <w:r>
        <w:t>Clinical Natural Language Technology is a group of computer methods. They turn messy medical information into clean, structured data. This information includes doctor notes, discharge summaries, scanned faxes, and medical images. About 80% of health data is messy like this. It sits in plain text and in pictures. Computers cannot search it, code it, or audit it directly. Four technologies do the work. Natural Language Processing (NLP) reads text and pulls out facts. Optical Character Recognition (OCR) turns scanned paper into digital text. Computer Vision (CV) reads medical images. Large Language Models (LLMs) and Large Multimodal Models (LMMs) handle text and images together. Together these methods turn written medical content into codes and evidence. Payment integrity and quality teams depend on that output.</w:t>
      </w:r>
    </w:p>
    <w:p>
      <w:pPr>
        <w:spacing w:before="200" w:after="60"/>
        <w:pBdr>
          <w:bottom w:val="single" w:sz="8" w:space="4" w:color="C4007A"/>
        </w:pBdr>
      </w:pPr>
      <w:r>
        <w:rPr>
          <w:rFonts w:ascii="Calibri" w:hAnsi="Calibri"/>
          <w:b/>
          <w:caps/>
          <w:color w:val="4B2E83"/>
          <w:sz w:val="24"/>
        </w:rPr>
        <w:t>TRENDS: PAST, PRESENT, AND FUTURE</w:t>
      </w:r>
    </w:p>
    <w:p>
      <w:pPr>
        <w:jc w:val="both"/>
      </w:pPr>
      <w:r>
        <w:t>The field has gone through three stages. The first stage ran from 2000 to 2017. It used rules and word lists. Tools like cTAKES and MetaMap matched text to standard code sets such as UMLS, SNOMED CT, and ICD. They were accurate. But they broke easily, and they cost a lot to maintain. The second stage ran from 2018 to 2023. Transformer models took over. Models trained on medical text, such as BioBERT, ClinicalBERT, and GatorTron, worked much better. They improved entity recognition, de-identification, and phenotyping. Vision models like DenseNet reached expert-level accuracy on chest X-rays. The third stage started in 2024. It is generative and multimodal. Clinical LLMs such as Med-PaLM 2 hold broad medical knowledge. LMMs read an image and text together. One model can now read an X-ray and write a draft report. Retrieval-Augmented Generation (RAG) is the standard way to keep these models honest. RAG grounds each answer in a trusted source. It limits hallucination, which means made-up facts. Healthcare cannot use these models safely without that grounding.</w:t>
      </w:r>
    </w:p>
    <w:p>
      <w:pPr>
        <w:spacing w:before="200" w:after="60"/>
        <w:pBdr>
          <w:bottom w:val="single" w:sz="8" w:space="4" w:color="C4007A"/>
        </w:pBdr>
      </w:pPr>
      <w:r>
        <w:rPr>
          <w:rFonts w:ascii="Calibri" w:hAnsi="Calibri"/>
          <w:b/>
          <w:caps/>
          <w:color w:val="4B2E83"/>
          <w:sz w:val="24"/>
        </w:rPr>
        <w:t>OPPORTUNITIES</w:t>
      </w:r>
    </w:p>
    <w:p>
      <w:pPr>
        <w:pStyle w:val="ListBullet"/>
        <w:spacing w:after="80"/>
        <w:jc w:val="both"/>
      </w:pPr>
      <w:r>
        <w:rPr>
          <w:b/>
          <w:color w:val="4B2E83"/>
        </w:rPr>
        <w:t xml:space="preserve">Automated coding and payment integrity: </w:t>
      </w:r>
      <w:r>
        <w:t>read notes and pull out diagnoses, procedures, and evidence. This finds miscoding, upcoding, and missing documentation at scale. It matches Cotiviti's main business.</w:t>
      </w:r>
    </w:p>
    <w:p>
      <w:pPr>
        <w:pStyle w:val="ListBullet"/>
        <w:spacing w:after="80"/>
        <w:jc w:val="both"/>
      </w:pPr>
      <w:r>
        <w:rPr>
          <w:b/>
          <w:color w:val="4B2E83"/>
        </w:rPr>
        <w:t xml:space="preserve">Multimodal report generation: </w:t>
      </w:r>
      <w:r>
        <w:t>models write draft radiology and pathology reports. This saves time. It also shows findings that agree or disagree with a billed claim.</w:t>
      </w:r>
    </w:p>
    <w:p>
      <w:pPr>
        <w:pStyle w:val="ListBullet"/>
        <w:spacing w:after="80"/>
        <w:jc w:val="both"/>
      </w:pPr>
      <w:r>
        <w:rPr>
          <w:b/>
          <w:color w:val="4B2E83"/>
        </w:rPr>
        <w:t xml:space="preserve">Grounded and auditable AI: </w:t>
      </w:r>
      <w:r>
        <w:t>RAG shows the exact source text behind every result. This gives the audit trail that clinical and regulatory review need.</w:t>
      </w:r>
    </w:p>
    <w:p>
      <w:pPr>
        <w:spacing w:before="200" w:after="60"/>
        <w:pBdr>
          <w:bottom w:val="single" w:sz="8" w:space="4" w:color="C4007A"/>
        </w:pBdr>
      </w:pPr>
      <w:r>
        <w:rPr>
          <w:rFonts w:ascii="Calibri" w:hAnsi="Calibri"/>
          <w:b/>
          <w:caps/>
          <w:color w:val="4B2E83"/>
          <w:sz w:val="24"/>
        </w:rPr>
        <w:t>THREATS AND RISKS</w:t>
      </w:r>
    </w:p>
    <w:p>
      <w:pPr>
        <w:pStyle w:val="ListBullet"/>
        <w:spacing w:after="80"/>
        <w:jc w:val="both"/>
      </w:pPr>
      <w:r>
        <w:rPr>
          <w:b/>
          <w:color w:val="4B2E83"/>
        </w:rPr>
        <w:t xml:space="preserve">Hallucination and safety: </w:t>
      </w:r>
      <w:r>
        <w:t>these models can state facts that sound right but are wrong. In payment and care decisions, that is not acceptable.</w:t>
      </w:r>
    </w:p>
    <w:p>
      <w:pPr>
        <w:pStyle w:val="ListBullet"/>
        <w:spacing w:after="80"/>
        <w:jc w:val="both"/>
      </w:pPr>
      <w:r>
        <w:rPr>
          <w:b/>
          <w:color w:val="4B2E83"/>
        </w:rPr>
        <w:t xml:space="preserve">Privacy and compliance: </w:t>
      </w:r>
      <w:r>
        <w:t>patient data in text and images needs strong de-identification. It also needs private hosting and strict data rules.</w:t>
      </w:r>
    </w:p>
    <w:p>
      <w:pPr>
        <w:pStyle w:val="ListBullet"/>
        <w:spacing w:after="80"/>
        <w:jc w:val="both"/>
      </w:pPr>
      <w:r>
        <w:rPr>
          <w:b/>
          <w:color w:val="4B2E83"/>
        </w:rPr>
        <w:t xml:space="preserve">Bias, drift, and regulation: </w:t>
      </w:r>
      <w:r>
        <w:t>models can work worse for some groups. They lose accuracy when coding rules change. Rules from the FDA and from payers keep growing.</w:t>
      </w:r>
    </w:p>
    <w:p>
      <w:pPr>
        <w:spacing w:before="200" w:after="60"/>
        <w:pBdr>
          <w:bottom w:val="single" w:sz="8" w:space="4" w:color="C4007A"/>
        </w:pBdr>
      </w:pPr>
      <w:r>
        <w:rPr>
          <w:rFonts w:ascii="Calibri" w:hAnsi="Calibri"/>
          <w:b/>
          <w:caps/>
          <w:color w:val="4B2E83"/>
          <w:sz w:val="24"/>
        </w:rPr>
        <w:t>RECOMMENDED STRATEGIC ACTIONS FOR COTIVITI</w:t>
      </w:r>
    </w:p>
    <w:p>
      <w:pPr>
        <w:jc w:val="both"/>
      </w:pPr>
      <w:r>
        <w:t>First, build a clinical NLP layer on top of RAG. Use medical encoders such as ClinicalBERT or GatorTron. Connect them to a managed store of coding policies and clinical guidelines. Every code or flag the AI produces should point back to a named source. Second, run a pilot on multimodal documents. Combine OCR, NLP, and computer vision. Use it to check imaging and notes against submitted claims. Third, keep a human in the loop. Track versions. Check calibration. Watch for drift. Send low-confidence cases to a person. Automation should help expert reviewers, not replace them. These three steps give Cotiviti speed. They also meet the accuracy, clarity, and compliance bar that payment integrity work needs.</w:t>
      </w:r>
    </w:p>
    <w:p>
      <w:pPr>
        <w:spacing w:before="200" w:after="60"/>
        <w:pBdr>
          <w:bottom w:val="single" w:sz="8" w:space="4" w:color="C4007A"/>
        </w:pBdr>
      </w:pPr>
      <w:r>
        <w:rPr>
          <w:rFonts w:ascii="Calibri" w:hAnsi="Calibri"/>
          <w:b/>
          <w:caps/>
          <w:color w:val="4B2E83"/>
          <w:sz w:val="24"/>
        </w:rPr>
        <w:t>PROOF OF CONCEPT</w:t>
      </w:r>
    </w:p>
    <w:p>
      <w:pPr>
        <w:jc w:val="both"/>
      </w:pPr>
      <w:r>
        <w:t>The prototype with this report is a Chest X-Ray Report Generation System. It shows these ideas working from start to finish. A DenseNet-121 encoder reads an X-ray in JPEG, PNG, or DICOM form. It turns the image into a feature vector. A Transformer decoder turns that vector into a draft report. The system then lays the draft out in standard radiology sections and offers it as a PDF. This is the computer vision and NLP pipeline in small form. A separate clinical agent answers questions with RAG. It turns the question into a ClinicalBERT embedding. It finds similar cases by cosine similarity. It shows each step of its reasoning, so a reviewer can check the answer. The repository also holds a larger version of that agent. That version uses ChromaDB and LangChain, with FastAPI, Celery, Prometheus, OpenTelemetry, and Docker. The public demo runs a smaller version so that it fits on free CPU hosting. The caption model is small, and it trained for only nine epochs. So the drafts it writes are short. This prototype proves the pipeline and its traceability. It does not prove diagnostic accuracy. It is a research demo. It is not FDA-cleared for clinical use.</w:t>
      </w:r>
    </w:p>
    <w:p>
      <w:r>
        <w:br w:type="page"/>
      </w:r>
    </w:p>
    <w:p>
      <w:pPr>
        <w:spacing w:before="200" w:after="60"/>
        <w:pBdr>
          <w:bottom w:val="single" w:sz="8" w:space="4" w:color="C4007A"/>
        </w:pBdr>
      </w:pPr>
      <w:r>
        <w:rPr>
          <w:rFonts w:ascii="Calibri" w:hAnsi="Calibri"/>
          <w:b/>
          <w:caps/>
          <w:color w:val="4B2E83"/>
          <w:sz w:val="24"/>
        </w:rPr>
        <w:t>REFERENCES (APA 7TH EDITION)</w:t>
      </w:r>
    </w:p>
    <w:p>
      <w:pPr>
        <w:spacing w:after="160" w:line="276" w:lineRule="auto"/>
        <w:ind w:left="720" w:hanging="720"/>
        <w:jc w:val="both"/>
      </w:pPr>
      <w:r>
        <w:rPr>
          <w:sz w:val="20"/>
        </w:rPr>
        <w:t>Alsentzer, E., Murphy, J., Boag, W., Weng, W.-H., Jin, D., Naumann, T., &amp; McDermott, M. (2019). Publicly available clinical BERT embeddings. Proceedings of the 2nd Clinical Natural Language Processing Workshop, 72–78.</w:t>
      </w:r>
    </w:p>
    <w:p>
      <w:pPr>
        <w:spacing w:after="160" w:line="276" w:lineRule="auto"/>
        <w:ind w:left="720" w:hanging="720"/>
        <w:jc w:val="both"/>
      </w:pPr>
      <w:r>
        <w:rPr>
          <w:sz w:val="20"/>
        </w:rPr>
        <w:t>Demner-Fushman, D., Kohli, M. D., Rosenman, M. B., Shooshan, S. E., Rodriguez, L., Antani, S., Thoma, G. R., &amp; McDonald, C. J. (2016). Preparing a collection of radiology examinations for distribution and retrieval. Journal of the American Medical Informatics Association, 23(2), 304–310.</w:t>
      </w:r>
    </w:p>
    <w:p>
      <w:pPr>
        <w:spacing w:after="160" w:line="276" w:lineRule="auto"/>
        <w:ind w:left="720" w:hanging="720"/>
        <w:jc w:val="both"/>
      </w:pPr>
      <w:r>
        <w:rPr>
          <w:sz w:val="20"/>
        </w:rPr>
        <w:t>Devlin, J., Chang, M.-W., Lee, K., &amp; Toutanova, K. (2019). BERT: Pre-training of deep bidirectional transformers for language understanding. Proceedings of NAACL-HLT, 4171–4186.</w:t>
      </w:r>
    </w:p>
    <w:p>
      <w:pPr>
        <w:spacing w:after="160" w:line="276" w:lineRule="auto"/>
        <w:ind w:left="720" w:hanging="720"/>
        <w:jc w:val="both"/>
      </w:pPr>
      <w:r>
        <w:rPr>
          <w:sz w:val="20"/>
        </w:rPr>
        <w:t>Huang, G., Liu, Z., van der Maaten, L., &amp; Weinberger, K. Q. (2017). Densely connected convolutional networks. Proceedings of the IEEE Conference on Computer Vision and Pattern Recognition, 4700–4708.</w:t>
      </w:r>
    </w:p>
    <w:p>
      <w:pPr>
        <w:spacing w:after="160" w:line="276" w:lineRule="auto"/>
        <w:ind w:left="720" w:hanging="720"/>
        <w:jc w:val="both"/>
      </w:pPr>
      <w:r>
        <w:rPr>
          <w:sz w:val="20"/>
        </w:rPr>
        <w:t>Irvin, J., Rajpurkar, P., Ko, M., Yu, Y., Ciurea-Ilcus, S., Chute, C., ... Ng, A. Y. (2019). CheXpert: A large chest radiograph dataset with uncertainty labels and expert comparison. Proceedings of the AAAI Conference on Artificial Intelligence, 33(1), 590–597.</w:t>
      </w:r>
    </w:p>
    <w:p>
      <w:pPr>
        <w:spacing w:after="160" w:line="276" w:lineRule="auto"/>
        <w:ind w:left="720" w:hanging="720"/>
        <w:jc w:val="both"/>
      </w:pPr>
      <w:r>
        <w:rPr>
          <w:sz w:val="20"/>
        </w:rPr>
        <w:t>Johnson, A. E. W., Pollard, T. J., Berkowitz, S. J., Greenbaum, N. R., Lungren, M. P., Deng, C.-Y., Mark, R. G., &amp; Horng, S. (2019). MIMIC-CXR, a de-identified publicly available database of chest radiographs with free-text reports. Scientific Data, 6, 317.</w:t>
      </w:r>
    </w:p>
    <w:p>
      <w:pPr>
        <w:spacing w:after="160" w:line="276" w:lineRule="auto"/>
        <w:ind w:left="720" w:hanging="720"/>
        <w:jc w:val="both"/>
      </w:pPr>
      <w:r>
        <w:rPr>
          <w:sz w:val="20"/>
        </w:rPr>
        <w:t>Lee, J., Yoon, W., Kim, S., Kim, D., Kim, S., So, C. H., &amp; Kang, J. (2020). BioBERT: A pre-trained biomedical language representation model for biomedical text mining. Bioinformatics, 36(4), 1234–1240.</w:t>
      </w:r>
    </w:p>
    <w:p>
      <w:pPr>
        <w:spacing w:after="160" w:line="276" w:lineRule="auto"/>
        <w:ind w:left="720" w:hanging="720"/>
        <w:jc w:val="both"/>
      </w:pPr>
      <w:r>
        <w:rPr>
          <w:sz w:val="20"/>
        </w:rPr>
        <w:t>Lewis, P., Perez, E., Piktus, A., Petroni, F., Karpukhin, V., Goyal, N., ... Kiela, D. (2020). Retrieval-augmented generation for knowledge-intensive NLP tasks. Advances in Neural Information Processing Systems, 33, 9459–9474.</w:t>
      </w:r>
    </w:p>
    <w:p>
      <w:pPr>
        <w:spacing w:after="160" w:line="276" w:lineRule="auto"/>
        <w:ind w:left="720" w:hanging="720"/>
        <w:jc w:val="both"/>
      </w:pPr>
      <w:r>
        <w:rPr>
          <w:sz w:val="20"/>
        </w:rPr>
        <w:t>Singhal, K., Azizi, S., Tu, T., Mahdavi, S. S., Wei, J., Chung, H. W., ... Natarajan, V. (2023). Large language models encode clinical knowledge. Nature, 620, 172–180.</w:t>
      </w:r>
    </w:p>
    <w:p>
      <w:pPr>
        <w:spacing w:after="160" w:line="276" w:lineRule="auto"/>
        <w:ind w:left="720" w:hanging="720"/>
        <w:jc w:val="both"/>
      </w:pPr>
      <w:r>
        <w:rPr>
          <w:sz w:val="20"/>
        </w:rPr>
        <w:t>Thirunavukarasu, A. J., Ting, D. S. J., Elangovan, K., Gutierrez, L., Tan, T. F., &amp; Ting, D. S. W. (2023). Large language models in medicine. Nature Medicine, 29, 1930–1940.</w:t>
      </w:r>
    </w:p>
    <w:p>
      <w:pPr>
        <w:spacing w:after="160" w:line="276" w:lineRule="auto"/>
        <w:ind w:left="720" w:hanging="720"/>
        <w:jc w:val="both"/>
      </w:pPr>
      <w:r>
        <w:rPr>
          <w:sz w:val="20"/>
        </w:rPr>
        <w:t>Vaswani, A., Shazeer, N., Parmar, N., Uszkoreit, J., Jones, L., Gomez, A. N., Kaiser, Ł., &amp; Polosukhin, I. (2017). Attention is all you need. Advances in Neural Information Processing Systems, 30.</w:t>
      </w:r>
    </w:p>
    <w:p>
      <w:pPr>
        <w:spacing w:after="160" w:line="276" w:lineRule="auto"/>
        <w:ind w:left="720" w:hanging="720"/>
        <w:jc w:val="both"/>
      </w:pPr>
      <w:r>
        <w:rPr>
          <w:sz w:val="20"/>
        </w:rPr>
        <w:t>Yang, X., Chen, A., PourNejatian, N., Shin, H. C., Smith, K. E., Parisien, C., ... Wu, Y. (2022). A large language model for electronic health records. npj Digital Medicine, 5, 194.</w:t>
      </w:r>
    </w:p>
    <w:p>
      <w:r>
        <w:br w:type="page"/>
      </w:r>
    </w:p>
    <w:p>
      <w:pPr>
        <w:spacing w:before="200" w:after="60"/>
        <w:pBdr>
          <w:bottom w:val="single" w:sz="8" w:space="4" w:color="C4007A"/>
        </w:pBdr>
      </w:pPr>
      <w:r>
        <w:rPr>
          <w:rFonts w:ascii="Calibri" w:hAnsi="Calibri"/>
          <w:b/>
          <w:caps/>
          <w:color w:val="4B2E83"/>
          <w:sz w:val="24"/>
        </w:rPr>
        <w:t>APPENDIX A: SYSTEM ARCHITECTURE (HIGH-LEVEL DESIGN)</w:t>
      </w:r>
    </w:p>
    <w:p>
      <w:pPr>
        <w:jc w:val="both"/>
      </w:pPr>
      <w:r>
        <w:t>The proof of concept is organized in four layers. Client interfaces (a Gradio UI, Swagger, and REST clients) call a FastAPI service, which routes requests to the model, DICOM, RAG, and async services; these read from the vector store, model weights, and vocabulary.</w:t>
      </w:r>
    </w:p>
    <w:p>
      <w:pPr>
        <w:spacing w:before="40" w:after="40"/>
        <w:jc w:val="center"/>
      </w:pPr>
      <w:r>
        <w:drawing>
          <wp:inline xmlns:a="http://schemas.openxmlformats.org/drawingml/2006/main" xmlns:pic="http://schemas.openxmlformats.org/drawingml/2006/picture">
            <wp:extent cx="5577840" cy="3175608"/>
            <wp:docPr id="1" name="Picture 1"/>
            <wp:cNvGraphicFramePr>
              <a:graphicFrameLocks noChangeAspect="1"/>
            </wp:cNvGraphicFramePr>
            <a:graphic>
              <a:graphicData uri="http://schemas.openxmlformats.org/drawingml/2006/picture">
                <pic:pic>
                  <pic:nvPicPr>
                    <pic:cNvPr id="0" name="hld_architecture.png"/>
                    <pic:cNvPicPr/>
                  </pic:nvPicPr>
                  <pic:blipFill>
                    <a:blip r:embed="rId9"/>
                    <a:stretch>
                      <a:fillRect/>
                    </a:stretch>
                  </pic:blipFill>
                  <pic:spPr>
                    <a:xfrm>
                      <a:off x="0" y="0"/>
                      <a:ext cx="5577840" cy="3175608"/>
                    </a:xfrm>
                    <a:prstGeom prst="rect"/>
                  </pic:spPr>
                </pic:pic>
              </a:graphicData>
            </a:graphic>
          </wp:inline>
        </w:drawing>
      </w:r>
    </w:p>
    <w:p>
      <w:pPr>
        <w:jc w:val="center"/>
      </w:pPr>
      <w:r>
        <w:rPr>
          <w:i/>
          <w:color w:val="666666"/>
          <w:sz w:val="18"/>
        </w:rPr>
        <w:t>Figure 1. High-level design of the Chest X-Ray Report Generation System.</w:t>
      </w:r>
    </w:p>
    <w:p>
      <w:pPr>
        <w:spacing w:before="200" w:after="60"/>
        <w:pBdr>
          <w:bottom w:val="single" w:sz="8" w:space="4" w:color="C4007A"/>
        </w:pBdr>
      </w:pPr>
      <w:r>
        <w:rPr>
          <w:rFonts w:ascii="Calibri" w:hAnsi="Calibri"/>
          <w:b/>
          <w:caps/>
          <w:color w:val="4B2E83"/>
          <w:sz w:val="24"/>
        </w:rPr>
        <w:t>APPENDIX B: API REFERENCE (SURFACE LEVEL)</w:t>
      </w:r>
    </w:p>
    <w:p>
      <w:pPr>
        <w:jc w:val="both"/>
      </w:pPr>
      <w:r>
        <w:t>The system exposes a REST API built with FastAPI; full interactive documentation is auto-generated at /docs (Swagger). The core endpoints are summarized below.</w:t>
      </w:r>
    </w:p>
    <w:tbl>
      <w:tblPr>
        <w:tblStyle w:val="TableGrid"/>
        <w:tblW w:type="auto" w:w="0"/>
        <w:tblLayout w:type="fixed"/>
        <w:tblLook w:firstColumn="1" w:firstRow="1" w:lastColumn="0" w:lastRow="0" w:noHBand="0" w:noVBand="1" w:val="04A0"/>
      </w:tblPr>
      <w:tblGrid>
        <w:gridCol w:w="3264"/>
        <w:gridCol w:w="3264"/>
        <w:gridCol w:w="3264"/>
      </w:tblGrid>
      <w:tr>
        <w:tc>
          <w:tcPr>
            <w:tcW w:type="dxa" w:w="1296"/>
            <w:shd w:val="clear" w:color="auto" w:fill="4B2E83"/>
          </w:tcPr>
          <w:p>
            <w:pPr>
              <w:spacing w:after="20" w:before="20"/>
            </w:pPr>
            <w:r>
              <w:rPr>
                <w:rFonts w:ascii="Calibri" w:hAnsi="Calibri"/>
                <w:b/>
                <w:color w:val="FFFFFF"/>
                <w:sz w:val="19"/>
              </w:rPr>
              <w:t>Method</w:t>
            </w:r>
          </w:p>
        </w:tc>
        <w:tc>
          <w:tcPr>
            <w:tcW w:type="dxa" w:w="3096"/>
            <w:shd w:val="clear" w:color="auto" w:fill="4B2E83"/>
          </w:tcPr>
          <w:p>
            <w:pPr>
              <w:spacing w:after="20" w:before="20"/>
            </w:pPr>
            <w:r>
              <w:rPr>
                <w:rFonts w:ascii="Calibri" w:hAnsi="Calibri"/>
                <w:b/>
                <w:color w:val="FFFFFF"/>
                <w:sz w:val="19"/>
              </w:rPr>
              <w:t>Endpoint</w:t>
            </w:r>
          </w:p>
        </w:tc>
        <w:tc>
          <w:tcPr>
            <w:tcW w:type="dxa" w:w="5256"/>
            <w:shd w:val="clear" w:color="auto" w:fill="4B2E83"/>
          </w:tcPr>
          <w:p>
            <w:pPr>
              <w:spacing w:after="20" w:before="20"/>
            </w:pPr>
            <w:r>
              <w:rPr>
                <w:rFonts w:ascii="Calibri" w:hAnsi="Calibri"/>
                <w:b/>
                <w:color w:val="FFFFFF"/>
                <w:sz w:val="19"/>
              </w:rPr>
              <w:t>Description</w:t>
            </w:r>
          </w:p>
        </w:tc>
      </w:tr>
      <w:tr>
        <w:tc>
          <w:tcPr>
            <w:tcW w:type="dxa" w:w="9648"/>
            <w:gridSpan w:val="3"/>
            <w:shd w:val="clear" w:color="auto" w:fill="EFE7FA"/>
          </w:tcPr>
          <w:p>
            <w:pPr>
              <w:spacing w:after="20" w:before="20"/>
            </w:pPr>
            <w:r>
              <w:rPr>
                <w:rFonts w:ascii="Calibri" w:hAnsi="Calibri"/>
                <w:b/>
                <w:color w:val="4B2E83"/>
                <w:sz w:val="18"/>
              </w:rPr>
              <w:t>SYSTEM</w:t>
            </w:r>
          </w:p>
        </w:tc>
      </w:tr>
      <w:tr>
        <w:tc>
          <w:tcPr>
            <w:tcW w:type="dxa" w:w="1296"/>
          </w:tcPr>
          <w:p>
            <w:pPr>
              <w:spacing w:after="20" w:before="20"/>
            </w:pPr>
            <w:r>
              <w:rPr>
                <w:rFonts w:ascii="Consolas" w:hAnsi="Consolas"/>
                <w:b/>
                <w:color w:val="C4007A"/>
                <w:sz w:val="18"/>
              </w:rPr>
              <w:t>GET</w:t>
            </w:r>
          </w:p>
        </w:tc>
        <w:tc>
          <w:tcPr>
            <w:tcW w:type="dxa" w:w="3096"/>
          </w:tcPr>
          <w:p>
            <w:pPr>
              <w:spacing w:after="20" w:before="20"/>
            </w:pPr>
            <w:r>
              <w:rPr>
                <w:rFonts w:ascii="Consolas" w:hAnsi="Consolas"/>
                <w:b w:val="0"/>
                <w:color w:val="222222"/>
                <w:sz w:val="18"/>
              </w:rPr>
              <w:t>/health</w:t>
            </w:r>
          </w:p>
        </w:tc>
        <w:tc>
          <w:tcPr>
            <w:tcW w:type="dxa" w:w="5256"/>
          </w:tcPr>
          <w:p>
            <w:pPr>
              <w:spacing w:after="20" w:before="20"/>
            </w:pPr>
            <w:r>
              <w:rPr>
                <w:rFonts w:ascii="Calibri" w:hAnsi="Calibri"/>
                <w:b w:val="0"/>
                <w:color w:val="222222"/>
                <w:sz w:val="18"/>
              </w:rPr>
              <w:t>Liveness probe and model-loaded status</w:t>
            </w:r>
          </w:p>
        </w:tc>
      </w:tr>
      <w:tr>
        <w:tc>
          <w:tcPr>
            <w:tcW w:type="dxa" w:w="1296"/>
          </w:tcPr>
          <w:p>
            <w:pPr>
              <w:spacing w:after="20" w:before="20"/>
            </w:pPr>
            <w:r>
              <w:rPr>
                <w:rFonts w:ascii="Consolas" w:hAnsi="Consolas"/>
                <w:b/>
                <w:color w:val="C4007A"/>
                <w:sz w:val="18"/>
              </w:rPr>
              <w:t>GET</w:t>
            </w:r>
          </w:p>
        </w:tc>
        <w:tc>
          <w:tcPr>
            <w:tcW w:type="dxa" w:w="3096"/>
          </w:tcPr>
          <w:p>
            <w:pPr>
              <w:spacing w:after="20" w:before="20"/>
            </w:pPr>
            <w:r>
              <w:rPr>
                <w:rFonts w:ascii="Consolas" w:hAnsi="Consolas"/>
                <w:b w:val="0"/>
                <w:color w:val="222222"/>
                <w:sz w:val="18"/>
              </w:rPr>
              <w:t>/metadata</w:t>
            </w:r>
          </w:p>
        </w:tc>
        <w:tc>
          <w:tcPr>
            <w:tcW w:type="dxa" w:w="5256"/>
          </w:tcPr>
          <w:p>
            <w:pPr>
              <w:spacing w:after="20" w:before="20"/>
            </w:pPr>
            <w:r>
              <w:rPr>
                <w:rFonts w:ascii="Calibri" w:hAnsi="Calibri"/>
                <w:b w:val="0"/>
                <w:color w:val="222222"/>
                <w:sz w:val="18"/>
              </w:rPr>
              <w:t>Model architecture details (vocab size, dimensions, dataset)</w:t>
            </w:r>
          </w:p>
        </w:tc>
      </w:tr>
      <w:tr>
        <w:tc>
          <w:tcPr>
            <w:tcW w:type="dxa" w:w="1296"/>
          </w:tcPr>
          <w:p>
            <w:pPr>
              <w:spacing w:after="20" w:before="20"/>
            </w:pPr>
            <w:r>
              <w:rPr>
                <w:rFonts w:ascii="Consolas" w:hAnsi="Consolas"/>
                <w:b/>
                <w:color w:val="C4007A"/>
                <w:sz w:val="18"/>
              </w:rPr>
              <w:t>GET</w:t>
            </w:r>
          </w:p>
        </w:tc>
        <w:tc>
          <w:tcPr>
            <w:tcW w:type="dxa" w:w="3096"/>
          </w:tcPr>
          <w:p>
            <w:pPr>
              <w:spacing w:after="20" w:before="20"/>
            </w:pPr>
            <w:r>
              <w:rPr>
                <w:rFonts w:ascii="Consolas" w:hAnsi="Consolas"/>
                <w:b w:val="0"/>
                <w:color w:val="222222"/>
                <w:sz w:val="18"/>
              </w:rPr>
              <w:t>/metrics</w:t>
            </w:r>
          </w:p>
        </w:tc>
        <w:tc>
          <w:tcPr>
            <w:tcW w:type="dxa" w:w="5256"/>
          </w:tcPr>
          <w:p>
            <w:pPr>
              <w:spacing w:after="20" w:before="20"/>
            </w:pPr>
            <w:r>
              <w:rPr>
                <w:rFonts w:ascii="Calibri" w:hAnsi="Calibri"/>
                <w:b w:val="0"/>
                <w:color w:val="222222"/>
                <w:sz w:val="18"/>
              </w:rPr>
              <w:t>Prometheus metrics (request counts, latency histogram)</w:t>
            </w:r>
          </w:p>
        </w:tc>
      </w:tr>
      <w:tr>
        <w:tc>
          <w:tcPr>
            <w:tcW w:type="dxa" w:w="9648"/>
            <w:gridSpan w:val="3"/>
            <w:shd w:val="clear" w:color="auto" w:fill="EFE7FA"/>
          </w:tcPr>
          <w:p>
            <w:pPr>
              <w:spacing w:after="20" w:before="20"/>
            </w:pPr>
            <w:r>
              <w:rPr>
                <w:rFonts w:ascii="Calibri" w:hAnsi="Calibri"/>
                <w:b/>
                <w:color w:val="4B2E83"/>
                <w:sz w:val="18"/>
              </w:rPr>
              <w:t>INFERENCE</w:t>
            </w:r>
          </w:p>
        </w:tc>
      </w:tr>
      <w:tr>
        <w:tc>
          <w:tcPr>
            <w:tcW w:type="dxa" w:w="1296"/>
          </w:tcPr>
          <w:p>
            <w:pPr>
              <w:spacing w:after="20" w:before="20"/>
            </w:pPr>
            <w:r>
              <w:rPr>
                <w:rFonts w:ascii="Consolas" w:hAnsi="Consolas"/>
                <w:b/>
                <w:color w:val="C4007A"/>
                <w:sz w:val="18"/>
              </w:rPr>
              <w:t>POST</w:t>
            </w:r>
          </w:p>
        </w:tc>
        <w:tc>
          <w:tcPr>
            <w:tcW w:type="dxa" w:w="3096"/>
          </w:tcPr>
          <w:p>
            <w:pPr>
              <w:spacing w:after="20" w:before="20"/>
            </w:pPr>
            <w:r>
              <w:rPr>
                <w:rFonts w:ascii="Consolas" w:hAnsi="Consolas"/>
                <w:b w:val="0"/>
                <w:color w:val="222222"/>
                <w:sz w:val="18"/>
              </w:rPr>
              <w:t>/predict</w:t>
            </w:r>
          </w:p>
        </w:tc>
        <w:tc>
          <w:tcPr>
            <w:tcW w:type="dxa" w:w="5256"/>
          </w:tcPr>
          <w:p>
            <w:pPr>
              <w:spacing w:after="20" w:before="20"/>
            </w:pPr>
            <w:r>
              <w:rPr>
                <w:rFonts w:ascii="Calibri" w:hAnsi="Calibri"/>
                <w:b w:val="0"/>
                <w:color w:val="222222"/>
                <w:sz w:val="18"/>
              </w:rPr>
              <w:t>Generate a report from a JPEG or PNG image</w:t>
            </w:r>
          </w:p>
        </w:tc>
      </w:tr>
      <w:tr>
        <w:tc>
          <w:tcPr>
            <w:tcW w:type="dxa" w:w="1296"/>
          </w:tcPr>
          <w:p>
            <w:pPr>
              <w:spacing w:after="20" w:before="20"/>
            </w:pPr>
            <w:r>
              <w:rPr>
                <w:rFonts w:ascii="Consolas" w:hAnsi="Consolas"/>
                <w:b/>
                <w:color w:val="C4007A"/>
                <w:sz w:val="18"/>
              </w:rPr>
              <w:t>POST</w:t>
            </w:r>
          </w:p>
        </w:tc>
        <w:tc>
          <w:tcPr>
            <w:tcW w:type="dxa" w:w="3096"/>
          </w:tcPr>
          <w:p>
            <w:pPr>
              <w:spacing w:after="20" w:before="20"/>
            </w:pPr>
            <w:r>
              <w:rPr>
                <w:rFonts w:ascii="Consolas" w:hAnsi="Consolas"/>
                <w:b w:val="0"/>
                <w:color w:val="222222"/>
                <w:sz w:val="18"/>
              </w:rPr>
              <w:t>/predict/dicom</w:t>
            </w:r>
          </w:p>
        </w:tc>
        <w:tc>
          <w:tcPr>
            <w:tcW w:type="dxa" w:w="5256"/>
          </w:tcPr>
          <w:p>
            <w:pPr>
              <w:spacing w:after="20" w:before="20"/>
            </w:pPr>
            <w:r>
              <w:rPr>
                <w:rFonts w:ascii="Calibri" w:hAnsi="Calibri"/>
                <w:b w:val="0"/>
                <w:color w:val="222222"/>
                <w:sz w:val="18"/>
              </w:rPr>
              <w:t>Generate a report from a DICOM file, with windowing</w:t>
            </w:r>
          </w:p>
        </w:tc>
      </w:tr>
      <w:tr>
        <w:tc>
          <w:tcPr>
            <w:tcW w:type="dxa" w:w="1296"/>
          </w:tcPr>
          <w:p>
            <w:pPr>
              <w:spacing w:after="20" w:before="20"/>
            </w:pPr>
            <w:r>
              <w:rPr>
                <w:rFonts w:ascii="Consolas" w:hAnsi="Consolas"/>
                <w:b/>
                <w:color w:val="C4007A"/>
                <w:sz w:val="18"/>
              </w:rPr>
              <w:t>POST</w:t>
            </w:r>
          </w:p>
        </w:tc>
        <w:tc>
          <w:tcPr>
            <w:tcW w:type="dxa" w:w="3096"/>
          </w:tcPr>
          <w:p>
            <w:pPr>
              <w:spacing w:after="20" w:before="20"/>
            </w:pPr>
            <w:r>
              <w:rPr>
                <w:rFonts w:ascii="Consolas" w:hAnsi="Consolas"/>
                <w:b w:val="0"/>
                <w:color w:val="222222"/>
                <w:sz w:val="18"/>
              </w:rPr>
              <w:t>/preview/dicom</w:t>
            </w:r>
          </w:p>
        </w:tc>
        <w:tc>
          <w:tcPr>
            <w:tcW w:type="dxa" w:w="5256"/>
          </w:tcPr>
          <w:p>
            <w:pPr>
              <w:spacing w:after="20" w:before="20"/>
            </w:pPr>
            <w:r>
              <w:rPr>
                <w:rFonts w:ascii="Calibri" w:hAnsi="Calibri"/>
                <w:b w:val="0"/>
                <w:color w:val="222222"/>
                <w:sz w:val="18"/>
              </w:rPr>
              <w:t>Return a windowed DICOM preview image (JPEG)</w:t>
            </w:r>
          </w:p>
        </w:tc>
      </w:tr>
      <w:tr>
        <w:tc>
          <w:tcPr>
            <w:tcW w:type="dxa" w:w="1296"/>
          </w:tcPr>
          <w:p>
            <w:pPr>
              <w:spacing w:after="20" w:before="20"/>
            </w:pPr>
            <w:r>
              <w:rPr>
                <w:rFonts w:ascii="Consolas" w:hAnsi="Consolas"/>
                <w:b/>
                <w:color w:val="C4007A"/>
                <w:sz w:val="18"/>
              </w:rPr>
              <w:t>GET</w:t>
            </w:r>
          </w:p>
        </w:tc>
        <w:tc>
          <w:tcPr>
            <w:tcW w:type="dxa" w:w="3096"/>
          </w:tcPr>
          <w:p>
            <w:pPr>
              <w:spacing w:after="20" w:before="20"/>
            </w:pPr>
            <w:r>
              <w:rPr>
                <w:rFonts w:ascii="Consolas" w:hAnsi="Consolas"/>
                <w:b w:val="0"/>
                <w:color w:val="222222"/>
                <w:sz w:val="18"/>
              </w:rPr>
              <w:t>/task/{task_id}</w:t>
            </w:r>
          </w:p>
        </w:tc>
        <w:tc>
          <w:tcPr>
            <w:tcW w:type="dxa" w:w="5256"/>
          </w:tcPr>
          <w:p>
            <w:pPr>
              <w:spacing w:after="20" w:before="20"/>
            </w:pPr>
            <w:r>
              <w:rPr>
                <w:rFonts w:ascii="Calibri" w:hAnsi="Calibri"/>
                <w:b w:val="0"/>
                <w:color w:val="222222"/>
                <w:sz w:val="18"/>
              </w:rPr>
              <w:t>Poll the status and result of an async job</w:t>
            </w:r>
          </w:p>
        </w:tc>
      </w:tr>
      <w:tr>
        <w:tc>
          <w:tcPr>
            <w:tcW w:type="dxa" w:w="9648"/>
            <w:gridSpan w:val="3"/>
            <w:shd w:val="clear" w:color="auto" w:fill="EFE7FA"/>
          </w:tcPr>
          <w:p>
            <w:pPr>
              <w:spacing w:after="20" w:before="20"/>
            </w:pPr>
            <w:r>
              <w:rPr>
                <w:rFonts w:ascii="Calibri" w:hAnsi="Calibri"/>
                <w:b/>
                <w:color w:val="4B2E83"/>
                <w:sz w:val="18"/>
              </w:rPr>
              <w:t>AGENT</w:t>
            </w:r>
          </w:p>
        </w:tc>
      </w:tr>
      <w:tr>
        <w:tc>
          <w:tcPr>
            <w:tcW w:type="dxa" w:w="1296"/>
          </w:tcPr>
          <w:p>
            <w:pPr>
              <w:spacing w:after="20" w:before="20"/>
            </w:pPr>
            <w:r>
              <w:rPr>
                <w:rFonts w:ascii="Consolas" w:hAnsi="Consolas"/>
                <w:b/>
                <w:color w:val="C4007A"/>
                <w:sz w:val="18"/>
              </w:rPr>
              <w:t>POST</w:t>
            </w:r>
          </w:p>
        </w:tc>
        <w:tc>
          <w:tcPr>
            <w:tcW w:type="dxa" w:w="3096"/>
          </w:tcPr>
          <w:p>
            <w:pPr>
              <w:spacing w:after="20" w:before="20"/>
            </w:pPr>
            <w:r>
              <w:rPr>
                <w:rFonts w:ascii="Consolas" w:hAnsi="Consolas"/>
                <w:b w:val="0"/>
                <w:color w:val="222222"/>
                <w:sz w:val="18"/>
              </w:rPr>
              <w:t>/agent/query</w:t>
            </w:r>
          </w:p>
        </w:tc>
        <w:tc>
          <w:tcPr>
            <w:tcW w:type="dxa" w:w="5256"/>
          </w:tcPr>
          <w:p>
            <w:pPr>
              <w:spacing w:after="20" w:before="20"/>
            </w:pPr>
            <w:r>
              <w:rPr>
                <w:rFonts w:ascii="Calibri" w:hAnsi="Calibri"/>
                <w:b w:val="0"/>
                <w:color w:val="222222"/>
                <w:sz w:val="18"/>
              </w:rPr>
              <w:t>Grounded clinical question answering (optional reasoning trace)</w:t>
            </w:r>
          </w:p>
        </w:tc>
      </w:tr>
      <w:tr>
        <w:tc>
          <w:tcPr>
            <w:tcW w:type="dxa" w:w="1296"/>
          </w:tcPr>
          <w:p>
            <w:pPr>
              <w:spacing w:after="20" w:before="20"/>
            </w:pPr>
            <w:r>
              <w:rPr>
                <w:rFonts w:ascii="Consolas" w:hAnsi="Consolas"/>
                <w:b/>
                <w:color w:val="C4007A"/>
                <w:sz w:val="18"/>
              </w:rPr>
              <w:t>POST</w:t>
            </w:r>
          </w:p>
        </w:tc>
        <w:tc>
          <w:tcPr>
            <w:tcW w:type="dxa" w:w="3096"/>
          </w:tcPr>
          <w:p>
            <w:pPr>
              <w:spacing w:after="20" w:before="20"/>
            </w:pPr>
            <w:r>
              <w:rPr>
                <w:rFonts w:ascii="Consolas" w:hAnsi="Consolas"/>
                <w:b w:val="0"/>
                <w:color w:val="222222"/>
                <w:sz w:val="18"/>
              </w:rPr>
              <w:t>/agent/search</w:t>
            </w:r>
          </w:p>
        </w:tc>
        <w:tc>
          <w:tcPr>
            <w:tcW w:type="dxa" w:w="5256"/>
          </w:tcPr>
          <w:p>
            <w:pPr>
              <w:spacing w:after="20" w:before="20"/>
            </w:pPr>
            <w:r>
              <w:rPr>
                <w:rFonts w:ascii="Calibri" w:hAnsi="Calibri"/>
                <w:b w:val="0"/>
                <w:color w:val="222222"/>
                <w:sz w:val="18"/>
              </w:rPr>
              <w:t>Semantic search over indexed reports</w:t>
            </w:r>
          </w:p>
        </w:tc>
      </w:tr>
      <w:tr>
        <w:tc>
          <w:tcPr>
            <w:tcW w:type="dxa" w:w="1296"/>
          </w:tcPr>
          <w:p>
            <w:pPr>
              <w:spacing w:after="20" w:before="20"/>
            </w:pPr>
            <w:r>
              <w:rPr>
                <w:rFonts w:ascii="Consolas" w:hAnsi="Consolas"/>
                <w:b/>
                <w:color w:val="C4007A"/>
                <w:sz w:val="18"/>
              </w:rPr>
              <w:t>POST</w:t>
            </w:r>
          </w:p>
        </w:tc>
        <w:tc>
          <w:tcPr>
            <w:tcW w:type="dxa" w:w="3096"/>
          </w:tcPr>
          <w:p>
            <w:pPr>
              <w:spacing w:after="20" w:before="20"/>
            </w:pPr>
            <w:r>
              <w:rPr>
                <w:rFonts w:ascii="Consolas" w:hAnsi="Consolas"/>
                <w:b w:val="0"/>
                <w:color w:val="222222"/>
                <w:sz w:val="18"/>
              </w:rPr>
              <w:t>/agent/index</w:t>
            </w:r>
          </w:p>
        </w:tc>
        <w:tc>
          <w:tcPr>
            <w:tcW w:type="dxa" w:w="5256"/>
          </w:tcPr>
          <w:p>
            <w:pPr>
              <w:spacing w:after="20" w:before="20"/>
            </w:pPr>
            <w:r>
              <w:rPr>
                <w:rFonts w:ascii="Calibri" w:hAnsi="Calibri"/>
                <w:b w:val="0"/>
                <w:color w:val="222222"/>
                <w:sz w:val="18"/>
              </w:rPr>
              <w:t>Add reports to the vector store</w:t>
            </w:r>
          </w:p>
        </w:tc>
      </w:tr>
      <w:tr>
        <w:tc>
          <w:tcPr>
            <w:tcW w:type="dxa" w:w="1296"/>
          </w:tcPr>
          <w:p>
            <w:pPr>
              <w:spacing w:after="20" w:before="20"/>
            </w:pPr>
            <w:r>
              <w:rPr>
                <w:rFonts w:ascii="Consolas" w:hAnsi="Consolas"/>
                <w:b/>
                <w:color w:val="C4007A"/>
                <w:sz w:val="18"/>
              </w:rPr>
              <w:t>DELETE</w:t>
            </w:r>
          </w:p>
        </w:tc>
        <w:tc>
          <w:tcPr>
            <w:tcW w:type="dxa" w:w="3096"/>
          </w:tcPr>
          <w:p>
            <w:pPr>
              <w:spacing w:after="20" w:before="20"/>
            </w:pPr>
            <w:r>
              <w:rPr>
                <w:rFonts w:ascii="Consolas" w:hAnsi="Consolas"/>
                <w:b w:val="0"/>
                <w:color w:val="222222"/>
                <w:sz w:val="18"/>
              </w:rPr>
              <w:t>/agent/index</w:t>
            </w:r>
          </w:p>
        </w:tc>
        <w:tc>
          <w:tcPr>
            <w:tcW w:type="dxa" w:w="5256"/>
          </w:tcPr>
          <w:p>
            <w:pPr>
              <w:spacing w:after="20" w:before="20"/>
            </w:pPr>
            <w:r>
              <w:rPr>
                <w:rFonts w:ascii="Calibri" w:hAnsi="Calibri"/>
                <w:b w:val="0"/>
                <w:color w:val="222222"/>
                <w:sz w:val="18"/>
              </w:rPr>
              <w:t>Delete the vector store collection</w:t>
            </w:r>
          </w:p>
        </w:tc>
      </w:tr>
      <w:tr>
        <w:tc>
          <w:tcPr>
            <w:tcW w:type="dxa" w:w="1296"/>
          </w:tcPr>
          <w:p>
            <w:pPr>
              <w:spacing w:after="20" w:before="20"/>
            </w:pPr>
            <w:r>
              <w:rPr>
                <w:rFonts w:ascii="Consolas" w:hAnsi="Consolas"/>
                <w:b/>
                <w:color w:val="C4007A"/>
                <w:sz w:val="18"/>
              </w:rPr>
              <w:t>GET</w:t>
            </w:r>
          </w:p>
        </w:tc>
        <w:tc>
          <w:tcPr>
            <w:tcW w:type="dxa" w:w="3096"/>
          </w:tcPr>
          <w:p>
            <w:pPr>
              <w:spacing w:after="20" w:before="20"/>
            </w:pPr>
            <w:r>
              <w:rPr>
                <w:rFonts w:ascii="Consolas" w:hAnsi="Consolas"/>
                <w:b w:val="0"/>
                <w:color w:val="222222"/>
                <w:sz w:val="18"/>
              </w:rPr>
              <w:t>/agent/stats</w:t>
            </w:r>
          </w:p>
        </w:tc>
        <w:tc>
          <w:tcPr>
            <w:tcW w:type="dxa" w:w="5256"/>
          </w:tcPr>
          <w:p>
            <w:pPr>
              <w:spacing w:after="20" w:before="20"/>
            </w:pPr>
            <w:r>
              <w:rPr>
                <w:rFonts w:ascii="Calibri" w:hAnsi="Calibri"/>
                <w:b w:val="0"/>
                <w:color w:val="222222"/>
                <w:sz w:val="18"/>
              </w:rPr>
              <w:t>Vector store statistics (backend and count)</w:t>
            </w:r>
          </w:p>
        </w:tc>
      </w:tr>
    </w:tbl>
    <w:p>
      <w:pPr>
        <w:spacing w:before="120"/>
      </w:pPr>
      <w:r>
        <w:rPr>
          <w:i/>
          <w:color w:val="666666"/>
          <w:sz w:val="18"/>
        </w:rPr>
        <w:t>Interactive requests support both synchronous and asynchronous (Celery) modes; responses include the generated report, a confidence score, and processing time.</w:t>
      </w:r>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