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4B2E83"/>
          <w:sz w:val="24"/>
        </w:rPr>
        <w:t xml:space="preserve">COTIVITI  </w:t>
      </w:r>
      <w:r>
        <w:rPr>
          <w:color w:val="666666"/>
          <w:sz w:val="24"/>
        </w:rPr>
        <w:t>| Intern Assessment</w:t>
      </w:r>
    </w:p>
    <w:p>
      <w:pPr>
        <w:spacing w:before="120"/>
      </w:pPr>
      <w:r>
        <w:rPr>
          <w:rFonts w:ascii="Calibri" w:hAnsi="Calibri"/>
          <w:b/>
          <w:color w:val="4B2E83"/>
          <w:sz w:val="40"/>
        </w:rPr>
        <w:t>Clinical Natural Language Technology for Health Care</w:t>
      </w:r>
    </w:p>
    <w:p>
      <w:r>
        <w:rPr>
          <w:i/>
          <w:color w:val="C4007A"/>
          <w:sz w:val="24"/>
        </w:rPr>
        <w:t>Past, Present, and Future Approaches: NLP, OCR, Computer Vision, LLMs &amp; LMMs</w:t>
      </w:r>
    </w:p>
    <w:p>
      <w:pPr>
        <w:pBdr>
          <w:bottom w:val="single" w:sz="12" w:space="4" w:color="4B2E83"/>
        </w:pBdr>
        <w:spacing w:after="160"/>
      </w:pPr>
      <w:r>
        <w:rPr>
          <w:color w:val="666666"/>
          <w:sz w:val="20"/>
        </w:rPr>
        <w:t>Nitish Kumar  •  San Jose State University  •  Topic 1</w:t>
      </w:r>
    </w:p>
    <w:p>
      <w:pPr>
        <w:spacing w:before="200" w:after="60"/>
        <w:pBdr>
          <w:bottom w:val="single" w:sz="8" w:space="4" w:color="C4007A"/>
        </w:pBdr>
      </w:pPr>
      <w:r>
        <w:rPr>
          <w:rFonts w:ascii="Calibri" w:hAnsi="Calibri"/>
          <w:b/>
          <w:caps/>
          <w:color w:val="4B2E83"/>
          <w:sz w:val="24"/>
        </w:rPr>
        <w:t>DEFINING THE CONCEPT</w:t>
      </w:r>
    </w:p>
    <w:p>
      <w:pPr>
        <w:jc w:val="both"/>
      </w:pPr>
      <w:r>
        <w:t>Clinical Natural Language Technology is a family of computational methods that convert unstructured medical information, such as physician notes, discharge summaries, scanned faxes, and diagnostic images, into clean, structured, machine-readable data. An estimated 80% of healthcare data is unstructured, locked in free text and pictures that systems cannot directly search, code, or audit. Five complementary technologies do this work. Natural Language Processing (NLP) extracts facts and clinical entities from text. Optical Character Recognition (OCR) digitizes scanned and faxed documents. Computer Vision (CV) interprets medical images. Large Language Models (LLMs) and Large Multimodal Models (LMMs) reason over text and images together. Collectively, they translate narrative medical content into the codes and supporting evidence that payment-integrity, risk-adjustment, and quality teams rely on every day.</w:t>
      </w:r>
    </w:p>
    <w:p>
      <w:pPr>
        <w:spacing w:before="200" w:after="60"/>
        <w:pBdr>
          <w:bottom w:val="single" w:sz="8" w:space="4" w:color="C4007A"/>
        </w:pBdr>
      </w:pPr>
      <w:r>
        <w:rPr>
          <w:rFonts w:ascii="Calibri" w:hAnsi="Calibri"/>
          <w:b/>
          <w:caps/>
          <w:color w:val="4B2E83"/>
          <w:sz w:val="24"/>
        </w:rPr>
        <w:t>TRENDS: PAST, PRESENT, AND FUTURE</w:t>
      </w:r>
    </w:p>
    <w:p>
      <w:pPr>
        <w:jc w:val="both"/>
      </w:pPr>
      <w:r>
        <w:t>The field has evolved through three overlapping eras, summarized in Figure 1. From roughly 2000 to 2017, rule-based systems such as cTAKES and MetaMap mapped text to standard terminologies including UMLS, SNOMED CT, ICD, and LOINC. These systems were precise and transparent, but brittle and expensive to maintain. From 2018 to 2023, transformer models trained on clinical text, such as BioBERT, ClinicalBERT, and GatorTron, sharply improved entity recognition, de-identification, and phenotyping, while vision models such as DenseNet reached radiologist-level performance on chest-film findings (Rajpurkar et al., 2017). Since 2024, the frontier has become generative and multimodal. Clinical LLMs such as Med-PaLM 2 encode broad medical knowledge, and LMMs interpret an image together with its clinical context, so a single model can read an X-ray and draft a report. Retrieval-Augmented Generation (RAG) has become the standard safeguard, grounding each answer in a trusted source to curb hallucination (confident but false output). In regulated healthcare, that grounding is a prerequisite, not an option.</w:t>
      </w:r>
    </w:p>
    <w:p>
      <w:pPr>
        <w:spacing w:before="80" w:after="40"/>
        <w:jc w:val="center"/>
      </w:pPr>
      <w:r>
        <w:drawing>
          <wp:inline xmlns:a="http://schemas.openxmlformats.org/drawingml/2006/main" xmlns:pic="http://schemas.openxmlformats.org/drawingml/2006/picture">
            <wp:extent cx="5852160" cy="1877168"/>
            <wp:docPr id="1" name="Picture 1"/>
            <wp:cNvGraphicFramePr>
              <a:graphicFrameLocks noChangeAspect="1"/>
            </wp:cNvGraphicFramePr>
            <a:graphic>
              <a:graphicData uri="http://schemas.openxmlformats.org/drawingml/2006/picture">
                <pic:pic>
                  <pic:nvPicPr>
                    <pic:cNvPr id="0" name="trends_timeline.png"/>
                    <pic:cNvPicPr/>
                  </pic:nvPicPr>
                  <pic:blipFill>
                    <a:blip r:embed="rId9"/>
                    <a:stretch>
                      <a:fillRect/>
                    </a:stretch>
                  </pic:blipFill>
                  <pic:spPr>
                    <a:xfrm>
                      <a:off x="0" y="0"/>
                      <a:ext cx="5852160" cy="1877168"/>
                    </a:xfrm>
                    <a:prstGeom prst="rect"/>
                  </pic:spPr>
                </pic:pic>
              </a:graphicData>
            </a:graphic>
          </wp:inline>
        </w:drawing>
      </w:r>
    </w:p>
    <w:p>
      <w:pPr>
        <w:spacing w:after="120"/>
        <w:jc w:val="center"/>
      </w:pPr>
      <w:r>
        <w:rPr>
          <w:i/>
          <w:color w:val="666666"/>
          <w:sz w:val="18"/>
        </w:rPr>
        <w:t>Figure 1. Evolution of clinical natural language technology across three eras.</w:t>
      </w:r>
    </w:p>
    <w:p>
      <w:pPr>
        <w:spacing w:before="200" w:after="60"/>
        <w:pBdr>
          <w:bottom w:val="single" w:sz="8" w:space="4" w:color="C4007A"/>
        </w:pBdr>
      </w:pPr>
      <w:r>
        <w:rPr>
          <w:rFonts w:ascii="Calibri" w:hAnsi="Calibri"/>
          <w:b/>
          <w:caps/>
          <w:color w:val="4B2E83"/>
          <w:sz w:val="24"/>
        </w:rPr>
        <w:t>OPPORTUNITIES</w:t>
      </w:r>
    </w:p>
    <w:p>
      <w:pPr>
        <w:pStyle w:val="ListBullet"/>
        <w:spacing w:after="80"/>
        <w:jc w:val="both"/>
      </w:pPr>
      <w:r>
        <w:rPr>
          <w:b/>
          <w:color w:val="4B2E83"/>
        </w:rPr>
        <w:t xml:space="preserve">Automated coding and payment integrity: </w:t>
      </w:r>
      <w:r>
        <w:t>extract diagnoses, procedures, and supporting evidence from notes to surface miscoding, upcoding, and documentation gaps at scale. This aligns directly with Cotiviti's prepay and postpay review and risk-adjustment work.</w:t>
      </w:r>
    </w:p>
    <w:p>
      <w:pPr>
        <w:pStyle w:val="ListBullet"/>
        <w:spacing w:after="80"/>
        <w:jc w:val="both"/>
      </w:pPr>
      <w:r>
        <w:rPr>
          <w:b/>
          <w:color w:val="4B2E83"/>
        </w:rPr>
        <w:t xml:space="preserve">Multimodal claim validation: </w:t>
      </w:r>
      <w:r>
        <w:t>draft radiology and pathology reports and compare imaging against notes and billed claims, highlighting findings that support or contradict a submission.</w:t>
      </w:r>
    </w:p>
    <w:p>
      <w:pPr>
        <w:pStyle w:val="ListBullet"/>
        <w:spacing w:after="80"/>
        <w:jc w:val="both"/>
      </w:pPr>
      <w:r>
        <w:rPr>
          <w:b/>
          <w:color w:val="4B2E83"/>
        </w:rPr>
        <w:t xml:space="preserve">Grounded and auditable AI: </w:t>
      </w:r>
      <w:r>
        <w:t>Retrieval-Augmented Generation surfaces the exact source text behind every determination, producing the audit trail that clinical and regulatory review require.</w:t>
      </w:r>
    </w:p>
    <w:p>
      <w:pPr>
        <w:spacing w:before="200" w:after="60"/>
        <w:pBdr>
          <w:bottom w:val="single" w:sz="8" w:space="4" w:color="C4007A"/>
        </w:pBdr>
      </w:pPr>
      <w:r>
        <w:rPr>
          <w:rFonts w:ascii="Calibri" w:hAnsi="Calibri"/>
          <w:b/>
          <w:caps/>
          <w:color w:val="4B2E83"/>
          <w:sz w:val="24"/>
        </w:rPr>
        <w:t>THREATS AND RISKS</w:t>
      </w:r>
    </w:p>
    <w:p>
      <w:pPr>
        <w:pStyle w:val="ListBullet"/>
        <w:spacing w:after="80"/>
        <w:jc w:val="both"/>
      </w:pPr>
      <w:r>
        <w:rPr>
          <w:b/>
          <w:color w:val="4B2E83"/>
        </w:rPr>
        <w:t xml:space="preserve">Hallucination and safety: </w:t>
      </w:r>
      <w:r>
        <w:t>models can produce confident but false statements, which is unacceptable in payment and care decisions and must be controlled through grounding and human review.</w:t>
      </w:r>
    </w:p>
    <w:p>
      <w:pPr>
        <w:pStyle w:val="ListBullet"/>
        <w:spacing w:after="80"/>
        <w:jc w:val="both"/>
      </w:pPr>
      <w:r>
        <w:rPr>
          <w:b/>
          <w:color w:val="4B2E83"/>
        </w:rPr>
        <w:t xml:space="preserve">Privacy and compliance: </w:t>
      </w:r>
      <w:r>
        <w:t>protected health information in text and images demands rigorous de-identification, private HIPAA-aligned hosting, and strict data governance.</w:t>
      </w:r>
    </w:p>
    <w:p>
      <w:pPr>
        <w:pStyle w:val="ListBullet"/>
        <w:spacing w:after="80"/>
        <w:jc w:val="both"/>
      </w:pPr>
      <w:r>
        <w:rPr>
          <w:b/>
          <w:color w:val="4B2E83"/>
        </w:rPr>
        <w:t xml:space="preserve">Bias, drift, and regulation: </w:t>
      </w:r>
      <w:r>
        <w:t>performance can vary across patient subgroups and degrade as coding rules change, all under expanding FDA and payer oversight of clinical AI.</w:t>
      </w:r>
    </w:p>
    <w:p>
      <w:pPr>
        <w:spacing w:before="200" w:after="60"/>
        <w:pBdr>
          <w:bottom w:val="single" w:sz="8" w:space="4" w:color="C4007A"/>
        </w:pBdr>
      </w:pPr>
      <w:r>
        <w:rPr>
          <w:rFonts w:ascii="Calibri" w:hAnsi="Calibri"/>
          <w:b/>
          <w:caps/>
          <w:color w:val="4B2E83"/>
          <w:sz w:val="24"/>
        </w:rPr>
        <w:t>RECOMMENDED STRATEGIC ACTIONS FOR COTIVITI</w:t>
      </w:r>
    </w:p>
    <w:p>
      <w:pPr>
        <w:jc w:val="both"/>
      </w:pPr>
      <w:r>
        <w:t>Three actions, illustrated in Figure 2, would let Cotiviti capture these opportunities while managing the risks. First, build a grounded clinical-NLP layer that pairs medical encoders such as ClinicalBERT or GatorTron with a Retrieval-Augmented Generation index of coding policies and clinical guidelines, so every code or flag the system produces links back to a named, auditable source. Second, pilot multimodal document understanding that combines OCR, NLP, and computer vision to reconcile imaging and notes against submitted claims, catching gaps that text-only review misses. Third, keep experts in the loop by versioning models, monitoring calibration and drift, and routing low-confidence cases to human reviewers, so automation augments rather than replaces them. Together, these steps give Cotiviti speed while meeting the accuracy, transparency, and compliance bar that payment-integrity work demands.</w:t>
      </w:r>
    </w:p>
    <w:p>
      <w:pPr>
        <w:spacing w:before="80" w:after="40"/>
        <w:jc w:val="center"/>
      </w:pPr>
      <w:r>
        <w:drawing>
          <wp:inline xmlns:a="http://schemas.openxmlformats.org/drawingml/2006/main" xmlns:pic="http://schemas.openxmlformats.org/drawingml/2006/picture">
            <wp:extent cx="5852160" cy="1630930"/>
            <wp:docPr id="2" name="Picture 2"/>
            <wp:cNvGraphicFramePr>
              <a:graphicFrameLocks noChangeAspect="1"/>
            </wp:cNvGraphicFramePr>
            <a:graphic>
              <a:graphicData uri="http://schemas.openxmlformats.org/drawingml/2006/picture">
                <pic:pic>
                  <pic:nvPicPr>
                    <pic:cNvPr id="0" name="strategy_actions.png"/>
                    <pic:cNvPicPr/>
                  </pic:nvPicPr>
                  <pic:blipFill>
                    <a:blip r:embed="rId10"/>
                    <a:stretch>
                      <a:fillRect/>
                    </a:stretch>
                  </pic:blipFill>
                  <pic:spPr>
                    <a:xfrm>
                      <a:off x="0" y="0"/>
                      <a:ext cx="5852160" cy="1630930"/>
                    </a:xfrm>
                    <a:prstGeom prst="rect"/>
                  </pic:spPr>
                </pic:pic>
              </a:graphicData>
            </a:graphic>
          </wp:inline>
        </w:drawing>
      </w:r>
    </w:p>
    <w:p>
      <w:pPr>
        <w:spacing w:after="120"/>
        <w:jc w:val="center"/>
      </w:pPr>
      <w:r>
        <w:rPr>
          <w:i/>
          <w:color w:val="666666"/>
          <w:sz w:val="18"/>
        </w:rPr>
        <w:t>Figure 2. Three recommended strategic actions for Cotiviti.</w:t>
      </w:r>
    </w:p>
    <w:p>
      <w:pPr>
        <w:spacing w:before="200" w:after="60"/>
        <w:pBdr>
          <w:bottom w:val="single" w:sz="8" w:space="4" w:color="C4007A"/>
        </w:pBdr>
      </w:pPr>
      <w:r>
        <w:rPr>
          <w:rFonts w:ascii="Calibri" w:hAnsi="Calibri"/>
          <w:b/>
          <w:caps/>
          <w:color w:val="4B2E83"/>
          <w:sz w:val="24"/>
        </w:rPr>
        <w:t>PROOF OF CONCEPT</w:t>
      </w:r>
    </w:p>
    <w:p>
      <w:pPr>
        <w:jc w:val="both"/>
      </w:pPr>
      <w:r>
        <w:t>The prototype with this report is a Chest X-Ray Report Generation System. It shows these ideas working from start to finish. A DenseNet-121 encoder reads an X-ray in JPEG, PNG, or DICOM form. It turns the image into a feature vector. A Transformer decoder turns that vector into a draft report. The system then lays the draft out in standard radiology sections and offers it as a PDF. This is the computer vision and NLP pipeline in small form. A separate clinical agent answers questions with RAG. It turns the question into a ClinicalBERT embedding. It finds similar cases by cosine similarity. It shows each step of its reasoning, so a reviewer can check the answer. The repository also holds a larger version of that agent. That version uses ChromaDB and LangChain, with FastAPI, Celery, Prometheus, OpenTelemetry, and Docker. The public demo runs a smaller version so that it fits on free CPU hosting. The caption model is small, and it trained for only nine epochs. So the drafts it writes are short. This prototype proves the pipeline and its traceability. It does not prove diagnostic accuracy. It is a research demo. It is not FDA-cleared for clinical use.</w:t>
      </w:r>
    </w:p>
    <w:p>
      <w:r>
        <w:br w:type="page"/>
      </w:r>
    </w:p>
    <w:p>
      <w:pPr>
        <w:spacing w:before="200" w:after="60"/>
        <w:pBdr>
          <w:bottom w:val="single" w:sz="8" w:space="4" w:color="C4007A"/>
        </w:pBdr>
      </w:pPr>
      <w:r>
        <w:rPr>
          <w:rFonts w:ascii="Calibri" w:hAnsi="Calibri"/>
          <w:b/>
          <w:caps/>
          <w:color w:val="4B2E83"/>
          <w:sz w:val="24"/>
        </w:rPr>
        <w:t>REFERENCES (APA 7TH EDITION)</w:t>
      </w:r>
    </w:p>
    <w:p>
      <w:pPr>
        <w:spacing w:after="160" w:line="276" w:lineRule="auto"/>
        <w:ind w:left="720" w:hanging="720"/>
        <w:jc w:val="both"/>
      </w:pPr>
      <w:r>
        <w:rPr>
          <w:sz w:val="20"/>
        </w:rPr>
        <w:t>Alsentzer, E., Murphy, J., Boag, W., Weng, W.-H., Jin, D., Naumann, T., &amp; McDermott, M. (2019). Publicly available clinical BERT embeddings. Proceedings of the 2nd Clinical Natural Language Processing Workshop, 72–78.</w:t>
      </w:r>
    </w:p>
    <w:p>
      <w:pPr>
        <w:spacing w:after="160" w:line="276" w:lineRule="auto"/>
        <w:ind w:left="720" w:hanging="720"/>
        <w:jc w:val="both"/>
      </w:pPr>
      <w:r>
        <w:rPr>
          <w:sz w:val="20"/>
        </w:rPr>
        <w:t>Demner-Fushman, D., Kohli, M. D., Rosenman, M. B., Shooshan, S. E., Rodriguez, L., Antani, S., Thoma, G. R., &amp; McDonald, C. J. (2016). Preparing a collection of radiology examinations for distribution and retrieval. Journal of the American Medical Informatics Association, 23(2), 304–310.</w:t>
      </w:r>
    </w:p>
    <w:p>
      <w:pPr>
        <w:spacing w:after="160" w:line="276" w:lineRule="auto"/>
        <w:ind w:left="720" w:hanging="720"/>
        <w:jc w:val="both"/>
      </w:pPr>
      <w:r>
        <w:rPr>
          <w:sz w:val="20"/>
        </w:rPr>
        <w:t>Devlin, J., Chang, M.-W., Lee, K., &amp; Toutanova, K. (2019). BERT: Pre-training of deep bidirectional transformers for language understanding. Proceedings of NAACL-HLT, 4171–4186.</w:t>
      </w:r>
    </w:p>
    <w:p>
      <w:pPr>
        <w:spacing w:after="160" w:line="276" w:lineRule="auto"/>
        <w:ind w:left="720" w:hanging="720"/>
        <w:jc w:val="both"/>
      </w:pPr>
      <w:r>
        <w:rPr>
          <w:sz w:val="20"/>
        </w:rPr>
        <w:t>Huang, G., Liu, Z., van der Maaten, L., &amp; Weinberger, K. Q. (2017). Densely connected convolutional networks. Proceedings of the IEEE Conference on Computer Vision and Pattern Recognition, 4700–4708.</w:t>
      </w:r>
    </w:p>
    <w:p>
      <w:pPr>
        <w:spacing w:after="160" w:line="276" w:lineRule="auto"/>
        <w:ind w:left="720" w:hanging="720"/>
        <w:jc w:val="both"/>
      </w:pPr>
      <w:r>
        <w:rPr>
          <w:sz w:val="20"/>
        </w:rPr>
        <w:t>Irvin, J., Rajpurkar, P., Ko, M., Yu, Y., Ciurea-Ilcus, S., Chute, C., ... Ng, A. Y. (2019). CheXpert: A large chest radiograph dataset with uncertainty labels and expert comparison. Proceedings of the AAAI Conference on Artificial Intelligence, 33(1), 590–597.</w:t>
      </w:r>
    </w:p>
    <w:p>
      <w:pPr>
        <w:spacing w:after="160" w:line="276" w:lineRule="auto"/>
        <w:ind w:left="720" w:hanging="720"/>
        <w:jc w:val="both"/>
      </w:pPr>
      <w:r>
        <w:rPr>
          <w:sz w:val="20"/>
        </w:rPr>
        <w:t>Johnson, A. E. W., Pollard, T. J., Berkowitz, S. J., Greenbaum, N. R., Lungren, M. P., Deng, C.-Y., Mark, R. G., &amp; Horng, S. (2019). MIMIC-CXR, a de-identified publicly available database of chest radiographs with free-text reports. Scientific Data, 6, 317.</w:t>
      </w:r>
    </w:p>
    <w:p>
      <w:pPr>
        <w:spacing w:after="160" w:line="276" w:lineRule="auto"/>
        <w:ind w:left="720" w:hanging="720"/>
        <w:jc w:val="both"/>
      </w:pPr>
      <w:r>
        <w:rPr>
          <w:sz w:val="20"/>
        </w:rPr>
        <w:t>Lee, J., Yoon, W., Kim, S., Kim, D., Kim, S., So, C. H., &amp; Kang, J. (2020). BioBERT: A pre-trained biomedical language representation model for biomedical text mining. Bioinformatics, 36(4), 1234–1240.</w:t>
      </w:r>
    </w:p>
    <w:p>
      <w:pPr>
        <w:spacing w:after="160" w:line="276" w:lineRule="auto"/>
        <w:ind w:left="720" w:hanging="720"/>
        <w:jc w:val="both"/>
      </w:pPr>
      <w:r>
        <w:rPr>
          <w:sz w:val="20"/>
        </w:rPr>
        <w:t>Lewis, P., Perez, E., Piktus, A., Petroni, F., Karpukhin, V., Goyal, N., ... Kiela, D. (2020). Retrieval-augmented generation for knowledge-intensive NLP tasks. Advances in Neural Information Processing Systems, 33, 9459–9474.</w:t>
      </w:r>
    </w:p>
    <w:p>
      <w:pPr>
        <w:spacing w:after="160" w:line="276" w:lineRule="auto"/>
        <w:ind w:left="720" w:hanging="720"/>
        <w:jc w:val="both"/>
      </w:pPr>
      <w:r>
        <w:rPr>
          <w:sz w:val="20"/>
        </w:rPr>
        <w:t>Rajpurkar, P., Irvin, J., Zhu, K., Yang, B., Mehta, H., Duan, T., ... Ng, A. Y. (2017). CheXNet: Radiologist-level pneumonia detection on chest X-rays with deep learning. arXiv:1711.05225.</w:t>
      </w:r>
    </w:p>
    <w:p>
      <w:pPr>
        <w:spacing w:after="160" w:line="276" w:lineRule="auto"/>
        <w:ind w:left="720" w:hanging="720"/>
        <w:jc w:val="both"/>
      </w:pPr>
      <w:r>
        <w:rPr>
          <w:sz w:val="20"/>
        </w:rPr>
        <w:t>Singhal, K., Azizi, S., Tu, T., Mahdavi, S. S., Wei, J., Chung, H. W., ... Natarajan, V. (2023). Large language models encode clinical knowledge. Nature, 620, 172–180.</w:t>
      </w:r>
    </w:p>
    <w:p>
      <w:pPr>
        <w:spacing w:after="160" w:line="276" w:lineRule="auto"/>
        <w:ind w:left="720" w:hanging="720"/>
        <w:jc w:val="both"/>
      </w:pPr>
      <w:r>
        <w:rPr>
          <w:sz w:val="20"/>
        </w:rPr>
        <w:t>Thirunavukarasu, A. J., Ting, D. S. J., Elangovan, K., Gutierrez, L., Tan, T. F., &amp; Ting, D. S. W. (2023). Large language models in medicine. Nature Medicine, 29, 1930–1940.</w:t>
      </w:r>
    </w:p>
    <w:p>
      <w:pPr>
        <w:spacing w:after="160" w:line="276" w:lineRule="auto"/>
        <w:ind w:left="720" w:hanging="720"/>
        <w:jc w:val="both"/>
      </w:pPr>
      <w:r>
        <w:rPr>
          <w:sz w:val="20"/>
        </w:rPr>
        <w:t>Vaswani, A., Shazeer, N., Parmar, N., Uszkoreit, J., Jones, L., Gomez, A. N., Kaiser, Ł., &amp; Polosukhin, I. (2017). Attention is all you need. Advances in Neural Information Processing Systems, 30.</w:t>
      </w:r>
    </w:p>
    <w:p>
      <w:pPr>
        <w:spacing w:after="160" w:line="276" w:lineRule="auto"/>
        <w:ind w:left="720" w:hanging="720"/>
        <w:jc w:val="both"/>
      </w:pPr>
      <w:r>
        <w:rPr>
          <w:sz w:val="20"/>
        </w:rPr>
        <w:t>Yang, X., Chen, A., PourNejatian, N., Shin, H. C., Smith, K. E., Parisien, C., ... Wu, Y. (2022). A large language model for electronic health records. npj Digital Medicine, 5, 194.</w:t>
      </w:r>
    </w:p>
    <w:p>
      <w:r>
        <w:br w:type="page"/>
      </w:r>
    </w:p>
    <w:p>
      <w:pPr>
        <w:spacing w:before="200" w:after="60"/>
        <w:pBdr>
          <w:bottom w:val="single" w:sz="8" w:space="4" w:color="C4007A"/>
        </w:pBdr>
      </w:pPr>
      <w:r>
        <w:rPr>
          <w:rFonts w:ascii="Calibri" w:hAnsi="Calibri"/>
          <w:b/>
          <w:caps/>
          <w:color w:val="4B2E83"/>
          <w:sz w:val="24"/>
        </w:rPr>
        <w:t>APPENDIX A: SYSTEM ARCHITECTURE (HIGH-LEVEL DESIGN)</w:t>
      </w:r>
    </w:p>
    <w:p>
      <w:pPr>
        <w:jc w:val="both"/>
      </w:pPr>
      <w:r>
        <w:t>The proof of concept is organized in four layers. Client interfaces (a Gradio UI, Swagger, and REST clients) call a FastAPI service, which routes requests to the model, DICOM, RAG, and async services; these read from the vector store, model weights, and vocabulary.</w:t>
      </w:r>
    </w:p>
    <w:p>
      <w:pPr>
        <w:spacing w:before="40" w:after="40"/>
        <w:jc w:val="center"/>
      </w:pPr>
      <w:r>
        <w:drawing>
          <wp:inline xmlns:a="http://schemas.openxmlformats.org/drawingml/2006/main" xmlns:pic="http://schemas.openxmlformats.org/drawingml/2006/picture">
            <wp:extent cx="5577840" cy="3175608"/>
            <wp:docPr id="3" name="Picture 3"/>
            <wp:cNvGraphicFramePr>
              <a:graphicFrameLocks noChangeAspect="1"/>
            </wp:cNvGraphicFramePr>
            <a:graphic>
              <a:graphicData uri="http://schemas.openxmlformats.org/drawingml/2006/picture">
                <pic:pic>
                  <pic:nvPicPr>
                    <pic:cNvPr id="0" name="hld_architecture.png"/>
                    <pic:cNvPicPr/>
                  </pic:nvPicPr>
                  <pic:blipFill>
                    <a:blip r:embed="rId11"/>
                    <a:stretch>
                      <a:fillRect/>
                    </a:stretch>
                  </pic:blipFill>
                  <pic:spPr>
                    <a:xfrm>
                      <a:off x="0" y="0"/>
                      <a:ext cx="5577840" cy="3175608"/>
                    </a:xfrm>
                    <a:prstGeom prst="rect"/>
                  </pic:spPr>
                </pic:pic>
              </a:graphicData>
            </a:graphic>
          </wp:inline>
        </w:drawing>
      </w:r>
    </w:p>
    <w:p>
      <w:pPr>
        <w:jc w:val="center"/>
      </w:pPr>
      <w:r>
        <w:rPr>
          <w:i/>
          <w:color w:val="666666"/>
          <w:sz w:val="18"/>
        </w:rPr>
        <w:t>Figure 3. High-level design of the Chest X-Ray Report Generation System.</w:t>
      </w:r>
    </w:p>
    <w:p>
      <w:pPr>
        <w:spacing w:before="200" w:after="60"/>
        <w:pBdr>
          <w:bottom w:val="single" w:sz="8" w:space="4" w:color="C4007A"/>
        </w:pBdr>
      </w:pPr>
      <w:r>
        <w:rPr>
          <w:rFonts w:ascii="Calibri" w:hAnsi="Calibri"/>
          <w:b/>
          <w:caps/>
          <w:color w:val="4B2E83"/>
          <w:sz w:val="24"/>
        </w:rPr>
        <w:t>APPENDIX B: API REFERENCE (SURFACE LEVEL)</w:t>
      </w:r>
    </w:p>
    <w:p>
      <w:pPr>
        <w:jc w:val="both"/>
      </w:pPr>
      <w:r>
        <w:t>The system exposes a REST API built with FastAPI; full interactive documentation is auto-generated at /docs (Swagger). The core endpoints are summarized below.</w:t>
      </w:r>
    </w:p>
    <w:tbl>
      <w:tblPr>
        <w:tblStyle w:val="TableGrid"/>
        <w:tblW w:type="auto" w:w="0"/>
        <w:tblLayout w:type="fixed"/>
        <w:tblLook w:firstColumn="1" w:firstRow="1" w:lastColumn="0" w:lastRow="0" w:noHBand="0" w:noVBand="1" w:val="04A0"/>
      </w:tblPr>
      <w:tblGrid>
        <w:gridCol w:w="3264"/>
        <w:gridCol w:w="3264"/>
        <w:gridCol w:w="3264"/>
      </w:tblGrid>
      <w:tr>
        <w:tc>
          <w:tcPr>
            <w:tcW w:type="dxa" w:w="1296"/>
            <w:shd w:val="clear" w:color="auto" w:fill="4B2E83"/>
          </w:tcPr>
          <w:p>
            <w:pPr>
              <w:spacing w:after="20" w:before="20"/>
            </w:pPr>
            <w:r>
              <w:rPr>
                <w:rFonts w:ascii="Calibri" w:hAnsi="Calibri"/>
                <w:b/>
                <w:color w:val="FFFFFF"/>
                <w:sz w:val="19"/>
              </w:rPr>
              <w:t>Method</w:t>
            </w:r>
          </w:p>
        </w:tc>
        <w:tc>
          <w:tcPr>
            <w:tcW w:type="dxa" w:w="3096"/>
            <w:shd w:val="clear" w:color="auto" w:fill="4B2E83"/>
          </w:tcPr>
          <w:p>
            <w:pPr>
              <w:spacing w:after="20" w:before="20"/>
            </w:pPr>
            <w:r>
              <w:rPr>
                <w:rFonts w:ascii="Calibri" w:hAnsi="Calibri"/>
                <w:b/>
                <w:color w:val="FFFFFF"/>
                <w:sz w:val="19"/>
              </w:rPr>
              <w:t>Endpoint</w:t>
            </w:r>
          </w:p>
        </w:tc>
        <w:tc>
          <w:tcPr>
            <w:tcW w:type="dxa" w:w="5256"/>
            <w:shd w:val="clear" w:color="auto" w:fill="4B2E83"/>
          </w:tcPr>
          <w:p>
            <w:pPr>
              <w:spacing w:after="20" w:before="20"/>
            </w:pPr>
            <w:r>
              <w:rPr>
                <w:rFonts w:ascii="Calibri" w:hAnsi="Calibri"/>
                <w:b/>
                <w:color w:val="FFFFFF"/>
                <w:sz w:val="19"/>
              </w:rPr>
              <w:t>Description</w:t>
            </w:r>
          </w:p>
        </w:tc>
      </w:tr>
      <w:tr>
        <w:tc>
          <w:tcPr>
            <w:tcW w:type="dxa" w:w="9648"/>
            <w:gridSpan w:val="3"/>
            <w:shd w:val="clear" w:color="auto" w:fill="EFE7FA"/>
          </w:tcPr>
          <w:p>
            <w:pPr>
              <w:spacing w:after="20" w:before="20"/>
            </w:pPr>
            <w:r>
              <w:rPr>
                <w:rFonts w:ascii="Calibri" w:hAnsi="Calibri"/>
                <w:b/>
                <w:color w:val="4B2E83"/>
                <w:sz w:val="18"/>
              </w:rPr>
              <w:t>SYSTEM</w:t>
            </w:r>
          </w:p>
        </w:tc>
      </w:tr>
      <w:tr>
        <w:tc>
          <w:tcPr>
            <w:tcW w:type="dxa" w:w="1296"/>
          </w:tcPr>
          <w:p>
            <w:pPr>
              <w:spacing w:after="20" w:before="20"/>
            </w:pPr>
            <w:r>
              <w:rPr>
                <w:rFonts w:ascii="Consolas" w:hAnsi="Consolas"/>
                <w:b/>
                <w:color w:val="C4007A"/>
                <w:sz w:val="18"/>
              </w:rPr>
              <w:t>GET</w:t>
            </w:r>
          </w:p>
        </w:tc>
        <w:tc>
          <w:tcPr>
            <w:tcW w:type="dxa" w:w="3096"/>
          </w:tcPr>
          <w:p>
            <w:pPr>
              <w:spacing w:after="20" w:before="20"/>
            </w:pPr>
            <w:r>
              <w:rPr>
                <w:rFonts w:ascii="Consolas" w:hAnsi="Consolas"/>
                <w:b w:val="0"/>
                <w:color w:val="222222"/>
                <w:sz w:val="18"/>
              </w:rPr>
              <w:t>/health</w:t>
            </w:r>
          </w:p>
        </w:tc>
        <w:tc>
          <w:tcPr>
            <w:tcW w:type="dxa" w:w="5256"/>
          </w:tcPr>
          <w:p>
            <w:pPr>
              <w:spacing w:after="20" w:before="20"/>
            </w:pPr>
            <w:r>
              <w:rPr>
                <w:rFonts w:ascii="Calibri" w:hAnsi="Calibri"/>
                <w:b w:val="0"/>
                <w:color w:val="222222"/>
                <w:sz w:val="18"/>
              </w:rPr>
              <w:t>Liveness probe and model-loaded status</w:t>
            </w:r>
          </w:p>
        </w:tc>
      </w:tr>
      <w:tr>
        <w:tc>
          <w:tcPr>
            <w:tcW w:type="dxa" w:w="1296"/>
          </w:tcPr>
          <w:p>
            <w:pPr>
              <w:spacing w:after="20" w:before="20"/>
            </w:pPr>
            <w:r>
              <w:rPr>
                <w:rFonts w:ascii="Consolas" w:hAnsi="Consolas"/>
                <w:b/>
                <w:color w:val="C4007A"/>
                <w:sz w:val="18"/>
              </w:rPr>
              <w:t>GET</w:t>
            </w:r>
          </w:p>
        </w:tc>
        <w:tc>
          <w:tcPr>
            <w:tcW w:type="dxa" w:w="3096"/>
          </w:tcPr>
          <w:p>
            <w:pPr>
              <w:spacing w:after="20" w:before="20"/>
            </w:pPr>
            <w:r>
              <w:rPr>
                <w:rFonts w:ascii="Consolas" w:hAnsi="Consolas"/>
                <w:b w:val="0"/>
                <w:color w:val="222222"/>
                <w:sz w:val="18"/>
              </w:rPr>
              <w:t>/metadata</w:t>
            </w:r>
          </w:p>
        </w:tc>
        <w:tc>
          <w:tcPr>
            <w:tcW w:type="dxa" w:w="5256"/>
          </w:tcPr>
          <w:p>
            <w:pPr>
              <w:spacing w:after="20" w:before="20"/>
            </w:pPr>
            <w:r>
              <w:rPr>
                <w:rFonts w:ascii="Calibri" w:hAnsi="Calibri"/>
                <w:b w:val="0"/>
                <w:color w:val="222222"/>
                <w:sz w:val="18"/>
              </w:rPr>
              <w:t>Model architecture details (vocab size, dimensions, dataset)</w:t>
            </w:r>
          </w:p>
        </w:tc>
      </w:tr>
      <w:tr>
        <w:tc>
          <w:tcPr>
            <w:tcW w:type="dxa" w:w="1296"/>
          </w:tcPr>
          <w:p>
            <w:pPr>
              <w:spacing w:after="20" w:before="20"/>
            </w:pPr>
            <w:r>
              <w:rPr>
                <w:rFonts w:ascii="Consolas" w:hAnsi="Consolas"/>
                <w:b/>
                <w:color w:val="C4007A"/>
                <w:sz w:val="18"/>
              </w:rPr>
              <w:t>GET</w:t>
            </w:r>
          </w:p>
        </w:tc>
        <w:tc>
          <w:tcPr>
            <w:tcW w:type="dxa" w:w="3096"/>
          </w:tcPr>
          <w:p>
            <w:pPr>
              <w:spacing w:after="20" w:before="20"/>
            </w:pPr>
            <w:r>
              <w:rPr>
                <w:rFonts w:ascii="Consolas" w:hAnsi="Consolas"/>
                <w:b w:val="0"/>
                <w:color w:val="222222"/>
                <w:sz w:val="18"/>
              </w:rPr>
              <w:t>/metrics</w:t>
            </w:r>
          </w:p>
        </w:tc>
        <w:tc>
          <w:tcPr>
            <w:tcW w:type="dxa" w:w="5256"/>
          </w:tcPr>
          <w:p>
            <w:pPr>
              <w:spacing w:after="20" w:before="20"/>
            </w:pPr>
            <w:r>
              <w:rPr>
                <w:rFonts w:ascii="Calibri" w:hAnsi="Calibri"/>
                <w:b w:val="0"/>
                <w:color w:val="222222"/>
                <w:sz w:val="18"/>
              </w:rPr>
              <w:t>Prometheus metrics (request counts, latency histogram)</w:t>
            </w:r>
          </w:p>
        </w:tc>
      </w:tr>
      <w:tr>
        <w:tc>
          <w:tcPr>
            <w:tcW w:type="dxa" w:w="9648"/>
            <w:gridSpan w:val="3"/>
            <w:shd w:val="clear" w:color="auto" w:fill="EFE7FA"/>
          </w:tcPr>
          <w:p>
            <w:pPr>
              <w:spacing w:after="20" w:before="20"/>
            </w:pPr>
            <w:r>
              <w:rPr>
                <w:rFonts w:ascii="Calibri" w:hAnsi="Calibri"/>
                <w:b/>
                <w:color w:val="4B2E83"/>
                <w:sz w:val="18"/>
              </w:rPr>
              <w:t>INFERENCE</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/predict</w:t>
            </w:r>
          </w:p>
        </w:tc>
        <w:tc>
          <w:tcPr>
            <w:tcW w:type="dxa" w:w="5256"/>
          </w:tcPr>
          <w:p>
            <w:pPr>
              <w:spacing w:after="20" w:before="20"/>
            </w:pPr>
            <w:r>
              <w:rPr>
                <w:rFonts w:ascii="Calibri" w:hAnsi="Calibri"/>
                <w:b w:val="0"/>
                <w:color w:val="222222"/>
                <w:sz w:val="18"/>
              </w:rPr>
              <w:t>Generate a report from a JPEG or PNG image</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/predict/dicom</w:t>
            </w:r>
          </w:p>
        </w:tc>
        <w:tc>
          <w:tcPr>
            <w:tcW w:type="dxa" w:w="5256"/>
          </w:tcPr>
          <w:p>
            <w:pPr>
              <w:spacing w:after="20" w:before="20"/>
            </w:pPr>
            <w:r>
              <w:rPr>
                <w:rFonts w:ascii="Calibri" w:hAnsi="Calibri"/>
                <w:b w:val="0"/>
                <w:color w:val="222222"/>
                <w:sz w:val="18"/>
              </w:rPr>
              <w:t>Generate a report from a DICOM file, with windowing</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/preview/dicom</w:t>
            </w:r>
          </w:p>
        </w:tc>
        <w:tc>
          <w:tcPr>
            <w:tcW w:type="dxa" w:w="5256"/>
          </w:tcPr>
          <w:p>
            <w:pPr>
              <w:spacing w:after="20" w:before="20"/>
            </w:pPr>
            <w:r>
              <w:rPr>
                <w:rFonts w:ascii="Calibri" w:hAnsi="Calibri"/>
                <w:b w:val="0"/>
                <w:color w:val="222222"/>
                <w:sz w:val="18"/>
              </w:rPr>
              <w:t>Return a windowed DICOM preview image (JPEG)</w:t>
            </w:r>
          </w:p>
        </w:tc>
      </w:tr>
      <w:tr>
        <w:tc>
          <w:tcPr>
            <w:tcW w:type="dxa" w:w="1296"/>
          </w:tcPr>
          <w:p>
            <w:pPr>
              <w:spacing w:after="20" w:before="20"/>
            </w:pPr>
            <w:r>
              <w:rPr>
                <w:rFonts w:ascii="Consolas" w:hAnsi="Consolas"/>
                <w:b/>
                <w:color w:val="C4007A"/>
                <w:sz w:val="18"/>
              </w:rPr>
              <w:t>GET</w:t>
            </w:r>
          </w:p>
        </w:tc>
        <w:tc>
          <w:tcPr>
            <w:tcW w:type="dxa" w:w="3096"/>
          </w:tcPr>
          <w:p>
            <w:pPr>
              <w:spacing w:after="20" w:before="20"/>
            </w:pPr>
            <w:r>
              <w:rPr>
                <w:rFonts w:ascii="Consolas" w:hAnsi="Consolas"/>
                <w:b w:val="0"/>
                <w:color w:val="222222"/>
                <w:sz w:val="18"/>
              </w:rPr>
              <w:t>/task/{task_id}</w:t>
            </w:r>
          </w:p>
        </w:tc>
        <w:tc>
          <w:tcPr>
            <w:tcW w:type="dxa" w:w="5256"/>
          </w:tcPr>
          <w:p>
            <w:pPr>
              <w:spacing w:after="20" w:before="20"/>
            </w:pPr>
            <w:r>
              <w:rPr>
                <w:rFonts w:ascii="Calibri" w:hAnsi="Calibri"/>
                <w:b w:val="0"/>
                <w:color w:val="222222"/>
                <w:sz w:val="18"/>
              </w:rPr>
              <w:t>Poll the status and result of an async job</w:t>
            </w:r>
          </w:p>
        </w:tc>
      </w:tr>
      <w:tr>
        <w:tc>
          <w:tcPr>
            <w:tcW w:type="dxa" w:w="9648"/>
            <w:gridSpan w:val="3"/>
            <w:shd w:val="clear" w:color="auto" w:fill="EFE7FA"/>
          </w:tcPr>
          <w:p>
            <w:pPr>
              <w:spacing w:after="20" w:before="20"/>
            </w:pPr>
            <w:r>
              <w:rPr>
                <w:rFonts w:ascii="Calibri" w:hAnsi="Calibri"/>
                <w:b/>
                <w:color w:val="4B2E83"/>
                <w:sz w:val="18"/>
              </w:rPr>
              <w:t>AGENT</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/agent/query</w:t>
            </w:r>
          </w:p>
        </w:tc>
        <w:tc>
          <w:tcPr>
            <w:tcW w:type="dxa" w:w="5256"/>
          </w:tcPr>
          <w:p>
            <w:pPr>
              <w:spacing w:after="20" w:before="20"/>
            </w:pPr>
            <w:r>
              <w:rPr>
                <w:rFonts w:ascii="Calibri" w:hAnsi="Calibri"/>
                <w:b w:val="0"/>
                <w:color w:val="222222"/>
                <w:sz w:val="18"/>
              </w:rPr>
              <w:t>Grounded clinical question answering (optional reasoning trace)</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/agent/search</w:t>
            </w:r>
          </w:p>
        </w:tc>
        <w:tc>
          <w:tcPr>
            <w:tcW w:type="dxa" w:w="5256"/>
          </w:tcPr>
          <w:p>
            <w:pPr>
              <w:spacing w:after="20" w:before="20"/>
            </w:pPr>
            <w:r>
              <w:rPr>
                <w:rFonts w:ascii="Calibri" w:hAnsi="Calibri"/>
                <w:b w:val="0"/>
                <w:color w:val="222222"/>
                <w:sz w:val="18"/>
              </w:rPr>
              <w:t>Semantic search over indexed reports</w:t>
            </w:r>
          </w:p>
        </w:tc>
      </w:tr>
      <w:tr>
        <w:tc>
          <w:tcPr>
            <w:tcW w:type="dxa" w:w="1296"/>
          </w:tcPr>
          <w:p>
            <w:pPr>
              <w:spacing w:after="20" w:before="20"/>
            </w:pPr>
            <w:r>
              <w:rPr>
                <w:rFonts w:ascii="Consolas" w:hAnsi="Consolas"/>
                <w:b/>
                <w:color w:val="C4007A"/>
                <w:sz w:val="18"/>
              </w:rPr>
              <w:t>POST</w:t>
            </w:r>
          </w:p>
        </w:tc>
        <w:tc>
          <w:tcPr>
            <w:tcW w:type="dxa" w:w="3096"/>
          </w:tcPr>
          <w:p>
            <w:pPr>
              <w:spacing w:after="20" w:before="20"/>
            </w:pPr>
            <w:r>
              <w:rPr>
                <w:rFonts w:ascii="Consolas" w:hAnsi="Consolas"/>
                <w:b w:val="0"/>
                <w:color w:val="222222"/>
                <w:sz w:val="18"/>
              </w:rPr>
              <w:t>/agent/index</w:t>
            </w:r>
          </w:p>
        </w:tc>
        <w:tc>
          <w:tcPr>
            <w:tcW w:type="dxa" w:w="5256"/>
          </w:tcPr>
          <w:p>
            <w:pPr>
              <w:spacing w:after="20" w:before="20"/>
            </w:pPr>
            <w:r>
              <w:rPr>
                <w:rFonts w:ascii="Calibri" w:hAnsi="Calibri"/>
                <w:b w:val="0"/>
                <w:color w:val="222222"/>
                <w:sz w:val="18"/>
              </w:rPr>
              <w:t>Add reports to the vector store</w:t>
            </w:r>
          </w:p>
        </w:tc>
      </w:tr>
      <w:tr>
        <w:tc>
          <w:tcPr>
            <w:tcW w:type="dxa" w:w="1296"/>
          </w:tcPr>
          <w:p>
            <w:pPr>
              <w:spacing w:after="20" w:before="20"/>
            </w:pPr>
            <w:r>
              <w:rPr>
                <w:rFonts w:ascii="Consolas" w:hAnsi="Consolas"/>
                <w:b/>
                <w:color w:val="C4007A"/>
                <w:sz w:val="18"/>
              </w:rPr>
              <w:t>DELETE</w:t>
            </w:r>
          </w:p>
        </w:tc>
        <w:tc>
          <w:tcPr>
            <w:tcW w:type="dxa" w:w="3096"/>
          </w:tcPr>
          <w:p>
            <w:pPr>
              <w:spacing w:after="20" w:before="20"/>
            </w:pPr>
            <w:r>
              <w:rPr>
                <w:rFonts w:ascii="Consolas" w:hAnsi="Consolas"/>
                <w:b w:val="0"/>
                <w:color w:val="222222"/>
                <w:sz w:val="18"/>
              </w:rPr>
              <w:t>/agent/index</w:t>
            </w:r>
          </w:p>
        </w:tc>
        <w:tc>
          <w:tcPr>
            <w:tcW w:type="dxa" w:w="5256"/>
          </w:tcPr>
          <w:p>
            <w:pPr>
              <w:spacing w:after="20" w:before="20"/>
            </w:pPr>
            <w:r>
              <w:rPr>
                <w:rFonts w:ascii="Calibri" w:hAnsi="Calibri"/>
                <w:b w:val="0"/>
                <w:color w:val="222222"/>
                <w:sz w:val="18"/>
              </w:rPr>
              <w:t>Delete the vector store collection</w:t>
            </w:r>
          </w:p>
        </w:tc>
      </w:tr>
      <w:tr>
        <w:tc>
          <w:tcPr>
            <w:tcW w:type="dxa" w:w="1296"/>
          </w:tcPr>
          <w:p>
            <w:pPr>
              <w:spacing w:after="20" w:before="20"/>
            </w:pPr>
            <w:r>
              <w:rPr>
                <w:rFonts w:ascii="Consolas" w:hAnsi="Consolas"/>
                <w:b/>
                <w:color w:val="C4007A"/>
                <w:sz w:val="18"/>
              </w:rPr>
              <w:t>GET</w:t>
            </w:r>
          </w:p>
        </w:tc>
        <w:tc>
          <w:tcPr>
            <w:tcW w:type="dxa" w:w="3096"/>
          </w:tcPr>
          <w:p>
            <w:pPr>
              <w:spacing w:after="20" w:before="20"/>
            </w:pPr>
            <w:r>
              <w:rPr>
                <w:rFonts w:ascii="Consolas" w:hAnsi="Consolas"/>
                <w:b w:val="0"/>
                <w:color w:val="222222"/>
                <w:sz w:val="18"/>
              </w:rPr>
              <w:t>/agent/stats</w:t>
            </w:r>
          </w:p>
        </w:tc>
        <w:tc>
          <w:tcPr>
            <w:tcW w:type="dxa" w:w="5256"/>
          </w:tcPr>
          <w:p>
            <w:pPr>
              <w:spacing w:after="20" w:before="20"/>
            </w:pPr>
            <w:r>
              <w:rPr>
                <w:rFonts w:ascii="Calibri" w:hAnsi="Calibri"/>
                <w:b w:val="0"/>
                <w:color w:val="222222"/>
                <w:sz w:val="18"/>
              </w:rPr>
              <w:t>Vector store statistics (backend and count)</w:t>
            </w:r>
          </w:p>
        </w:tc>
      </w:tr>
    </w:tbl>
    <w:p>
      <w:pPr>
        <w:spacing w:before="120"/>
      </w:pPr>
      <w:r>
        <w:rPr>
          <w:i/>
          <w:color w:val="666666"/>
          <w:sz w:val="18"/>
        </w:rPr>
        <w:t>Interactive requests support both synchronous and asynchronous (Celery) modes; responses include the generated report, a confidence score, and processing time.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