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4B2E83"/>
          <w:sz w:val="24"/>
        </w:rPr>
        <w:t xml:space="preserve">COTIVITI  </w:t>
      </w:r>
      <w:r>
        <w:rPr>
          <w:color w:val="666666"/>
          <w:sz w:val="24"/>
        </w:rPr>
        <w:t>| Intern Assessment</w:t>
      </w:r>
    </w:p>
    <w:p>
      <w:pPr>
        <w:spacing w:before="120"/>
      </w:pPr>
      <w:r>
        <w:rPr>
          <w:rFonts w:ascii="Calibri" w:hAnsi="Calibri"/>
          <w:b/>
          <w:color w:val="4B2E83"/>
          <w:sz w:val="40"/>
        </w:rPr>
        <w:t>Clinical Natural Language Technology for Health Care</w:t>
      </w:r>
    </w:p>
    <w:p>
      <w:r>
        <w:rPr>
          <w:i/>
          <w:color w:val="C4007A"/>
          <w:sz w:val="24"/>
        </w:rPr>
        <w:t>Past, Present, and Future Approaches: NLP, OCR, Computer Vision, LLMs &amp; LMMs</w:t>
      </w:r>
    </w:p>
    <w:p>
      <w:pPr>
        <w:pBdr>
          <w:bottom w:val="single" w:sz="12" w:space="4" w:color="4B2E83"/>
        </w:pBdr>
        <w:spacing w:after="160"/>
      </w:pPr>
      <w:r>
        <w:rPr>
          <w:color w:val="666666"/>
          <w:sz w:val="20"/>
        </w:rPr>
        <w:t>Nitish Kumar  •  San Jose State University  •  Topic 1</w:t>
      </w:r>
    </w:p>
    <w:p>
      <w:pPr>
        <w:spacing w:before="200" w:after="60"/>
        <w:pBdr>
          <w:bottom w:val="single" w:sz="8" w:space="4" w:color="C4007A"/>
        </w:pBdr>
      </w:pPr>
      <w:r>
        <w:rPr>
          <w:rFonts w:ascii="Calibri" w:hAnsi="Calibri"/>
          <w:b/>
          <w:caps/>
          <w:color w:val="4B2E83"/>
          <w:sz w:val="24"/>
        </w:rPr>
        <w:t>DEFINING THE CONCEPT</w:t>
      </w:r>
    </w:p>
    <w:p>
      <w:pPr>
        <w:jc w:val="both"/>
      </w:pPr>
      <w:r>
        <w:t>Clinical Natural Language Technology refers to the family of computational methods that convert unstructured clinical information (physician notes, discharge summaries, scanned faxes, and medical images) into structured data that computers can use. An estimated 80% of health data is unstructured, trapped in free text and imaging where it cannot be directly searched, coded, or audited. The discipline spans four complementary technologies: Natural Language Processing (NLP) for extracting entities and relations from text; Optical Character Recognition (OCR) for digitizing scanned and faxed documents; Computer Vision (CV) for interpreting medical images; and, most recently, Large Language Models (LLMs) and Large Multimodal Models (LMMs) that reason jointly over text and images. Together these methods turn narrative clinical content into the codes, features, and evidence that payment integrity and quality programs depend on.</w:t>
      </w:r>
    </w:p>
    <w:p>
      <w:pPr>
        <w:spacing w:before="200" w:after="60"/>
        <w:pBdr>
          <w:bottom w:val="single" w:sz="8" w:space="4" w:color="C4007A"/>
        </w:pBdr>
      </w:pPr>
      <w:r>
        <w:rPr>
          <w:rFonts w:ascii="Calibri" w:hAnsi="Calibri"/>
          <w:b/>
          <w:caps/>
          <w:color w:val="4B2E83"/>
          <w:sz w:val="24"/>
        </w:rPr>
        <w:t>TRENDS: PAST, PRESENT, AND FUTURE</w:t>
      </w:r>
    </w:p>
    <w:p>
      <w:pPr>
        <w:jc w:val="both"/>
      </w:pPr>
      <w:r>
        <w:t>The field has moved through three eras. The past (2000 to 2017) was dominated by rule-based and dictionary systems such as cTAKES and MetaMap that mapped text to ontologies (UMLS, SNOMED CT, ICD) using hand-written rules. These were accurate but brittle and expensive to maintain. The present (2018 to 2023) is defined by transformer-based transfer learning: domain-pretrained encoders such as BioBERT, ClinicalBERT, and GatorTron dramatically improved named-entity recognition, de-identification, and phenotyping, while vision models like DenseNet and Vision Transformers reached expert-level performance on chest-radiograph classification. The emerging future (2024 onward) is generative and multimodal: clinical LLMs (Med-PaLM 2, GPT-class models) encode broad medical knowledge, and LMMs fuse image and text so a single model can read an X-ray and draft a narrative report. Retrieval-Augmented Generation (RAG) has become the dominant pattern for grounding these models in verified clinical sources and controlling hallucination (made-up facts), which is a prerequisite for regulated healthcare use.</w:t>
      </w:r>
    </w:p>
    <w:p>
      <w:pPr>
        <w:spacing w:before="200" w:after="60"/>
        <w:pBdr>
          <w:bottom w:val="single" w:sz="8" w:space="4" w:color="C4007A"/>
        </w:pBdr>
      </w:pPr>
      <w:r>
        <w:rPr>
          <w:rFonts w:ascii="Calibri" w:hAnsi="Calibri"/>
          <w:b/>
          <w:caps/>
          <w:color w:val="4B2E83"/>
          <w:sz w:val="24"/>
        </w:rPr>
        <w:t>OPPORTUNITIES</w:t>
      </w:r>
    </w:p>
    <w:p>
      <w:pPr>
        <w:pStyle w:val="ListBullet"/>
        <w:spacing w:after="80"/>
        <w:jc w:val="both"/>
      </w:pPr>
      <w:r>
        <w:rPr>
          <w:b/>
          <w:color w:val="4B2E83"/>
        </w:rPr>
        <w:t xml:space="preserve">Automated coding &amp; payment integrity: </w:t>
      </w:r>
      <w:r>
        <w:t>extracting diagnoses, procedures, and supporting evidence from notes to detect miscoding, upcoding, and documentation gaps at scale, directly aligned with Cotiviti's core business.</w:t>
      </w:r>
    </w:p>
    <w:p>
      <w:pPr>
        <w:pStyle w:val="ListBullet"/>
        <w:spacing w:after="80"/>
        <w:jc w:val="both"/>
      </w:pPr>
      <w:r>
        <w:rPr>
          <w:b/>
          <w:color w:val="4B2E83"/>
        </w:rPr>
        <w:t xml:space="preserve">Multimodal report generation: </w:t>
      </w:r>
      <w:r>
        <w:t>vision-language models draft radiology and pathology reports, cutting turnaround time and surfacing findings that support or contradict billed claims.</w:t>
      </w:r>
    </w:p>
    <w:p>
      <w:pPr>
        <w:pStyle w:val="ListBullet"/>
        <w:spacing w:after="80"/>
        <w:jc w:val="both"/>
      </w:pPr>
      <w:r>
        <w:rPr>
          <w:b/>
          <w:color w:val="4B2E83"/>
        </w:rPr>
        <w:t xml:space="preserve">Grounded, auditable AI: </w:t>
      </w:r>
      <w:r>
        <w:t>RAG pipelines cite the exact source passage behind every extraction, producing the traceable audit trail that clinical and regulatory review require.</w:t>
      </w:r>
    </w:p>
    <w:p>
      <w:pPr>
        <w:spacing w:before="200" w:after="60"/>
        <w:pBdr>
          <w:bottom w:val="single" w:sz="8" w:space="4" w:color="C4007A"/>
        </w:pBdr>
      </w:pPr>
      <w:r>
        <w:rPr>
          <w:rFonts w:ascii="Calibri" w:hAnsi="Calibri"/>
          <w:b/>
          <w:caps/>
          <w:color w:val="4B2E83"/>
          <w:sz w:val="24"/>
        </w:rPr>
        <w:t>THREATS &amp; RISKS</w:t>
      </w:r>
    </w:p>
    <w:p>
      <w:pPr>
        <w:pStyle w:val="ListBullet"/>
        <w:spacing w:after="80"/>
        <w:jc w:val="both"/>
      </w:pPr>
      <w:r>
        <w:rPr>
          <w:b/>
          <w:color w:val="4B2E83"/>
        </w:rPr>
        <w:t xml:space="preserve">Hallucination &amp; safety: </w:t>
      </w:r>
      <w:r>
        <w:t>generative models can fabricate plausible but false clinical statements; unmitigated, this is unacceptable in payment and care decisions.</w:t>
      </w:r>
    </w:p>
    <w:p>
      <w:pPr>
        <w:pStyle w:val="ListBullet"/>
        <w:spacing w:after="80"/>
        <w:jc w:val="both"/>
      </w:pPr>
      <w:r>
        <w:rPr>
          <w:b/>
          <w:color w:val="4B2E83"/>
        </w:rPr>
        <w:t xml:space="preserve">Privacy &amp; compliance: </w:t>
      </w:r>
      <w:r>
        <w:t>PHI in text and images demands HIPAA-grade de-identification, on-premise or private inference, and strict data governance.</w:t>
      </w:r>
    </w:p>
    <w:p>
      <w:pPr>
        <w:pStyle w:val="ListBullet"/>
        <w:spacing w:after="80"/>
        <w:jc w:val="both"/>
      </w:pPr>
      <w:r>
        <w:rPr>
          <w:b/>
          <w:color w:val="4B2E83"/>
        </w:rPr>
        <w:t xml:space="preserve">Bias, drift &amp; regulation: </w:t>
      </w:r>
      <w:r>
        <w:t>models can underperform on under-represented populations, degrade as coding rules change, and face evolving FDA and payer oversight of clinical AI.</w:t>
      </w:r>
    </w:p>
    <w:p>
      <w:pPr>
        <w:spacing w:before="200" w:after="60"/>
        <w:pBdr>
          <w:bottom w:val="single" w:sz="8" w:space="4" w:color="C4007A"/>
        </w:pBdr>
      </w:pPr>
      <w:r>
        <w:rPr>
          <w:rFonts w:ascii="Calibri" w:hAnsi="Calibri"/>
          <w:b/>
          <w:caps/>
          <w:color w:val="4B2E83"/>
          <w:sz w:val="24"/>
        </w:rPr>
        <w:t>RECOMMENDED STRATEGIC ACTIONS FOR COTIVITI</w:t>
      </w:r>
    </w:p>
    <w:p>
      <w:pPr>
        <w:jc w:val="both"/>
      </w:pPr>
      <w:r>
        <w:t>First, invest in a grounded clinical-NLP layer built on RAG: pair domain-pretrained encoders (ClinicalBERT/GatorTron) with a governed vector store of coding policies and clinical guidelines so every AI-generated code or flag is traceable to an authoritative source. Second, pilot multimodal document understanding (combining OCR, NLP, and computer vision) to reconcile imaging and note evidence against submitted claims. Third, adopt a human-in-the-loop MLOps discipline (versioning, calibration, drift monitoring, and confidence-gated escalation) so automation augments rather than replaces expert reviewers. These positions let Cotiviti capture efficiency gains while meeting the accuracy, explainability, and compliance bar that healthcare payment integrity demands.</w:t>
      </w:r>
    </w:p>
    <w:p>
      <w:pPr>
        <w:spacing w:before="200" w:after="60"/>
        <w:pBdr>
          <w:bottom w:val="single" w:sz="8" w:space="4" w:color="C4007A"/>
        </w:pBdr>
      </w:pPr>
      <w:r>
        <w:rPr>
          <w:rFonts w:ascii="Calibri" w:hAnsi="Calibri"/>
          <w:b/>
          <w:caps/>
          <w:color w:val="4B2E83"/>
          <w:sz w:val="24"/>
        </w:rPr>
        <w:t>PROOF OF CONCEPT</w:t>
      </w:r>
    </w:p>
    <w:p>
      <w:pPr>
        <w:jc w:val="both"/>
      </w:pPr>
      <w:r>
        <w:t>The accompanying prototype, an automated Chest X-Ray Report Generation System, demonstrates these principles end to end. A DenseNet-121 vision encoder converts an X-ray (JPEG, PNG, or DICOM) into a feature vector that a Transformer decoder turns into a narrative radiology report, illustrating the Computer Vision and NLP pipeline. A RAG clinical agent (ClinicalBERT embeddings + ChromaDB vector store + a LangChain ReAct loop) then answers clinical questions with a step-by-step reasoning trace grounded in retrieved cases, showing how LLM/LMM techniques can be made auditable. The system is wrapped in a production-style MLOps stack (FastAPI, Celery, Prometheus, OpenTelemetry, Docker) and a four-tab Gradio UI, proving the concept from model to deployable service. It is a research demonstrator and is not FDA-cleared for clinical use.</w:t>
      </w:r>
    </w:p>
    <w:p>
      <w:r>
        <w:br w:type="page"/>
      </w:r>
    </w:p>
    <w:p>
      <w:pPr>
        <w:spacing w:before="200" w:after="60"/>
        <w:pBdr>
          <w:bottom w:val="single" w:sz="8" w:space="4" w:color="C4007A"/>
        </w:pBdr>
      </w:pPr>
      <w:r>
        <w:rPr>
          <w:rFonts w:ascii="Calibri" w:hAnsi="Calibri"/>
          <w:b/>
          <w:caps/>
          <w:color w:val="4B2E83"/>
          <w:sz w:val="24"/>
        </w:rPr>
        <w:t>REFERENCES (APA 7TH EDITION)</w:t>
      </w:r>
    </w:p>
    <w:p>
      <w:pPr>
        <w:spacing w:after="160" w:line="276" w:lineRule="auto"/>
        <w:ind w:left="720" w:hanging="720"/>
        <w:jc w:val="both"/>
      </w:pPr>
      <w:r>
        <w:rPr>
          <w:sz w:val="20"/>
        </w:rPr>
        <w:t>Alsentzer, E., Murphy, J., Boag, W., Weng, W.-H., Jin, D., Naumann, T., &amp; McDermott, M. (2019). Publicly available clinical BERT embeddings. Proceedings of the 2nd Clinical Natural Language Processing Workshop, 72–78.</w:t>
      </w:r>
    </w:p>
    <w:p>
      <w:pPr>
        <w:spacing w:after="160" w:line="276" w:lineRule="auto"/>
        <w:ind w:left="720" w:hanging="720"/>
        <w:jc w:val="both"/>
      </w:pPr>
      <w:r>
        <w:rPr>
          <w:sz w:val="20"/>
        </w:rPr>
        <w:t>Demner-Fushman, D., Kohli, M. D., Rosenman, M. B., Shooshan, S. E., Rodriguez, L., Antani, S., Thoma, G. R., &amp; McDonald, C. J. (2016). Preparing a collection of radiology examinations for distribution and retrieval. Journal of the American Medical Informatics Association, 23(2), 304–310.</w:t>
      </w:r>
    </w:p>
    <w:p>
      <w:pPr>
        <w:spacing w:after="160" w:line="276" w:lineRule="auto"/>
        <w:ind w:left="720" w:hanging="720"/>
        <w:jc w:val="both"/>
      </w:pPr>
      <w:r>
        <w:rPr>
          <w:sz w:val="20"/>
        </w:rPr>
        <w:t>Devlin, J., Chang, M.-W., Lee, K., &amp; Toutanova, K. (2019). BERT: Pre-training of deep bidirectional transformers for language understanding. Proceedings of NAACL-HLT, 4171–4186.</w:t>
      </w:r>
    </w:p>
    <w:p>
      <w:pPr>
        <w:spacing w:after="160" w:line="276" w:lineRule="auto"/>
        <w:ind w:left="720" w:hanging="720"/>
        <w:jc w:val="both"/>
      </w:pPr>
      <w:r>
        <w:rPr>
          <w:sz w:val="20"/>
        </w:rPr>
        <w:t>Huang, G., Liu, Z., van der Maaten, L., &amp; Weinberger, K. Q. (2017). Densely connected convolutional networks. Proceedings of the IEEE Conference on Computer Vision and Pattern Recognition, 4700–4708.</w:t>
      </w:r>
    </w:p>
    <w:p>
      <w:pPr>
        <w:spacing w:after="160" w:line="276" w:lineRule="auto"/>
        <w:ind w:left="720" w:hanging="720"/>
        <w:jc w:val="both"/>
      </w:pPr>
      <w:r>
        <w:rPr>
          <w:sz w:val="20"/>
        </w:rPr>
        <w:t>Irvin, J., Rajpurkar, P., Ko, M., Yu, Y., Ciurea-Ilcus, S., Chute, C., ... Ng, A. Y. (2019). CheXpert: A large chest radiograph dataset with uncertainty labels and expert comparison. Proceedings of the AAAI Conference on Artificial Intelligence, 33(1), 590–597.</w:t>
      </w:r>
    </w:p>
    <w:p>
      <w:pPr>
        <w:spacing w:after="160" w:line="276" w:lineRule="auto"/>
        <w:ind w:left="720" w:hanging="720"/>
        <w:jc w:val="both"/>
      </w:pPr>
      <w:r>
        <w:rPr>
          <w:sz w:val="20"/>
        </w:rPr>
        <w:t>Johnson, A. E. W., Pollard, T. J., Berkowitz, S. J., Greenbaum, N. R., Lungren, M. P., Deng, C.-Y., Mark, R. G., &amp; Horng, S. (2019). MIMIC-CXR, a de-identified publicly available database of chest radiographs with free-text reports. Scientific Data, 6, 317.</w:t>
      </w:r>
    </w:p>
    <w:p>
      <w:pPr>
        <w:spacing w:after="160" w:line="276" w:lineRule="auto"/>
        <w:ind w:left="720" w:hanging="720"/>
        <w:jc w:val="both"/>
      </w:pPr>
      <w:r>
        <w:rPr>
          <w:sz w:val="20"/>
        </w:rPr>
        <w:t>Lee, J., Yoon, W., Kim, S., Kim, D., Kim, S., So, C. H., &amp; Kang, J. (2020). BioBERT: A pre-trained biomedical language representation model for biomedical text mining. Bioinformatics, 36(4), 1234–1240.</w:t>
      </w:r>
    </w:p>
    <w:p>
      <w:pPr>
        <w:spacing w:after="160" w:line="276" w:lineRule="auto"/>
        <w:ind w:left="720" w:hanging="720"/>
        <w:jc w:val="both"/>
      </w:pPr>
      <w:r>
        <w:rPr>
          <w:sz w:val="20"/>
        </w:rPr>
        <w:t>Lewis, P., Perez, E., Piktus, A., Petroni, F., Karpukhin, V., Goyal, N., ... Kiela, D. (2020). Retrieval-augmented generation for knowledge-intensive NLP tasks. Advances in Neural Information Processing Systems, 33, 9459–9474.</w:t>
      </w:r>
    </w:p>
    <w:p>
      <w:pPr>
        <w:spacing w:after="160" w:line="276" w:lineRule="auto"/>
        <w:ind w:left="720" w:hanging="720"/>
        <w:jc w:val="both"/>
      </w:pPr>
      <w:r>
        <w:rPr>
          <w:sz w:val="20"/>
        </w:rPr>
        <w:t>Singhal, K., Azizi, S., Tu, T., Mahdavi, S. S., Wei, J., Chung, H. W., ... Natarajan, V. (2023). Large language models encode clinical knowledge. Nature, 620, 172–180.</w:t>
      </w:r>
    </w:p>
    <w:p>
      <w:pPr>
        <w:spacing w:after="160" w:line="276" w:lineRule="auto"/>
        <w:ind w:left="720" w:hanging="720"/>
        <w:jc w:val="both"/>
      </w:pPr>
      <w:r>
        <w:rPr>
          <w:sz w:val="20"/>
        </w:rPr>
        <w:t>Thirunavukarasu, A. J., Ting, D. S. J., Elangovan, K., Gutierrez, L., Tan, T. F., &amp; Ting, D. S. W. (2023). Large language models in medicine. Nature Medicine, 29, 1930–1940.</w:t>
      </w:r>
    </w:p>
    <w:p>
      <w:pPr>
        <w:spacing w:after="160" w:line="276" w:lineRule="auto"/>
        <w:ind w:left="720" w:hanging="720"/>
        <w:jc w:val="both"/>
      </w:pPr>
      <w:r>
        <w:rPr>
          <w:sz w:val="20"/>
        </w:rPr>
        <w:t>Vaswani, A., Shazeer, N., Parmar, N., Uszkoreit, J., Jones, L., Gomez, A. N., Kaiser, Ł., &amp; Polosukhin, I. (2017). Attention is all you need. Advances in Neural Information Processing Systems, 30.</w:t>
      </w:r>
    </w:p>
    <w:p>
      <w:pPr>
        <w:spacing w:after="160" w:line="276" w:lineRule="auto"/>
        <w:ind w:left="720" w:hanging="720"/>
        <w:jc w:val="both"/>
      </w:pPr>
      <w:r>
        <w:rPr>
          <w:sz w:val="20"/>
        </w:rPr>
        <w:t>Yang, X., Chen, A., PourNejatian, N., Shin, H. C., Smith, K. E., Parisien, C., ... Wu, Y. (2022). A large language model for electronic health records. npj Digital Medicine, 5, 194.</w:t>
      </w:r>
    </w:p>
    <w:p>
      <w:r>
        <w:br w:type="page"/>
      </w:r>
    </w:p>
    <w:p>
      <w:pPr>
        <w:spacing w:before="200" w:after="60"/>
        <w:pBdr>
          <w:bottom w:val="single" w:sz="8" w:space="4" w:color="C4007A"/>
        </w:pBdr>
      </w:pPr>
      <w:r>
        <w:rPr>
          <w:rFonts w:ascii="Calibri" w:hAnsi="Calibri"/>
          <w:b/>
          <w:caps/>
          <w:color w:val="4B2E83"/>
          <w:sz w:val="24"/>
        </w:rPr>
        <w:t>APPENDIX A: SYSTEM ARCHITECTURE (HIGH-LEVEL DESIGN)</w:t>
      </w:r>
    </w:p>
    <w:p>
      <w:pPr>
        <w:jc w:val="both"/>
      </w:pPr>
      <w:r>
        <w:t>The proof of concept is organized in four layers. Client interfaces (a Gradio UI, Swagger, and REST clients) call a FastAPI service, which routes requests to the model, DICOM, RAG, and async services; these read from the vector store, model weights, and vocabulary.</w:t>
      </w:r>
    </w:p>
    <w:p>
      <w:pPr>
        <w:spacing w:before="40" w:after="40"/>
        <w:jc w:val="center"/>
      </w:pPr>
      <w:r>
        <w:drawing>
          <wp:inline xmlns:a="http://schemas.openxmlformats.org/drawingml/2006/main" xmlns:pic="http://schemas.openxmlformats.org/drawingml/2006/picture">
            <wp:extent cx="5577840" cy="3175608"/>
            <wp:docPr id="1" name="Picture 1"/>
            <wp:cNvGraphicFramePr>
              <a:graphicFrameLocks noChangeAspect="1"/>
            </wp:cNvGraphicFramePr>
            <a:graphic>
              <a:graphicData uri="http://schemas.openxmlformats.org/drawingml/2006/picture">
                <pic:pic>
                  <pic:nvPicPr>
                    <pic:cNvPr id="0" name="hld_architecture.png"/>
                    <pic:cNvPicPr/>
                  </pic:nvPicPr>
                  <pic:blipFill>
                    <a:blip r:embed="rId9"/>
                    <a:stretch>
                      <a:fillRect/>
                    </a:stretch>
                  </pic:blipFill>
                  <pic:spPr>
                    <a:xfrm>
                      <a:off x="0" y="0"/>
                      <a:ext cx="5577840" cy="3175608"/>
                    </a:xfrm>
                    <a:prstGeom prst="rect"/>
                  </pic:spPr>
                </pic:pic>
              </a:graphicData>
            </a:graphic>
          </wp:inline>
        </w:drawing>
      </w:r>
    </w:p>
    <w:p>
      <w:pPr>
        <w:jc w:val="center"/>
      </w:pPr>
      <w:r>
        <w:rPr>
          <w:i/>
          <w:color w:val="666666"/>
          <w:sz w:val="18"/>
        </w:rPr>
        <w:t>Figure 1. High-level design of the Chest X-Ray Report Generation System.</w:t>
      </w:r>
    </w:p>
    <w:p>
      <w:pPr>
        <w:spacing w:before="200" w:after="60"/>
        <w:pBdr>
          <w:bottom w:val="single" w:sz="8" w:space="4" w:color="C4007A"/>
        </w:pBdr>
      </w:pPr>
      <w:r>
        <w:rPr>
          <w:rFonts w:ascii="Calibri" w:hAnsi="Calibri"/>
          <w:b/>
          <w:caps/>
          <w:color w:val="4B2E83"/>
          <w:sz w:val="24"/>
        </w:rPr>
        <w:t>APPENDIX B: API REFERENCE (SURFACE LEVEL)</w:t>
      </w:r>
    </w:p>
    <w:p>
      <w:pPr>
        <w:jc w:val="both"/>
      </w:pPr>
      <w:r>
        <w:t>The system exposes a REST API built with FastAPI; full interactive documentation is auto-generated at /docs (Swagger). The core endpoints are summarized below.</w:t>
      </w:r>
    </w:p>
    <w:tbl>
      <w:tblPr>
        <w:tblStyle w:val="TableGrid"/>
        <w:tblW w:type="auto" w:w="0"/>
        <w:tblLayout w:type="fixed"/>
        <w:tblLook w:firstColumn="1" w:firstRow="1" w:lastColumn="0" w:lastRow="0" w:noHBand="0" w:noVBand="1" w:val="04A0"/>
      </w:tblPr>
      <w:tblGrid>
        <w:gridCol w:w="3264"/>
        <w:gridCol w:w="3264"/>
        <w:gridCol w:w="3264"/>
      </w:tblGrid>
      <w:tr>
        <w:tc>
          <w:tcPr>
            <w:tcW w:type="dxa" w:w="1296"/>
            <w:shd w:val="clear" w:color="auto" w:fill="4B2E83"/>
          </w:tcPr>
          <w:p>
            <w:pPr>
              <w:spacing w:after="20" w:before="20"/>
            </w:pPr>
            <w:r>
              <w:rPr>
                <w:rFonts w:ascii="Calibri" w:hAnsi="Calibri"/>
                <w:b/>
                <w:color w:val="FFFFFF"/>
                <w:sz w:val="19"/>
              </w:rPr>
              <w:t>Method</w:t>
            </w:r>
          </w:p>
        </w:tc>
        <w:tc>
          <w:tcPr>
            <w:tcW w:type="dxa" w:w="3096"/>
            <w:shd w:val="clear" w:color="auto" w:fill="4B2E83"/>
          </w:tcPr>
          <w:p>
            <w:pPr>
              <w:spacing w:after="20" w:before="20"/>
            </w:pPr>
            <w:r>
              <w:rPr>
                <w:rFonts w:ascii="Calibri" w:hAnsi="Calibri"/>
                <w:b/>
                <w:color w:val="FFFFFF"/>
                <w:sz w:val="19"/>
              </w:rPr>
              <w:t>Endpoint</w:t>
            </w:r>
          </w:p>
        </w:tc>
        <w:tc>
          <w:tcPr>
            <w:tcW w:type="dxa" w:w="5256"/>
            <w:shd w:val="clear" w:color="auto" w:fill="4B2E83"/>
          </w:tcPr>
          <w:p>
            <w:pPr>
              <w:spacing w:after="20" w:before="20"/>
            </w:pPr>
            <w:r>
              <w:rPr>
                <w:rFonts w:ascii="Calibri" w:hAnsi="Calibri"/>
                <w:b/>
                <w:color w:val="FFFFFF"/>
                <w:sz w:val="19"/>
              </w:rPr>
              <w:t>Description</w:t>
            </w:r>
          </w:p>
        </w:tc>
      </w:tr>
      <w:tr>
        <w:tc>
          <w:tcPr>
            <w:tcW w:type="dxa" w:w="9648"/>
            <w:gridSpan w:val="3"/>
            <w:shd w:val="clear" w:color="auto" w:fill="EFE7FA"/>
          </w:tcPr>
          <w:p>
            <w:pPr>
              <w:spacing w:after="20" w:before="20"/>
            </w:pPr>
            <w:r>
              <w:rPr>
                <w:rFonts w:ascii="Calibri" w:hAnsi="Calibri"/>
                <w:b/>
                <w:color w:val="4B2E83"/>
                <w:sz w:val="18"/>
              </w:rPr>
              <w:t>SYSTEM</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/health</w:t>
            </w:r>
          </w:p>
        </w:tc>
        <w:tc>
          <w:tcPr>
            <w:tcW w:type="dxa" w:w="5256"/>
          </w:tcPr>
          <w:p>
            <w:pPr>
              <w:spacing w:after="20" w:before="20"/>
            </w:pPr>
            <w:r>
              <w:rPr>
                <w:rFonts w:ascii="Calibri" w:hAnsi="Calibri"/>
                <w:b w:val="0"/>
                <w:color w:val="222222"/>
                <w:sz w:val="18"/>
              </w:rPr>
              <w:t>Liveness probe and model-loaded status</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/metadata</w:t>
            </w:r>
          </w:p>
        </w:tc>
        <w:tc>
          <w:tcPr>
            <w:tcW w:type="dxa" w:w="5256"/>
          </w:tcPr>
          <w:p>
            <w:pPr>
              <w:spacing w:after="20" w:before="20"/>
            </w:pPr>
            <w:r>
              <w:rPr>
                <w:rFonts w:ascii="Calibri" w:hAnsi="Calibri"/>
                <w:b w:val="0"/>
                <w:color w:val="222222"/>
                <w:sz w:val="18"/>
              </w:rPr>
              <w:t>Model architecture details (vocab size, dimensions, dataset)</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/metrics</w:t>
            </w:r>
          </w:p>
        </w:tc>
        <w:tc>
          <w:tcPr>
            <w:tcW w:type="dxa" w:w="5256"/>
          </w:tcPr>
          <w:p>
            <w:pPr>
              <w:spacing w:after="20" w:before="20"/>
            </w:pPr>
            <w:r>
              <w:rPr>
                <w:rFonts w:ascii="Calibri" w:hAnsi="Calibri"/>
                <w:b w:val="0"/>
                <w:color w:val="222222"/>
                <w:sz w:val="18"/>
              </w:rPr>
              <w:t>Prometheus metrics (request counts, latency histogram)</w:t>
            </w:r>
          </w:p>
        </w:tc>
      </w:tr>
      <w:tr>
        <w:tc>
          <w:tcPr>
            <w:tcW w:type="dxa" w:w="9648"/>
            <w:gridSpan w:val="3"/>
            <w:shd w:val="clear" w:color="auto" w:fill="EFE7FA"/>
          </w:tcPr>
          <w:p>
            <w:pPr>
              <w:spacing w:after="20" w:before="20"/>
            </w:pPr>
            <w:r>
              <w:rPr>
                <w:rFonts w:ascii="Calibri" w:hAnsi="Calibri"/>
                <w:b/>
                <w:color w:val="4B2E83"/>
                <w:sz w:val="18"/>
              </w:rPr>
              <w:t>INFERENCE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/predict</w:t>
            </w:r>
          </w:p>
        </w:tc>
        <w:tc>
          <w:tcPr>
            <w:tcW w:type="dxa" w:w="5256"/>
          </w:tcPr>
          <w:p>
            <w:pPr>
              <w:spacing w:after="20" w:before="20"/>
            </w:pPr>
            <w:r>
              <w:rPr>
                <w:rFonts w:ascii="Calibri" w:hAnsi="Calibri"/>
                <w:b w:val="0"/>
                <w:color w:val="222222"/>
                <w:sz w:val="18"/>
              </w:rPr>
              <w:t>Generate a report from a JPEG or PNG image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/predict/dicom</w:t>
            </w:r>
          </w:p>
        </w:tc>
        <w:tc>
          <w:tcPr>
            <w:tcW w:type="dxa" w:w="5256"/>
          </w:tcPr>
          <w:p>
            <w:pPr>
              <w:spacing w:after="20" w:before="20"/>
            </w:pPr>
            <w:r>
              <w:rPr>
                <w:rFonts w:ascii="Calibri" w:hAnsi="Calibri"/>
                <w:b w:val="0"/>
                <w:color w:val="222222"/>
                <w:sz w:val="18"/>
              </w:rPr>
              <w:t>Generate a report from a DICOM file, with windowing</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/preview/dicom</w:t>
            </w:r>
          </w:p>
        </w:tc>
        <w:tc>
          <w:tcPr>
            <w:tcW w:type="dxa" w:w="5256"/>
          </w:tcPr>
          <w:p>
            <w:pPr>
              <w:spacing w:after="20" w:before="20"/>
            </w:pPr>
            <w:r>
              <w:rPr>
                <w:rFonts w:ascii="Calibri" w:hAnsi="Calibri"/>
                <w:b w:val="0"/>
                <w:color w:val="222222"/>
                <w:sz w:val="18"/>
              </w:rPr>
              <w:t>Return a windowed DICOM preview image (JPEG)</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/task/{task_id}</w:t>
            </w:r>
          </w:p>
        </w:tc>
        <w:tc>
          <w:tcPr>
            <w:tcW w:type="dxa" w:w="5256"/>
          </w:tcPr>
          <w:p>
            <w:pPr>
              <w:spacing w:after="20" w:before="20"/>
            </w:pPr>
            <w:r>
              <w:rPr>
                <w:rFonts w:ascii="Calibri" w:hAnsi="Calibri"/>
                <w:b w:val="0"/>
                <w:color w:val="222222"/>
                <w:sz w:val="18"/>
              </w:rPr>
              <w:t>Poll the status and result of an async job</w:t>
            </w:r>
          </w:p>
        </w:tc>
      </w:tr>
      <w:tr>
        <w:tc>
          <w:tcPr>
            <w:tcW w:type="dxa" w:w="9648"/>
            <w:gridSpan w:val="3"/>
            <w:shd w:val="clear" w:color="auto" w:fill="EFE7FA"/>
          </w:tcPr>
          <w:p>
            <w:pPr>
              <w:spacing w:after="20" w:before="20"/>
            </w:pPr>
            <w:r>
              <w:rPr>
                <w:rFonts w:ascii="Calibri" w:hAnsi="Calibri"/>
                <w:b/>
                <w:color w:val="4B2E83"/>
                <w:sz w:val="18"/>
              </w:rPr>
              <w:t>AGENT</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/agent/query</w:t>
            </w:r>
          </w:p>
        </w:tc>
        <w:tc>
          <w:tcPr>
            <w:tcW w:type="dxa" w:w="5256"/>
          </w:tcPr>
          <w:p>
            <w:pPr>
              <w:spacing w:after="20" w:before="20"/>
            </w:pPr>
            <w:r>
              <w:rPr>
                <w:rFonts w:ascii="Calibri" w:hAnsi="Calibri"/>
                <w:b w:val="0"/>
                <w:color w:val="222222"/>
                <w:sz w:val="18"/>
              </w:rPr>
              <w:t>Grounded clinical question answering (optional reasoning trace)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/agent/search</w:t>
            </w:r>
          </w:p>
        </w:tc>
        <w:tc>
          <w:tcPr>
            <w:tcW w:type="dxa" w:w="5256"/>
          </w:tcPr>
          <w:p>
            <w:pPr>
              <w:spacing w:after="20" w:before="20"/>
            </w:pPr>
            <w:r>
              <w:rPr>
                <w:rFonts w:ascii="Calibri" w:hAnsi="Calibri"/>
                <w:b w:val="0"/>
                <w:color w:val="222222"/>
                <w:sz w:val="18"/>
              </w:rPr>
              <w:t>Semantic search over indexed reports</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/agent/index</w:t>
            </w:r>
          </w:p>
        </w:tc>
        <w:tc>
          <w:tcPr>
            <w:tcW w:type="dxa" w:w="5256"/>
          </w:tcPr>
          <w:p>
            <w:pPr>
              <w:spacing w:after="20" w:before="20"/>
            </w:pPr>
            <w:r>
              <w:rPr>
                <w:rFonts w:ascii="Calibri" w:hAnsi="Calibri"/>
                <w:b w:val="0"/>
                <w:color w:val="222222"/>
                <w:sz w:val="18"/>
              </w:rPr>
              <w:t>Add reports to the vector store</w:t>
            </w:r>
          </w:p>
        </w:tc>
      </w:tr>
      <w:tr>
        <w:tc>
          <w:tcPr>
            <w:tcW w:type="dxa" w:w="1296"/>
          </w:tcPr>
          <w:p>
            <w:pPr>
              <w:spacing w:after="20" w:before="20"/>
            </w:pPr>
            <w:r>
              <w:rPr>
                <w:rFonts w:ascii="Consolas" w:hAnsi="Consolas"/>
                <w:b/>
                <w:color w:val="C4007A"/>
                <w:sz w:val="18"/>
              </w:rPr>
              <w:t>DELETE</w:t>
            </w:r>
          </w:p>
        </w:tc>
        <w:tc>
          <w:tcPr>
            <w:tcW w:type="dxa" w:w="3096"/>
          </w:tcPr>
          <w:p>
            <w:pPr>
              <w:spacing w:after="20" w:before="20"/>
            </w:pPr>
            <w:r>
              <w:rPr>
                <w:rFonts w:ascii="Consolas" w:hAnsi="Consolas"/>
                <w:b w:val="0"/>
                <w:color w:val="222222"/>
                <w:sz w:val="18"/>
              </w:rPr>
              <w:t>/agent/index</w:t>
            </w:r>
          </w:p>
        </w:tc>
        <w:tc>
          <w:tcPr>
            <w:tcW w:type="dxa" w:w="5256"/>
          </w:tcPr>
          <w:p>
            <w:pPr>
              <w:spacing w:after="20" w:before="20"/>
            </w:pPr>
            <w:r>
              <w:rPr>
                <w:rFonts w:ascii="Calibri" w:hAnsi="Calibri"/>
                <w:b w:val="0"/>
                <w:color w:val="222222"/>
                <w:sz w:val="18"/>
              </w:rPr>
              <w:t>Delete the vector store collection</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/agent/stats</w:t>
            </w:r>
          </w:p>
        </w:tc>
        <w:tc>
          <w:tcPr>
            <w:tcW w:type="dxa" w:w="5256"/>
          </w:tcPr>
          <w:p>
            <w:pPr>
              <w:spacing w:after="20" w:before="20"/>
            </w:pPr>
            <w:r>
              <w:rPr>
                <w:rFonts w:ascii="Calibri" w:hAnsi="Calibri"/>
                <w:b w:val="0"/>
                <w:color w:val="222222"/>
                <w:sz w:val="18"/>
              </w:rPr>
              <w:t>Vector store statistics (backend and count)</w:t>
            </w:r>
          </w:p>
        </w:tc>
      </w:tr>
    </w:tbl>
    <w:p>
      <w:pPr>
        <w:spacing w:before="120"/>
      </w:pPr>
      <w:r>
        <w:rPr>
          <w:i/>
          <w:color w:val="666666"/>
          <w:sz w:val="18"/>
        </w:rPr>
        <w:t>Interactive requests support both synchronous and asynchronous (Celery) modes; responses include the generated report, a confidence score, and processing time.</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