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Georgia" w:hAnsi="Georgia"/>
          <w:b/>
          <w:i w:val="0"/>
          <w:color w:val="1A5276"/>
          <w:sz w:val="56"/>
        </w:rPr>
        <w:t>PROJECT REPORT</w:t>
        <w:br/>
        <w:br/>
        <w:t>CYBERTHREATFORGE</w:t>
        <w:br/>
      </w:r>
    </w:p>
    <w:p>
      <w:pPr>
        <w:jc w:val="center"/>
      </w:pPr>
      <w:r>
        <w:rPr>
          <w:rFonts w:ascii="Arial" w:hAnsi="Arial"/>
          <w:b w:val="0"/>
          <w:i/>
          <w:color w:val="566573"/>
          <w:sz w:val="28"/>
        </w:rPr>
        <w:t>Advanced Cybersecurity Simulation, Threat Modeling,</w:t>
        <w:br/>
        <w:t>and Defensive Operations Platform</w:t>
        <w:br/>
        <w:t>(Amroha-Cyber-security-)</w:t>
      </w:r>
    </w:p>
    <w:p>
      <w:pPr>
        <w:spacing w:before="3000"/>
        <w:jc w:val="center"/>
      </w:pPr>
      <w:r>
        <w:rPr>
          <w:rFonts w:ascii="Calibri" w:hAnsi="Calibri"/>
          <w:b w:val="0"/>
          <w:i w:val="0"/>
          <w:color w:val="787878"/>
          <w:sz w:val="20"/>
        </w:rPr>
        <w:t>Prepared by: Automated Security Archival System</w:t>
        <w:br/>
        <w:t>Date: June 2026</w:t>
        <w:br/>
        <w:t>Version: 1.0.0</w:t>
      </w:r>
    </w:p>
    <w:p>
      <w:r>
        <w:br w:type="page"/>
      </w:r>
    </w:p>
    <w:p>
      <w:pPr>
        <w:spacing w:after="400"/>
      </w:pPr>
      <w:r>
        <w:rPr>
          <w:rFonts w:ascii="Georgia" w:hAnsi="Georgia"/>
          <w:b/>
          <w:i w:val="0"/>
          <w:color w:val="1A5276"/>
          <w:sz w:val="36"/>
        </w:rPr>
        <w:t>Table of Contents</w:t>
      </w:r>
    </w:p>
    <w:p>
      <w:r>
        <w:rPr>
          <w:rFonts w:ascii="Courier New" w:hAnsi="Courier New"/>
          <w:b w:val="0"/>
          <w:i w:val="0"/>
          <w:sz w:val="20"/>
        </w:rPr>
        <w:t>1. Executive Summary .......................................................................................... 3</w:t>
        <w:br/>
        <w:t>2. System Architecture &amp; Tech Stack .................................................................... 4</w:t>
        <w:br/>
        <w:t>3. Core Security Modules &amp; API Specifications .................................................... 5</w:t>
        <w:br/>
        <w:t>4. Artificial Intelligence &amp; Analytics Layer ............................................................ 7</w:t>
        <w:br/>
        <w:t>5. Deployment &amp; Orchestration Guide .................................................................. 8</w:t>
        <w:br/>
        <w:t>6. Verification &amp; Test Metrics ............................................................................... 9</w:t>
      </w:r>
    </w:p>
    <w:p>
      <w:r>
        <w:br w:type="page"/>
      </w:r>
    </w:p>
    <w:p>
      <w:pPr>
        <w:spacing w:after="240"/>
      </w:pPr>
      <w:r>
        <w:rPr>
          <w:rFonts w:ascii="Georgia" w:hAnsi="Georgia"/>
          <w:b/>
          <w:i w:val="0"/>
          <w:color w:val="1A5276"/>
          <w:sz w:val="36"/>
        </w:rPr>
        <w:t>1. Executive Summary</w:t>
      </w:r>
    </w:p>
    <w:p>
      <w:r>
        <w:rPr>
          <w:rFonts w:ascii="Calibri" w:hAnsi="Calibri"/>
          <w:b w:val="0"/>
          <w:i w:val="0"/>
          <w:sz w:val="22"/>
        </w:rPr>
        <w:t>CyberThreatForge (Amroha-Cyber-security-) is an enterprise-grade cybersecurity simulation, training, and threat intelligence platform designed to model complex cyber threat surfaces. The system integrates advanced threat predictive engines with post-quantum security modeling, SCADA system verification, deepfake media detection, and cyber-insurance risk analytics to form a unified defensive operations center.</w:t>
      </w:r>
    </w:p>
    <w:p>
      <w:r>
        <w:rPr>
          <w:rFonts w:ascii="Calibri" w:hAnsi="Calibri"/>
          <w:b w:val="0"/>
          <w:i w:val="0"/>
          <w:sz w:val="22"/>
        </w:rPr>
        <w:t>The primary goal of the platform is to allow defensive security operators and investigators to simulate attack scenarios, test and audit detection systems, perform linguistic and cryptographic forensics, and validate model safeguards in real-time. By bridging the gap between machine-learning threat intelligence and simulated red/blue team exercises, CyberThreatForge delivers proactive resilience across modern digital infrastructure.</w:t>
      </w:r>
    </w:p>
    <w:p>
      <w:r>
        <w:br w:type="page"/>
      </w:r>
    </w:p>
    <w:p>
      <w:pPr>
        <w:spacing w:after="240"/>
      </w:pPr>
      <w:r>
        <w:rPr>
          <w:rFonts w:ascii="Georgia" w:hAnsi="Georgia"/>
          <w:b/>
          <w:i w:val="0"/>
          <w:color w:val="1A5276"/>
          <w:sz w:val="36"/>
        </w:rPr>
        <w:t>2. System Architecture &amp; Tech Stack</w:t>
      </w:r>
    </w:p>
    <w:p>
      <w:r>
        <w:rPr>
          <w:rFonts w:ascii="Calibri" w:hAnsi="Calibri"/>
          <w:b/>
          <w:i w:val="0"/>
          <w:sz w:val="22"/>
        </w:rPr>
        <w:t>The platform is structured as a decoupled multi-tier microservice architecture:</w:t>
      </w:r>
    </w:p>
    <w:p>
      <w:pPr>
        <w:pStyle w:val="ListBullet"/>
      </w:pPr>
      <w:r>
        <w:rPr>
          <w:rFonts w:ascii="Calibri" w:hAnsi="Calibri"/>
          <w:b/>
          <w:i w:val="0"/>
          <w:color w:val="2C3E50"/>
          <w:sz w:val="22"/>
        </w:rPr>
        <w:t xml:space="preserve">Frontend Dashboard: </w:t>
      </w:r>
      <w:r>
        <w:rPr>
          <w:rFonts w:ascii="Calibri" w:hAnsi="Calibri"/>
          <w:b w:val="0"/>
          <w:i w:val="0"/>
          <w:sz w:val="22"/>
        </w:rPr>
        <w:t>Built with React 18 and TypeScript (Vite), offering responsive charting (Line/Radar charts), collaborative workspaces, and administrative portals for interactive analysis.</w:t>
      </w:r>
    </w:p>
    <w:p>
      <w:pPr>
        <w:pStyle w:val="ListBullet"/>
      </w:pPr>
      <w:r>
        <w:rPr>
          <w:rFonts w:ascii="Calibri" w:hAnsi="Calibri"/>
          <w:b/>
          <w:i w:val="0"/>
          <w:color w:val="2C3E50"/>
          <w:sz w:val="22"/>
        </w:rPr>
        <w:t xml:space="preserve">Backend Services: </w:t>
      </w:r>
      <w:r>
        <w:rPr>
          <w:rFonts w:ascii="Calibri" w:hAnsi="Calibri"/>
          <w:b w:val="0"/>
          <w:i w:val="0"/>
          <w:sz w:val="22"/>
        </w:rPr>
        <w:t>Powered by Python (FastAPI/Flask) utilizing SQLAlchemy, SQLite for storage, and Alembic migrations. Handles authentication, logs ingestion, scenario orchestration, and external integrations.</w:t>
      </w:r>
    </w:p>
    <w:p>
      <w:pPr>
        <w:pStyle w:val="ListBullet"/>
      </w:pPr>
      <w:r>
        <w:rPr>
          <w:rFonts w:ascii="Calibri" w:hAnsi="Calibri"/>
          <w:b/>
          <w:i w:val="0"/>
          <w:color w:val="2C3E50"/>
          <w:sz w:val="22"/>
        </w:rPr>
        <w:t xml:space="preserve">AI Analytics Layer: </w:t>
      </w:r>
      <w:r>
        <w:rPr>
          <w:rFonts w:ascii="Calibri" w:hAnsi="Calibri"/>
          <w:b w:val="0"/>
          <w:i w:val="0"/>
          <w:sz w:val="22"/>
        </w:rPr>
        <w:t>Housed in 'ai_layer/predictix/', running custom models to classify threats, analyze zero-day risks, watermarks models, and evaluate forensic evidence.</w:t>
      </w:r>
    </w:p>
    <w:p>
      <w:pPr>
        <w:pStyle w:val="ListBullet"/>
      </w:pPr>
      <w:r>
        <w:rPr>
          <w:rFonts w:ascii="Calibri" w:hAnsi="Calibri"/>
          <w:b/>
          <w:i w:val="0"/>
          <w:color w:val="2C3E50"/>
          <w:sz w:val="22"/>
        </w:rPr>
        <w:t xml:space="preserve">Infrastructure: </w:t>
      </w:r>
      <w:r>
        <w:rPr>
          <w:rFonts w:ascii="Calibri" w:hAnsi="Calibri"/>
          <w:b w:val="0"/>
          <w:i w:val="0"/>
          <w:sz w:val="22"/>
        </w:rPr>
        <w:t>Fully containerized using Docker, managed via Docker Compose, and prepared for scalable orchestration through Kubernetes manifests.</w:t>
      </w:r>
    </w:p>
    <w:p>
      <w:r>
        <w:br w:type="page"/>
      </w:r>
    </w:p>
    <w:p>
      <w:pPr>
        <w:spacing w:after="240"/>
      </w:pPr>
      <w:r>
        <w:rPr>
          <w:rFonts w:ascii="Georgia" w:hAnsi="Georgia"/>
          <w:b/>
          <w:i w:val="0"/>
          <w:color w:val="1A5276"/>
          <w:sz w:val="36"/>
        </w:rPr>
        <w:t>3. Core Security Modules &amp; API Specifications</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rPr>
                <w:rFonts w:ascii="Calibri" w:hAnsi="Calibri"/>
                <w:b/>
                <w:i w:val="0"/>
                <w:color w:val="FFFFFF"/>
                <w:sz w:val="22"/>
              </w:rPr>
              <w:t>Module Name</w:t>
            </w:r>
          </w:p>
        </w:tc>
        <w:tc>
          <w:tcPr>
            <w:tcW w:type="dxa" w:w="3120"/>
          </w:tcPr>
          <w:p>
            <w:r>
              <w:rPr>
                <w:rFonts w:ascii="Calibri" w:hAnsi="Calibri"/>
                <w:b/>
                <w:i w:val="0"/>
                <w:color w:val="FFFFFF"/>
                <w:sz w:val="22"/>
              </w:rPr>
              <w:t>Primary Functionality</w:t>
            </w:r>
          </w:p>
        </w:tc>
        <w:tc>
          <w:tcPr>
            <w:tcW w:type="dxa" w:w="3120"/>
          </w:tcPr>
          <w:p>
            <w:r>
              <w:rPr>
                <w:rFonts w:ascii="Calibri" w:hAnsi="Calibri"/>
                <w:b/>
                <w:i w:val="0"/>
                <w:color w:val="FFFFFF"/>
                <w:sz w:val="22"/>
              </w:rPr>
              <w:t>REST API Endpoint</w:t>
            </w:r>
          </w:p>
        </w:tc>
      </w:tr>
      <w:tr>
        <w:tc>
          <w:tcPr>
            <w:tcW w:type="dxa" w:w="3120"/>
          </w:tcPr>
          <w:p>
            <w:r>
              <w:rPr>
                <w:rFonts w:ascii="Calibri" w:hAnsi="Calibri"/>
                <w:b w:val="0"/>
                <w:i w:val="0"/>
                <w:sz w:val="20"/>
              </w:rPr>
              <w:t>InsureGuard</w:t>
            </w:r>
          </w:p>
        </w:tc>
        <w:tc>
          <w:tcPr>
            <w:tcW w:type="dxa" w:w="3120"/>
          </w:tcPr>
          <w:p>
            <w:r>
              <w:rPr>
                <w:rFonts w:ascii="Calibri" w:hAnsi="Calibri"/>
                <w:b w:val="0"/>
                <w:i w:val="0"/>
                <w:sz w:val="20"/>
              </w:rPr>
              <w:t>Cyber risk insurance and premium forecasting</w:t>
            </w:r>
          </w:p>
        </w:tc>
        <w:tc>
          <w:tcPr>
            <w:tcW w:type="dxa" w:w="3120"/>
          </w:tcPr>
          <w:p>
            <w:r>
              <w:rPr>
                <w:rFonts w:ascii="Calibri" w:hAnsi="Calibri"/>
                <w:b w:val="0"/>
                <w:i w:val="0"/>
                <w:sz w:val="20"/>
              </w:rPr>
              <w:t>/api/insureguard/policy</w:t>
            </w:r>
          </w:p>
        </w:tc>
      </w:tr>
      <w:tr>
        <w:tc>
          <w:tcPr>
            <w:tcW w:type="dxa" w:w="3120"/>
          </w:tcPr>
          <w:p>
            <w:r>
              <w:rPr>
                <w:rFonts w:ascii="Calibri" w:hAnsi="Calibri"/>
                <w:b w:val="0"/>
                <w:i w:val="0"/>
                <w:sz w:val="20"/>
              </w:rPr>
              <w:t>ModelDefender</w:t>
            </w:r>
          </w:p>
        </w:tc>
        <w:tc>
          <w:tcPr>
            <w:tcW w:type="dxa" w:w="3120"/>
          </w:tcPr>
          <w:p>
            <w:r>
              <w:rPr>
                <w:rFonts w:ascii="Calibri" w:hAnsi="Calibri"/>
                <w:b w:val="0"/>
                <w:i w:val="0"/>
                <w:sz w:val="20"/>
              </w:rPr>
              <w:t>Model watermark embedding and IP protection</w:t>
            </w:r>
          </w:p>
        </w:tc>
        <w:tc>
          <w:tcPr>
            <w:tcW w:type="dxa" w:w="3120"/>
          </w:tcPr>
          <w:p>
            <w:r>
              <w:rPr>
                <w:rFonts w:ascii="Calibri" w:hAnsi="Calibri"/>
                <w:b w:val="0"/>
                <w:i w:val="0"/>
                <w:sz w:val="20"/>
              </w:rPr>
              <w:t>/api/modeldefender/watermark</w:t>
            </w:r>
          </w:p>
        </w:tc>
      </w:tr>
      <w:tr>
        <w:tc>
          <w:tcPr>
            <w:tcW w:type="dxa" w:w="3120"/>
          </w:tcPr>
          <w:p>
            <w:r>
              <w:rPr>
                <w:rFonts w:ascii="Calibri" w:hAnsi="Calibri"/>
                <w:b w:val="0"/>
                <w:i w:val="0"/>
                <w:sz w:val="20"/>
              </w:rPr>
              <w:t>FirmwareGuard</w:t>
            </w:r>
          </w:p>
        </w:tc>
        <w:tc>
          <w:tcPr>
            <w:tcW w:type="dxa" w:w="3120"/>
          </w:tcPr>
          <w:p>
            <w:r>
              <w:rPr>
                <w:rFonts w:ascii="Calibri" w:hAnsi="Calibri"/>
                <w:b w:val="0"/>
                <w:i w:val="0"/>
                <w:sz w:val="20"/>
              </w:rPr>
              <w:t>IoT/SCADA firmware integrity verification</w:t>
            </w:r>
          </w:p>
        </w:tc>
        <w:tc>
          <w:tcPr>
            <w:tcW w:type="dxa" w:w="3120"/>
          </w:tcPr>
          <w:p>
            <w:r>
              <w:rPr>
                <w:rFonts w:ascii="Calibri" w:hAnsi="Calibri"/>
                <w:b w:val="0"/>
                <w:i w:val="0"/>
                <w:sz w:val="20"/>
              </w:rPr>
              <w:t>/api/firmwareguard/firmware</w:t>
            </w:r>
          </w:p>
        </w:tc>
      </w:tr>
      <w:tr>
        <w:tc>
          <w:tcPr>
            <w:tcW w:type="dxa" w:w="3120"/>
          </w:tcPr>
          <w:p>
            <w:r>
              <w:rPr>
                <w:rFonts w:ascii="Calibri" w:hAnsi="Calibri"/>
                <w:b w:val="0"/>
                <w:i w:val="0"/>
                <w:sz w:val="20"/>
              </w:rPr>
              <w:t>PsyOpsForge</w:t>
            </w:r>
          </w:p>
        </w:tc>
        <w:tc>
          <w:tcPr>
            <w:tcW w:type="dxa" w:w="3120"/>
          </w:tcPr>
          <w:p>
            <w:r>
              <w:rPr>
                <w:rFonts w:ascii="Calibri" w:hAnsi="Calibri"/>
                <w:b w:val="0"/>
                <w:i w:val="0"/>
                <w:sz w:val="20"/>
              </w:rPr>
              <w:t>Misinformation detection and campaign tracking</w:t>
            </w:r>
          </w:p>
        </w:tc>
        <w:tc>
          <w:tcPr>
            <w:tcW w:type="dxa" w:w="3120"/>
          </w:tcPr>
          <w:p>
            <w:r>
              <w:rPr>
                <w:rFonts w:ascii="Calibri" w:hAnsi="Calibri"/>
                <w:b w:val="0"/>
                <w:i w:val="0"/>
                <w:sz w:val="20"/>
              </w:rPr>
              <w:t>/api/psyopsforge/campaigns</w:t>
            </w:r>
          </w:p>
        </w:tc>
      </w:tr>
      <w:tr>
        <w:tc>
          <w:tcPr>
            <w:tcW w:type="dxa" w:w="3120"/>
          </w:tcPr>
          <w:p>
            <w:r>
              <w:rPr>
                <w:rFonts w:ascii="Calibri" w:hAnsi="Calibri"/>
                <w:b w:val="0"/>
                <w:i w:val="0"/>
                <w:sz w:val="20"/>
              </w:rPr>
              <w:t>ZeroDayForge</w:t>
            </w:r>
          </w:p>
        </w:tc>
        <w:tc>
          <w:tcPr>
            <w:tcW w:type="dxa" w:w="3120"/>
          </w:tcPr>
          <w:p>
            <w:r>
              <w:rPr>
                <w:rFonts w:ascii="Calibri" w:hAnsi="Calibri"/>
                <w:b w:val="0"/>
                <w:i w:val="0"/>
                <w:sz w:val="20"/>
              </w:rPr>
              <w:t>Zero-day vulnerability likelihood prediction</w:t>
            </w:r>
          </w:p>
        </w:tc>
        <w:tc>
          <w:tcPr>
            <w:tcW w:type="dxa" w:w="3120"/>
          </w:tcPr>
          <w:p>
            <w:r>
              <w:rPr>
                <w:rFonts w:ascii="Calibri" w:hAnsi="Calibri"/>
                <w:b w:val="0"/>
                <w:i w:val="0"/>
                <w:sz w:val="20"/>
              </w:rPr>
              <w:t>/api/zerodayforge/predict</w:t>
            </w:r>
          </w:p>
        </w:tc>
      </w:tr>
      <w:tr>
        <w:tc>
          <w:tcPr>
            <w:tcW w:type="dxa" w:w="3120"/>
          </w:tcPr>
          <w:p>
            <w:r>
              <w:rPr>
                <w:rFonts w:ascii="Calibri" w:hAnsi="Calibri"/>
                <w:b w:val="0"/>
                <w:i w:val="0"/>
                <w:sz w:val="20"/>
              </w:rPr>
              <w:t>DeFiGuard</w:t>
            </w:r>
          </w:p>
        </w:tc>
        <w:tc>
          <w:tcPr>
            <w:tcW w:type="dxa" w:w="3120"/>
          </w:tcPr>
          <w:p>
            <w:r>
              <w:rPr>
                <w:rFonts w:ascii="Calibri" w:hAnsi="Calibri"/>
                <w:b w:val="0"/>
                <w:i w:val="0"/>
                <w:sz w:val="20"/>
              </w:rPr>
              <w:t>Cryptocurrency transaction and proxy sanitization</w:t>
            </w:r>
          </w:p>
        </w:tc>
        <w:tc>
          <w:tcPr>
            <w:tcW w:type="dxa" w:w="3120"/>
          </w:tcPr>
          <w:p>
            <w:r>
              <w:rPr>
                <w:rFonts w:ascii="Calibri" w:hAnsi="Calibri"/>
                <w:b w:val="0"/>
                <w:i w:val="0"/>
                <w:sz w:val="20"/>
              </w:rPr>
              <w:t>/api/defiguard/analyze</w:t>
            </w:r>
          </w:p>
        </w:tc>
      </w:tr>
      <w:tr>
        <w:tc>
          <w:tcPr>
            <w:tcW w:type="dxa" w:w="3120"/>
          </w:tcPr>
          <w:p>
            <w:r>
              <w:rPr>
                <w:rFonts w:ascii="Calibri" w:hAnsi="Calibri"/>
                <w:b w:val="0"/>
                <w:i w:val="0"/>
                <w:sz w:val="20"/>
              </w:rPr>
              <w:t>LegacyShield</w:t>
            </w:r>
          </w:p>
        </w:tc>
        <w:tc>
          <w:tcPr>
            <w:tcW w:type="dxa" w:w="3120"/>
          </w:tcPr>
          <w:p>
            <w:r>
              <w:rPr>
                <w:rFonts w:ascii="Calibri" w:hAnsi="Calibri"/>
                <w:b w:val="0"/>
                <w:i w:val="0"/>
                <w:sz w:val="20"/>
              </w:rPr>
              <w:t>SCADA legacy protocol validation (Modbus/TCP)</w:t>
            </w:r>
          </w:p>
        </w:tc>
        <w:tc>
          <w:tcPr>
            <w:tcW w:type="dxa" w:w="3120"/>
          </w:tcPr>
          <w:p>
            <w:r>
              <w:rPr>
                <w:rFonts w:ascii="Calibri" w:hAnsi="Calibri"/>
                <w:b w:val="0"/>
                <w:i w:val="0"/>
                <w:sz w:val="20"/>
              </w:rPr>
              <w:t>/api/legacyshield/investigate</w:t>
            </w:r>
          </w:p>
        </w:tc>
      </w:tr>
    </w:tbl>
    <w:p>
      <w:r>
        <w:br w:type="page"/>
      </w:r>
    </w:p>
    <w:p>
      <w:pPr>
        <w:spacing w:after="240"/>
      </w:pPr>
      <w:r>
        <w:rPr>
          <w:rFonts w:ascii="Georgia" w:hAnsi="Georgia"/>
          <w:b/>
          <w:i w:val="0"/>
          <w:color w:val="1A5276"/>
          <w:sz w:val="36"/>
        </w:rPr>
        <w:t>4. Artificial Intelligence &amp; Analytics Layer</w:t>
      </w:r>
    </w:p>
    <w:p>
      <w:r>
        <w:rPr>
          <w:rFonts w:ascii="Calibri" w:hAnsi="Calibri"/>
          <w:b w:val="0"/>
          <w:i w:val="0"/>
          <w:sz w:val="22"/>
        </w:rPr>
        <w:t>A central intelligence engine runs in the background to supply real-time defensive feedback:</w:t>
        <w:br/>
        <w:br/>
        <w:t>- Deepfake Classifier: Employs media classification pipelines to audit audio/video files (e.g. Speaker verification via VoiceGuard).</w:t>
        <w:br/>
        <w:t>- Cyber-Psychology Analysis: Evaluates communication logs for urgency markers, manipulation attempts, and adversary patterns.</w:t>
        <w:br/>
        <w:t>- Anomaly Detection Master: Inspects hardware telemetry logs (CPU, network throughput) to tag anomalies against baseline thresholds.</w:t>
      </w:r>
    </w:p>
    <w:p>
      <w:r>
        <w:br w:type="page"/>
      </w:r>
    </w:p>
    <w:p>
      <w:pPr>
        <w:spacing w:after="240"/>
      </w:pPr>
      <w:r>
        <w:rPr>
          <w:rFonts w:ascii="Georgia" w:hAnsi="Georgia"/>
          <w:b/>
          <w:i w:val="0"/>
          <w:color w:val="1A5276"/>
          <w:sz w:val="36"/>
        </w:rPr>
        <w:t>5. Deployment &amp; Orchestration Guide</w:t>
      </w:r>
    </w:p>
    <w:p>
      <w:r>
        <w:rPr>
          <w:rFonts w:ascii="Courier New" w:hAnsi="Courier New"/>
          <w:b w:val="0"/>
          <w:i w:val="0"/>
          <w:color w:val="2C3E50"/>
          <w:sz w:val="20"/>
        </w:rPr>
        <w:t>To quickly boot and scale the application infrastructure, use containerization scripts:</w:t>
        <w:br/>
        <w:br/>
        <w:t>1. Docker Compose (Local Multi-container)</w:t>
        <w:br/>
        <w:t xml:space="preserve">   $ docker-compose up --build</w:t>
        <w:br/>
        <w:br/>
        <w:t>2. Kubernetes Production Orchestration</w:t>
        <w:br/>
        <w:t xml:space="preserve">   $ kubectl apply -f k8s/deployment.yaml</w:t>
        <w:br/>
        <w:t xml:space="preserve">   $ kubectl apply -f k8s/service.yaml</w:t>
        <w:br/>
        <w:t xml:space="preserve">   $ kubectl apply -f k8s/ingress.yaml</w:t>
      </w:r>
    </w:p>
    <w:p>
      <w:r>
        <w:br w:type="page"/>
      </w:r>
    </w:p>
    <w:p>
      <w:pPr>
        <w:spacing w:after="240"/>
      </w:pPr>
      <w:r>
        <w:rPr>
          <w:rFonts w:ascii="Georgia" w:hAnsi="Georgia"/>
          <w:b/>
          <w:i w:val="0"/>
          <w:color w:val="1A5276"/>
          <w:sz w:val="36"/>
        </w:rPr>
        <w:t>6. Verification &amp; Test Metrics</w:t>
      </w:r>
    </w:p>
    <w:p>
      <w:r>
        <w:rPr>
          <w:rFonts w:ascii="Calibri" w:hAnsi="Calibri"/>
          <w:b w:val="0"/>
          <w:i w:val="0"/>
          <w:sz w:val="22"/>
        </w:rPr>
        <w:t>The application integrates a comprehensive suite of unit and integration tests (test_backend.py) covering:</w:t>
        <w:br/>
        <w:t>- Authentication pipelines (Access Tokens, Role audits)</w:t>
        <w:br/>
        <w:t>- Policy management, Claims audits, and Premium recommendations</w:t>
        <w:br/>
        <w:t>- Core modules APIs (ModelDefender, DeFiGuard, Behavix, VoiceGuard, etc.)</w:t>
        <w:br/>
        <w:t>Test runs are executed with python's standard unittest library and FastAPI test clients.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