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Inventory Management Procedures</w:t>
      </w:r>
    </w:p>
    <w:p>
      <w:pPr>
        <w:pStyle w:val="Heading1"/>
      </w:pPr>
      <w:r>
        <w:t>Cycle Counts</w:t>
      </w:r>
    </w:p>
    <w:p>
      <w:r>
        <w:t>Each department completes cycle counts weekly, and full physical inventory happens twice a year in January and July.</w:t>
      </w:r>
    </w:p>
    <w:p>
      <w:pPr>
        <w:pStyle w:val="Heading1"/>
      </w:pPr>
      <w:r>
        <w:t>Shrink</w:t>
      </w:r>
    </w:p>
    <w:p>
      <w:r>
        <w:t>Shrink above 2.5 percent of sales in any department triggers a loss prevention review.</w:t>
      </w:r>
    </w:p>
    <w:p>
      <w:pPr>
        <w:pStyle w:val="Heading1"/>
      </w:pPr>
      <w:r>
        <w:t>Replenishment</w:t>
      </w:r>
    </w:p>
    <w:p>
      <w:r>
        <w:t>Automated replenishment orders are generated nightly when on-hand units fall below the reorder point.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