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Return and Refund Policy</w:t>
      </w:r>
    </w:p>
    <w:p>
      <w:pPr>
        <w:pStyle w:val="Heading1"/>
      </w:pPr>
      <w:r>
        <w:t>General Returns</w:t>
      </w:r>
    </w:p>
    <w:p>
      <w:r>
        <w:t>Most unopened non-perishable items can be returned within 30 days with a receipt. Without a receipt, customers receive store credit at the lowest selling price in the past 60 days.</w:t>
      </w:r>
    </w:p>
    <w:p>
      <w:pPr>
        <w:pStyle w:val="Heading1"/>
      </w:pPr>
      <w:r>
        <w:t>Perishables</w:t>
      </w:r>
    </w:p>
    <w:p>
      <w:r>
        <w:t>Perishable items such as produce, dairy and bakery can be returned within 7 days if the customer is dissatisfied with quality.</w:t>
      </w:r>
    </w:p>
    <w:p>
      <w:pPr>
        <w:pStyle w:val="Heading1"/>
      </w:pPr>
      <w:r>
        <w:t>Exclusions</w:t>
      </w:r>
    </w:p>
    <w:p>
      <w:r>
        <w:t>Alcohol, tobacco, gift cards, prescription medications and lottery tickets cannot be returned.</w:t>
      </w:r>
    </w:p>
    <w:p>
      <w:pPr>
        <w:pStyle w:val="Heading1"/>
      </w:pPr>
      <w:r>
        <w:t>Manager Override</w:t>
      </w:r>
    </w:p>
    <w:p>
      <w:r>
        <w:t>A store manager may approve returns up to $150 outside the policy window. Returns above $150 outside policy require district manager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