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and Expense Policy</w:t>
      </w:r>
    </w:p>
    <w:p>
      <w:pPr>
        <w:pStyle w:val="Heading1"/>
      </w:pPr>
      <w:r>
        <w:t>Meals</w:t>
      </w:r>
    </w:p>
    <w:p>
      <w:r>
        <w:t>The daily meal allowance for business travel is $65. Alcohol is not reimbursable.</w:t>
      </w:r>
    </w:p>
    <w:p>
      <w:pPr>
        <w:pStyle w:val="Heading1"/>
      </w:pPr>
      <w:r>
        <w:t>Mileage</w:t>
      </w:r>
    </w:p>
    <w:p>
      <w:r>
        <w:t>Personal vehicle use is reimbursed at the IRS standard mileage rate.</w:t>
      </w:r>
    </w:p>
    <w:p>
      <w:pPr>
        <w:pStyle w:val="Heading1"/>
      </w:pPr>
      <w:r>
        <w:t>Submission</w:t>
      </w:r>
    </w:p>
    <w:p>
      <w:r>
        <w:t>Expense reports must be submitted within 30 days of the trip with itemized receipts for any expense over $25.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