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4C81"/>
          <w:sz w:val="44"/>
        </w:rPr>
        <w:t>NITISH MISHRA</w:t>
      </w:r>
    </w:p>
    <w:p>
      <w:pPr>
        <w:spacing w:after="80"/>
        <w:jc w:val="center"/>
      </w:pPr>
      <w:r>
        <w:rPr>
          <w:b/>
          <w:color w:val="555555"/>
          <w:sz w:val="22"/>
        </w:rPr>
        <w:t>SENIOR TENDER &amp; BID MANAGEMENT PROFESSIONAL</w:t>
      </w:r>
    </w:p>
    <w:p>
      <w:pPr>
        <w:spacing w:after="120"/>
        <w:jc w:val="center"/>
      </w:pPr>
      <w:r>
        <w:rPr>
          <w:i/>
          <w:sz w:val="20"/>
        </w:rPr>
        <w:t>Government E-Procurement | GeM &amp; Custom Bids | Security, Manpower &amp; Facility Services</w:t>
      </w:r>
    </w:p>
    <w:p>
      <w:pPr>
        <w:spacing w:after="240"/>
        <w:jc w:val="center"/>
      </w:pPr>
      <w:r>
        <w:rPr>
          <w:color w:val="555555"/>
          <w:sz w:val="19"/>
        </w:rPr>
        <w:t>Kanpur, Uttar Pradesh, India | +91 9956774436 | kmnitish@gmail.com</w:t>
        <w:br/>
        <w:t>LinkedIn: linkedin.com/in/nitishmishra-tenderexpert</w:t>
      </w:r>
    </w:p>
    <w:p>
      <w:pPr>
        <w:keepNext/>
        <w:spacing w:before="240" w:after="80"/>
        <w:pBdr>
          <w:bottom w:val="single" w:sz="12" w:space="4" w:color="0F4C81"/>
        </w:pBdr>
      </w:pPr>
      <w:r>
        <w:rPr>
          <w:b/>
          <w:color w:val="0F4C81"/>
          <w:sz w:val="24"/>
        </w:rPr>
        <w:t>PROFESSIONAL SUMMARY</w:t>
      </w:r>
    </w:p>
    <w:p>
      <w:r>
        <w:t>Senior Tender &amp; Bid Management Professional with 20+ years of hands-on experience spanning departmental tender administration, government e-procurement and institutional service contracts. Handled approximately 300 competitive tenders and contributed to securing a single institutional tender valued at ₹50 crore (FY 2021–22)—the largest individual tender of my career. Independently manage the end-to-end bid lifecycle, including eligibility review, technical and financial bid preparation, GeM Custom Bids, Reverse Auctions and multi-portal submissions. Strong practical focus on tender compliance and statutory costing based on Central/State Minimum Wage revisions, EPF, ESIC and Bonus requirements across Security Services, Outsourced Manpower and Housekeeping.</w:t>
      </w:r>
    </w:p>
    <w:p>
      <w:pPr>
        <w:keepNext/>
        <w:spacing w:before="240" w:after="80"/>
        <w:pBdr>
          <w:bottom w:val="single" w:sz="12" w:space="4" w:color="0F4C81"/>
        </w:pBdr>
      </w:pPr>
      <w:r>
        <w:rPr>
          <w:b/>
          <w:color w:val="0F4C81"/>
          <w:sz w:val="24"/>
        </w:rPr>
        <w:t>KEY ACHIEVEMENTS</w:t>
      </w:r>
    </w:p>
    <w:p>
      <w:pPr>
        <w:pStyle w:val="ListBullet"/>
        <w:spacing w:after="60"/>
      </w:pPr>
      <w:r>
        <w:rPr>
          <w:b/>
        </w:rPr>
        <w:t>Largest Secured Tender (FY 2021–22): Handled end-to-end bid documentation, statutory costing and submission for a ₹50 crore institutional tender that was successfully secured—the largest individual tender of my career.</w:t>
      </w:r>
      <w:r/>
    </w:p>
    <w:p>
      <w:pPr>
        <w:pStyle w:val="ListBullet"/>
        <w:spacing w:after="60"/>
      </w:pPr>
      <w:r>
        <w:rPr>
          <w:b/>
        </w:rPr>
        <w:t>Extensive Tender Portfolio: Handled approximately 300 competitive tenders across government, PSU, banking and institutional procurement, including security, outsourced manpower and housekeeping services.</w:t>
      </w:r>
      <w:r/>
    </w:p>
    <w:p>
      <w:pPr>
        <w:pStyle w:val="ListBullet"/>
        <w:spacing w:after="60"/>
      </w:pPr>
      <w:r>
        <w:rPr>
          <w:b/>
        </w:rPr>
        <w:t>Compliance-Focused Bid Preparation: Apply detailed eligibility, documentation, GeM ATC and statutory-costing checks before submission to reduce technical and commercial bid risks.</w:t>
      </w:r>
      <w:r/>
    </w:p>
    <w:p>
      <w:pPr>
        <w:keepNext/>
        <w:spacing w:before="240" w:after="80"/>
        <w:pBdr>
          <w:bottom w:val="single" w:sz="12" w:space="4" w:color="0F4C81"/>
        </w:pBdr>
      </w:pPr>
      <w:r>
        <w:rPr>
          <w:b/>
          <w:color w:val="0F4C81"/>
          <w:sz w:val="24"/>
        </w:rPr>
        <w:t>CORE COMPETENCIES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</w:rPr>
              <w:t>•  End-to-End Bid Lifecycle: Opportunity Screening, RFP/RFQ Analysis, Eligibility Review, Technical &amp; Financial Bids, Online Submission</w:t>
            </w:r>
            <w:r/>
          </w:p>
        </w:tc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</w:rPr>
              <w:t>•  GeM &amp; E-Procurement: GeM Services, Custom Bids, ATC &amp; SLA Review, Reverse Auctions, Government/PSU/Banking Portals</w:t>
            </w:r>
            <w:r/>
          </w:p>
        </w:tc>
      </w:tr>
      <w:t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</w:rPr>
              <w:t>•  Statutory Tender Costing: Central/State Minimum Wages, EPF, ESIC, Bonus, BOQs &amp; Financial Estimates</w:t>
            </w:r>
            <w:r/>
          </w:p>
        </w:tc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</w:rPr>
              <w:t>•  Tender Compliance: Documentation Checks, Applicable Licensing Requirements, Labour-Law-Related Costing</w:t>
            </w:r>
            <w:r/>
          </w:p>
        </w:tc>
      </w:tr>
      <w:t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</w:rPr>
              <w:t>•  Bid Risk Review: Tender Conditions, Eligibility, Clarifications &amp; Pre-Submission Checks</w:t>
            </w:r>
            <w:r/>
          </w:p>
        </w:tc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</w:rPr>
              <w:t>•  Client &amp; Contract Coordination: Proposals, Quotations, Client Correspondence, Post-Bid Follow-Up &amp; MIS</w:t>
            </w:r>
            <w:r/>
          </w:p>
        </w:tc>
      </w:tr>
    </w:tbl>
    <w:p>
      <w:pPr>
        <w:keepNext/>
        <w:spacing w:before="240" w:after="80"/>
        <w:pageBreakBefore/>
        <w:pBdr>
          <w:bottom w:val="single" w:sz="12" w:space="4" w:color="0F4C81"/>
        </w:pBdr>
      </w:pPr>
      <w:r>
        <w:rPr>
          <w:b/>
          <w:color w:val="0F4C81"/>
          <w:sz w:val="24"/>
        </w:rPr>
        <w:t>PROFESSIONAL EXPERIENCE</w:t>
      </w:r>
    </w:p>
    <w:p>
      <w:pPr>
        <w:keepNext/>
        <w:spacing w:before="80" w:after="40"/>
      </w:pPr>
      <w:r>
        <w:rPr>
          <w:b/>
        </w:rPr>
        <w:t>VANYA SECURITY SERVICES PVT. LTD.</w:t>
      </w:r>
      <w:r>
        <w:t xml:space="preserve">  — Kanpur, Uttar Pradesh</w:t>
        <w:br/>
      </w:r>
      <w:r>
        <w:rPr>
          <w:i/>
          <w:color w:val="555555"/>
        </w:rPr>
        <w:t>Senior Tender Executive</w:t>
      </w:r>
    </w:p>
    <w:p>
      <w:pPr>
        <w:spacing w:after="80"/>
      </w:pPr>
      <w:r>
        <w:rPr>
          <w:b/>
          <w:sz w:val="19"/>
        </w:rPr>
        <w:t>February 2015 – Present</w:t>
      </w:r>
    </w:p>
    <w:p>
      <w:pPr>
        <w:pStyle w:val="ListBullet"/>
        <w:spacing w:after="60"/>
      </w:pPr>
      <w:r>
        <w:rPr>
          <w:b/>
        </w:rPr>
        <w:t>End-to-End Bid Management: Independently manage the organization's dedicated tendering function, handling opportunity screening, technical and financial bid preparation and submission across approximately 300 tenders; contributed to securing a ₹50 crore institutional tender (FY 2021–22).</w:t>
      </w:r>
      <w:r/>
    </w:p>
    <w:p>
      <w:pPr>
        <w:pStyle w:val="ListBullet"/>
        <w:spacing w:after="60"/>
      </w:pPr>
      <w:r>
        <w:rPr>
          <w:b/>
        </w:rPr>
        <w:t>Tender Evaluation &amp; Pre-Qualification: Analyze RFP/RFQ and NIT requirements, eligibility conditions, buyer specifications, supporting documentation and commercial feasibility; coordinate approvals and financial decisions with Finance and senior management.</w:t>
      </w:r>
      <w:r/>
    </w:p>
    <w:p>
      <w:pPr>
        <w:pStyle w:val="ListBullet"/>
        <w:spacing w:after="60"/>
      </w:pPr>
      <w:r>
        <w:rPr>
          <w:b/>
        </w:rPr>
        <w:t>Bid Compliance &amp; Risk Review: Evaluate GeM Additional Terms &amp; Conditions (ATC), service-level requirements and applicable tender-specific statutory and licensing conditions; perform pre-submission checks to minimize rejection risk.</w:t>
      </w:r>
      <w:r/>
    </w:p>
    <w:p>
      <w:pPr>
        <w:pStyle w:val="ListBullet"/>
        <w:spacing w:after="60"/>
      </w:pPr>
      <w:r>
        <w:rPr>
          <w:b/>
        </w:rPr>
        <w:t>GeM &amp; Multi-Portal E-Procurement: Manage GeM Services and Custom Bids, bid clarifications and Reverse Auctions, alongside government, PSU, banking and state/departmental procurement portals.</w:t>
      </w:r>
      <w:r/>
    </w:p>
    <w:p>
      <w:pPr>
        <w:pStyle w:val="ListBullet"/>
        <w:spacing w:after="60"/>
      </w:pPr>
      <w:r>
        <w:rPr>
          <w:b/>
        </w:rPr>
        <w:t>Financial Bid Preparation: Develop BOQs and dynamic tender estimates using applicable Central/State Minimum Wage revisions and statutory components, including EPF, ESIC and Bonus; coordinate service charges and commercial approvals with Finance and senior management.</w:t>
      </w:r>
      <w:r/>
    </w:p>
    <w:p>
      <w:pPr>
        <w:pStyle w:val="ListBullet"/>
        <w:spacing w:after="60"/>
      </w:pPr>
      <w:r>
        <w:rPr>
          <w:b/>
        </w:rPr>
        <w:t>Electronic Bid Operations: Handle portal registration, digital-signature requirements, bid encryption, Java-dependent portal environments and multi-portal configuration for timely online submissions.</w:t>
      </w:r>
      <w:r/>
    </w:p>
    <w:p>
      <w:pPr>
        <w:pStyle w:val="ListBullet"/>
        <w:spacing w:after="60"/>
      </w:pPr>
      <w:r>
        <w:rPr>
          <w:b/>
        </w:rPr>
        <w:t>Client &amp; Post-Bid Coordination: Draft proposals, quotations, clarifications and formal correspondence; address client queries and coordinate on statutory wage revisions, service-level requirements and post-bid matters.</w:t>
      </w:r>
      <w:r/>
    </w:p>
    <w:p>
      <w:pPr>
        <w:keepNext/>
        <w:spacing w:before="160" w:after="40"/>
      </w:pPr>
      <w:r>
        <w:rPr>
          <w:b/>
        </w:rPr>
        <w:t>BSNL CIVIL DIVISION  — Kanpur, Uttar Pradesh</w:t>
        <w:br/>
        <w:t>Tendering &amp; Contract Administration Support (Contractual)</w:t>
      </w:r>
      <w:r/>
      <w:r>
        <w:rPr>
          <w:i/>
          <w:color w:val="555555"/>
        </w:rPr>
      </w:r>
    </w:p>
    <w:p>
      <w:pPr>
        <w:spacing w:after="80"/>
      </w:pPr>
      <w:r>
        <w:rPr>
          <w:b/>
          <w:sz w:val="19"/>
        </w:rPr>
        <w:t>September 2008 – January 2015</w:t>
      </w:r>
    </w:p>
    <w:p>
      <w:pPr>
        <w:pStyle w:val="ListBullet"/>
        <w:spacing w:after="60"/>
      </w:pPr>
      <w:r>
        <w:t>Supported departmental-side tender preparation, administration and procurement documentation for BSNL Civil Division.</w:t>
      </w:r>
    </w:p>
    <w:p>
      <w:pPr>
        <w:pStyle w:val="ListBullet"/>
        <w:spacing w:after="60"/>
      </w:pPr>
      <w:r>
        <w:t>Prepared detailed tender estimates, Bill of Quantities (BOQs), Notice Inviting Tenders (NITs), and complete documentation for publishing through the BSNL web portal.</w:t>
      </w:r>
    </w:p>
    <w:p>
      <w:pPr>
        <w:pStyle w:val="ListBullet"/>
        <w:spacing w:after="60"/>
      </w:pPr>
      <w:r>
        <w:t>Supported web publication of tender documents and administration of the then-applicable manual bid-submission process for empanelled contractors.</w:t>
      </w:r>
    </w:p>
    <w:p>
      <w:pPr>
        <w:pStyle w:val="ListBullet"/>
        <w:spacing w:after="60"/>
      </w:pPr>
      <w:r>
        <w:t>Prepared Comparative Statements, drafted Award Letters and supported post-tender documentation and official correspondence.</w:t>
      </w:r>
    </w:p>
    <w:p>
      <w:pPr>
        <w:keepNext/>
        <w:spacing w:before="120" w:after="40"/>
      </w:pPr>
      <w:r>
        <w:rPr>
          <w:b/>
        </w:rPr>
        <w:t>CHUKNOO SECURITIES</w:t>
      </w:r>
      <w:r>
        <w:t xml:space="preserve">  — Kanpur, Uttar Pradesh</w:t>
        <w:br/>
      </w:r>
      <w:r>
        <w:rPr>
          <w:i/>
          <w:color w:val="555555"/>
        </w:rPr>
        <w:t>Back Office Assistant</w:t>
      </w:r>
    </w:p>
    <w:p>
      <w:pPr>
        <w:spacing w:after="80"/>
      </w:pPr>
      <w:r>
        <w:rPr>
          <w:b/>
          <w:sz w:val="19"/>
        </w:rPr>
        <w:t>July 2006 – August 2008</w:t>
      </w:r>
    </w:p>
    <w:p>
      <w:pPr>
        <w:pStyle w:val="ListBullet"/>
        <w:spacing w:after="60"/>
      </w:pPr>
      <w:r>
        <w:t>Managed daily data entry operations, administrative documentation, and systematic indexing / filing activities.</w:t>
      </w:r>
    </w:p>
    <w:p>
      <w:pPr>
        <w:pStyle w:val="ListBullet"/>
        <w:spacing w:after="60"/>
      </w:pPr>
      <w:r>
        <w:t>Handled the precise preparation and timely filing of electronic Tax Deducted at Source (e-TDS) returns.</w:t>
      </w:r>
    </w:p>
    <w:p>
      <w:pPr>
        <w:keepNext/>
        <w:spacing w:before="240" w:after="80"/>
        <w:pageBreakBefore/>
        <w:pBdr>
          <w:bottom w:val="single" w:sz="12" w:space="4" w:color="0F4C81"/>
        </w:pBdr>
      </w:pPr>
      <w:r>
        <w:rPr>
          <w:b/>
          <w:color w:val="0F4C81"/>
          <w:sz w:val="24"/>
        </w:rPr>
        <w:t>SELECTED INSTITUTIONAL &amp; CLIENT EXPOSURE</w:t>
      </w:r>
    </w:p>
    <w:p>
      <w:r>
        <w:rPr>
          <w:b/>
        </w:rPr>
        <w:t>Banking &amp; Financial Institutions (Tender Exposure): State Bank of India (SBI), Union Bank of India (UBI), Bank of India (BOI), Indian Bank, Reserve Bank of India (RBI), Bank of Baroda (BOB), Canara Bank.</w:t>
        <w:br/>
        <w:t>Government &amp; PSUs: Indian Railways, BSNL and central/state government departments.</w:t>
      </w:r>
      <w:r/>
      <w:r>
        <w:rPr>
          <w:b/>
        </w:rPr>
      </w:r>
      <w:r/>
    </w:p>
    <w:p>
      <w:pPr>
        <w:keepNext/>
        <w:spacing w:before="240" w:after="80"/>
        <w:pBdr>
          <w:bottom w:val="single" w:sz="12" w:space="4" w:color="0F4C81"/>
        </w:pBdr>
      </w:pPr>
      <w:r>
        <w:rPr>
          <w:b/>
          <w:color w:val="0F4C81"/>
          <w:sz w:val="24"/>
        </w:rPr>
        <w:t>CERTIFICATIONS &amp; PROFESSIONAL DEVELOPMENT</w:t>
      </w:r>
    </w:p>
    <w:p>
      <w:pPr>
        <w:pStyle w:val="ListBullet"/>
        <w:spacing w:after="40"/>
      </w:pPr>
      <w:r>
        <w:t>GeM Gold Certification – Advanced Functionality | Government e-Marketplace (2024)</w:t>
      </w:r>
    </w:p>
    <w:p>
      <w:pPr>
        <w:pStyle w:val="ListBullet"/>
        <w:spacing w:after="40"/>
      </w:pPr>
      <w:r>
        <w:t>GeM Silver Certification – Basic Functionality | Government e-Marketplace (2023)</w:t>
      </w:r>
    </w:p>
    <w:p>
      <w:pPr>
        <w:pStyle w:val="ListBullet"/>
        <w:spacing w:after="40"/>
      </w:pPr>
      <w:r>
        <w:t>Certificate Program in Public Procurement | The World Bank / Public Procurement Programme (2025)</w:t>
      </w:r>
    </w:p>
    <w:p>
      <w:pPr>
        <w:pStyle w:val="ListBullet"/>
        <w:spacing w:after="40"/>
      </w:pPr>
      <w:r>
        <w:t>Certificate in Procurement &amp; Contract Management (CPCM) | 2026</w:t>
      </w:r>
    </w:p>
    <w:p>
      <w:pPr>
        <w:pStyle w:val="ListBullet"/>
        <w:spacing w:after="40"/>
      </w:pPr>
      <w:r>
        <w:t>Basics of Bid Management | Alison (2026)</w:t>
      </w:r>
    </w:p>
    <w:p>
      <w:pPr>
        <w:pStyle w:val="ListBullet"/>
        <w:spacing w:after="40"/>
      </w:pPr>
      <w:r>
        <w:t>Mastering Procurement: Essential Skills &amp; Competencies | SCMDOJO Academy (2026)</w:t>
      </w:r>
    </w:p>
    <w:p>
      <w:pPr>
        <w:keepNext/>
        <w:spacing w:before="240" w:after="80"/>
        <w:pBdr>
          <w:bottom w:val="single" w:sz="12" w:space="4" w:color="0F4C81"/>
        </w:pBdr>
      </w:pPr>
      <w:r>
        <w:rPr>
          <w:b/>
          <w:color w:val="0F4C81"/>
          <w:sz w:val="24"/>
        </w:rPr>
        <w:t>EDUCATION</w:t>
      </w:r>
    </w:p>
    <w:p>
      <w:pPr>
        <w:spacing w:after="40"/>
      </w:pPr>
      <w:r>
        <w:rPr>
          <w:b/>
        </w:rPr>
        <w:t>Bachelor of Commerce (B.Com.)</w:t>
      </w:r>
      <w:r>
        <w:t xml:space="preserve"> | Chhatrapati Shahu Ji Maharaj University (CSJMU), Kanpur | 2008</w:t>
      </w:r>
    </w:p>
    <w:p>
      <w:pPr>
        <w:spacing w:after="40"/>
      </w:pPr>
      <w:r>
        <w:rPr>
          <w:b/>
        </w:rPr>
        <w:t>Post Graduate Diploma in Journalism &amp; Mass Communication (PGDJMC)</w:t>
      </w:r>
      <w:r>
        <w:t xml:space="preserve"> | Uttar Pradesh Rajarshi Tandon Open University | 2011</w:t>
      </w:r>
    </w:p>
    <w:p>
      <w:pPr>
        <w:keepNext/>
        <w:spacing w:before="240" w:after="80"/>
        <w:pBdr>
          <w:bottom w:val="single" w:sz="12" w:space="4" w:color="0F4C81"/>
        </w:pBdr>
      </w:pPr>
      <w:r>
        <w:rPr>
          <w:b/>
          <w:color w:val="0F4C81"/>
          <w:sz w:val="24"/>
        </w:rPr>
        <w:t>LANGUAGES</w:t>
      </w:r>
    </w:p>
    <w:p>
      <w:r>
        <w:t>Hindi (Native) | English (Professional Working Proficiency)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