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Lending: Portfolio Optimization</w:t>
      </w:r>
    </w:p>
    <w:p>
      <w:pPr>
        <w:pStyle w:val="Heading1"/>
      </w:pPr>
      <w:r>
        <w:t>Executive Summary</w:t>
      </w:r>
    </w:p>
    <w:p>
      <w:r>
        <w:t>Portfolio growth should be balanced with risk-adjusted profitability. Analysis identifies credit score, delinquency and acquisition channel as major risk drivers.</w:t>
      </w:r>
    </w:p>
    <w:p>
      <w:pPr>
        <w:pStyle w:val="Heading1"/>
      </w:pPr>
      <w:r>
        <w:t>Industry Context</w:t>
      </w:r>
    </w:p>
    <w:p>
      <w:r>
        <w:t>Digital lenders serve underserved borrowers through personal loans, SME finance and BNPL products.</w:t>
      </w:r>
    </w:p>
    <w:p>
      <w:pPr>
        <w:pStyle w:val="Heading1"/>
      </w:pPr>
      <w:r>
        <w:t>Methodology</w:t>
      </w:r>
    </w:p>
    <w:p>
      <w:r>
        <w:t>Synthetic dataset covering customer profile, product attributes, repayment behavior, acquisition channels and outcomes.</w:t>
      </w:r>
    </w:p>
    <w:p>
      <w:pPr>
        <w:pStyle w:val="Heading1"/>
      </w:pPr>
      <w:r>
        <w:t>Risk Segmentation</w:t>
      </w:r>
    </w:p>
    <w:p>
      <w:r>
        <w:t>Subprime borrowers show significantly higher default rates. Early delinquency is the strongest warning signal.</w:t>
      </w:r>
    </w:p>
    <w:p>
      <w:pPr>
        <w:pStyle w:val="Heading1"/>
      </w:pPr>
      <w:r>
        <w:t>Acquisition Analysis</w:t>
      </w:r>
    </w:p>
    <w:p>
      <w:r>
        <w:t>Partner-led growth delivers volume but requires tighter underwriting controls.</w:t>
      </w:r>
    </w:p>
    <w:p>
      <w:pPr>
        <w:pStyle w:val="Heading1"/>
      </w:pPr>
      <w:r>
        <w:t>Product Analysis</w:t>
      </w:r>
    </w:p>
    <w:p>
      <w:r>
        <w:t>SME and medium-tenure personal loans offer favorable risk-return trade-offs.</w:t>
      </w:r>
    </w:p>
    <w:p>
      <w:pPr>
        <w:pStyle w:val="Heading1"/>
      </w:pPr>
      <w:r>
        <w:t>Leadership KPIs</w:t>
      </w:r>
    </w:p>
    <w:p>
      <w:r>
        <w:t>Approval Rate, PAR30, NPA Rate, Expected Loss, ROA, Vintage Curves, Collection Efficiency.</w:t>
      </w:r>
    </w:p>
    <w:p>
      <w:pPr>
        <w:pStyle w:val="Heading1"/>
      </w:pPr>
      <w:r>
        <w:t>Recommendations</w:t>
      </w:r>
    </w:p>
    <w:p>
      <w:r>
        <w:t>Risk-based pricing, automated early-warning monitoring, dynamic credit limits and segmented collections.</w:t>
      </w:r>
    </w:p>
    <w:p>
      <w:pPr>
        <w:pStyle w:val="Heading1"/>
      </w:pPr>
      <w:r>
        <w:t>Projected Impact</w:t>
      </w:r>
    </w:p>
    <w:p>
      <w:r>
        <w:t>Estimated 15–20% reduction in defaults and 8–12% profitability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