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206B" w:rsidRPr="00FF6045" w:rsidRDefault="00FF6045" w:rsidP="00FF6045">
      <w:pPr>
        <w:pStyle w:val="Heading1"/>
      </w:pPr>
      <w:r w:rsidRPr="00FF6045">
        <w:t>IAQF Fixed Income</w:t>
      </w:r>
    </w:p>
    <w:p w:rsidR="00FF6045" w:rsidRDefault="00FF6045">
      <w:pPr>
        <w:rPr>
          <w:rFonts w:ascii="Cambria" w:hAnsi="Cambria"/>
          <w:b/>
        </w:rPr>
      </w:pPr>
    </w:p>
    <w:p w:rsidR="00A16CFA" w:rsidRPr="00CF3FF7" w:rsidRDefault="00A16CFA" w:rsidP="00A16CFA">
      <w:pPr>
        <w:rPr>
          <w:rFonts w:ascii="Cambria" w:hAnsi="Cambria"/>
        </w:rPr>
      </w:pPr>
      <w:r>
        <w:rPr>
          <w:rFonts w:ascii="Cambria" w:hAnsi="Cambria"/>
        </w:rPr>
        <w:t xml:space="preserve">As part of the Fixed Income asset class, Barclays Aggregate Index, </w:t>
      </w:r>
      <w:r w:rsidR="005E2128">
        <w:rPr>
          <w:rFonts w:ascii="Cambria" w:hAnsi="Cambria"/>
        </w:rPr>
        <w:t>Inflation Index 10-</w:t>
      </w:r>
      <w:r>
        <w:rPr>
          <w:rFonts w:ascii="Cambria" w:hAnsi="Cambria"/>
        </w:rPr>
        <w:t xml:space="preserve">year </w:t>
      </w:r>
      <w:r w:rsidR="005E2128">
        <w:rPr>
          <w:rFonts w:ascii="Cambria" w:hAnsi="Cambria"/>
        </w:rPr>
        <w:t>treasury</w:t>
      </w:r>
      <w:r w:rsidR="00701055">
        <w:rPr>
          <w:rFonts w:ascii="Cambria" w:hAnsi="Cambria"/>
        </w:rPr>
        <w:t xml:space="preserve"> </w:t>
      </w:r>
      <w:r>
        <w:rPr>
          <w:rFonts w:ascii="Cambria" w:hAnsi="Cambria"/>
        </w:rPr>
        <w:t>(TIPS) and 30-year government bonds were chosen as possible investment opportunities. Each of these assets have been analyzed separately below.</w:t>
      </w:r>
    </w:p>
    <w:p w:rsidR="00FF6045" w:rsidRDefault="00FF6045" w:rsidP="00FF6045">
      <w:pPr>
        <w:pStyle w:val="Heading2"/>
      </w:pPr>
      <w:r w:rsidRPr="00FF6045">
        <w:t>Historical Performance</w:t>
      </w:r>
    </w:p>
    <w:p w:rsidR="00A16CFA" w:rsidRDefault="00A16CFA" w:rsidP="00A1524A">
      <w:pPr>
        <w:pStyle w:val="Heading3"/>
      </w:pPr>
      <w:bookmarkStart w:id="0" w:name="_GoBack"/>
      <w:bookmarkEnd w:id="0"/>
    </w:p>
    <w:p w:rsidR="004470B5" w:rsidRDefault="004470B5" w:rsidP="00A1524A">
      <w:pPr>
        <w:pStyle w:val="Heading3"/>
      </w:pPr>
      <w:r>
        <w:t>Barclays Aggregate Index</w:t>
      </w:r>
    </w:p>
    <w:p w:rsidR="00CF3FF7" w:rsidRDefault="00CF3FF7">
      <w:pPr>
        <w:rPr>
          <w:rFonts w:ascii="Cambria" w:hAnsi="Cambria"/>
          <w:color w:val="000000"/>
          <w:shd w:val="clear" w:color="auto" w:fill="FFFFFF"/>
        </w:rPr>
      </w:pPr>
    </w:p>
    <w:p w:rsidR="00074F96" w:rsidRDefault="00074F96">
      <w:pPr>
        <w:rPr>
          <w:rFonts w:ascii="Cambria" w:hAnsi="Cambria"/>
          <w:color w:val="000000"/>
          <w:shd w:val="clear" w:color="auto" w:fill="FFFFFF"/>
        </w:rPr>
      </w:pPr>
      <w:r w:rsidRPr="00074F96">
        <w:rPr>
          <w:rFonts w:ascii="Cambria" w:hAnsi="Cambria"/>
          <w:color w:val="000000"/>
          <w:shd w:val="clear" w:color="auto" w:fill="FFFFFF"/>
        </w:rPr>
        <w:t>The Bloomberg Barclays Global Aggregate Index is a measure of global investment grade debt from twenty-four local currency markets. This multi-currency benchmark includes treasury, government-related, corporate and securitized fixed-rate bonds from both developed and emerging markets issuers.</w:t>
      </w:r>
    </w:p>
    <w:p w:rsidR="00074F96" w:rsidRPr="00A16CFA" w:rsidRDefault="00575C05">
      <w:pPr>
        <w:rPr>
          <w:rFonts w:ascii="Cambria" w:hAnsi="Cambria"/>
          <w:color w:val="000000"/>
          <w:shd w:val="clear" w:color="auto" w:fill="FFFFFF"/>
        </w:rPr>
      </w:pPr>
      <w:r w:rsidRPr="00A16CFA">
        <w:rPr>
          <w:rFonts w:ascii="Cambria" w:hAnsi="Cambria"/>
          <w:color w:val="000000"/>
          <w:shd w:val="clear" w:color="auto" w:fill="FFFFFF"/>
        </w:rPr>
        <w:t xml:space="preserve">The historical annualized return, standard deviation and </w:t>
      </w:r>
      <w:proofErr w:type="spellStart"/>
      <w:r w:rsidRPr="00A16CFA">
        <w:rPr>
          <w:rFonts w:ascii="Cambria" w:hAnsi="Cambria"/>
          <w:color w:val="000000"/>
          <w:shd w:val="clear" w:color="auto" w:fill="FFFFFF"/>
        </w:rPr>
        <w:t>sharpe</w:t>
      </w:r>
      <w:proofErr w:type="spellEnd"/>
      <w:r w:rsidRPr="00A16CFA">
        <w:rPr>
          <w:rFonts w:ascii="Cambria" w:hAnsi="Cambria"/>
          <w:color w:val="000000"/>
          <w:shd w:val="clear" w:color="auto" w:fill="FFFFFF"/>
        </w:rPr>
        <w:t xml:space="preserve"> ratio during past rate hike periods, recession and present data are below:</w:t>
      </w:r>
    </w:p>
    <w:tbl>
      <w:tblPr>
        <w:tblStyle w:val="TableGrid"/>
        <w:tblW w:w="0" w:type="auto"/>
        <w:tblLook w:val="04A0" w:firstRow="1" w:lastRow="0" w:firstColumn="1" w:lastColumn="0" w:noHBand="0" w:noVBand="1"/>
      </w:tblPr>
      <w:tblGrid>
        <w:gridCol w:w="1278"/>
        <w:gridCol w:w="945"/>
        <w:gridCol w:w="945"/>
        <w:gridCol w:w="823"/>
        <w:gridCol w:w="823"/>
        <w:gridCol w:w="823"/>
        <w:gridCol w:w="1228"/>
        <w:gridCol w:w="1050"/>
      </w:tblGrid>
      <w:tr w:rsidR="00A1524A" w:rsidTr="00A1524A">
        <w:tc>
          <w:tcPr>
            <w:tcW w:w="1278" w:type="dxa"/>
          </w:tcPr>
          <w:p w:rsidR="004470B5" w:rsidRDefault="004470B5">
            <w:pPr>
              <w:rPr>
                <w:rFonts w:ascii="Cambria" w:hAnsi="Cambria"/>
                <w:b/>
              </w:rPr>
            </w:pPr>
            <w:r>
              <w:rPr>
                <w:rFonts w:ascii="Cambria" w:hAnsi="Cambria"/>
                <w:b/>
              </w:rPr>
              <w:t>Data</w:t>
            </w:r>
          </w:p>
        </w:tc>
        <w:tc>
          <w:tcPr>
            <w:tcW w:w="945" w:type="dxa"/>
          </w:tcPr>
          <w:p w:rsidR="004470B5" w:rsidRDefault="004470B5">
            <w:pPr>
              <w:rPr>
                <w:rFonts w:ascii="Cambria" w:hAnsi="Cambria"/>
                <w:b/>
              </w:rPr>
            </w:pPr>
            <w:r>
              <w:rPr>
                <w:rFonts w:ascii="Cambria" w:hAnsi="Cambria"/>
                <w:b/>
              </w:rPr>
              <w:t>1983-84</w:t>
            </w:r>
          </w:p>
        </w:tc>
        <w:tc>
          <w:tcPr>
            <w:tcW w:w="945" w:type="dxa"/>
          </w:tcPr>
          <w:p w:rsidR="004470B5" w:rsidRDefault="004470B5">
            <w:pPr>
              <w:rPr>
                <w:rFonts w:ascii="Cambria" w:hAnsi="Cambria"/>
                <w:b/>
              </w:rPr>
            </w:pPr>
            <w:r>
              <w:rPr>
                <w:rFonts w:ascii="Cambria" w:hAnsi="Cambria"/>
                <w:b/>
              </w:rPr>
              <w:t>1988-89</w:t>
            </w:r>
          </w:p>
        </w:tc>
        <w:tc>
          <w:tcPr>
            <w:tcW w:w="823" w:type="dxa"/>
          </w:tcPr>
          <w:p w:rsidR="004470B5" w:rsidRDefault="004470B5">
            <w:pPr>
              <w:rPr>
                <w:rFonts w:ascii="Cambria" w:hAnsi="Cambria"/>
                <w:b/>
              </w:rPr>
            </w:pPr>
            <w:r>
              <w:rPr>
                <w:rFonts w:ascii="Cambria" w:hAnsi="Cambria"/>
                <w:b/>
              </w:rPr>
              <w:t>1994-95</w:t>
            </w:r>
          </w:p>
        </w:tc>
        <w:tc>
          <w:tcPr>
            <w:tcW w:w="823" w:type="dxa"/>
          </w:tcPr>
          <w:p w:rsidR="004470B5" w:rsidRDefault="004470B5">
            <w:pPr>
              <w:rPr>
                <w:rFonts w:ascii="Cambria" w:hAnsi="Cambria"/>
                <w:b/>
              </w:rPr>
            </w:pPr>
            <w:r>
              <w:rPr>
                <w:rFonts w:ascii="Cambria" w:hAnsi="Cambria"/>
                <w:b/>
              </w:rPr>
              <w:t>1999-2000</w:t>
            </w:r>
          </w:p>
        </w:tc>
        <w:tc>
          <w:tcPr>
            <w:tcW w:w="823" w:type="dxa"/>
          </w:tcPr>
          <w:p w:rsidR="004470B5" w:rsidRDefault="004470B5">
            <w:pPr>
              <w:rPr>
                <w:rFonts w:ascii="Cambria" w:hAnsi="Cambria"/>
                <w:b/>
              </w:rPr>
            </w:pPr>
            <w:r>
              <w:rPr>
                <w:rFonts w:ascii="Cambria" w:hAnsi="Cambria"/>
                <w:b/>
              </w:rPr>
              <w:t>2004-2006</w:t>
            </w:r>
          </w:p>
        </w:tc>
        <w:tc>
          <w:tcPr>
            <w:tcW w:w="1228" w:type="dxa"/>
          </w:tcPr>
          <w:p w:rsidR="004470B5" w:rsidRDefault="004470B5">
            <w:pPr>
              <w:rPr>
                <w:rFonts w:ascii="Cambria" w:hAnsi="Cambria"/>
                <w:b/>
              </w:rPr>
            </w:pPr>
            <w:r>
              <w:rPr>
                <w:rFonts w:ascii="Cambria" w:hAnsi="Cambria"/>
                <w:b/>
              </w:rPr>
              <w:t>Recession</w:t>
            </w:r>
          </w:p>
        </w:tc>
        <w:tc>
          <w:tcPr>
            <w:tcW w:w="1050" w:type="dxa"/>
          </w:tcPr>
          <w:p w:rsidR="004470B5" w:rsidRDefault="004470B5">
            <w:pPr>
              <w:rPr>
                <w:rFonts w:ascii="Cambria" w:hAnsi="Cambria"/>
                <w:b/>
              </w:rPr>
            </w:pPr>
            <w:r>
              <w:rPr>
                <w:rFonts w:ascii="Cambria" w:hAnsi="Cambria"/>
                <w:b/>
              </w:rPr>
              <w:t>Now</w:t>
            </w:r>
          </w:p>
        </w:tc>
      </w:tr>
      <w:tr w:rsidR="00A1524A" w:rsidTr="00A1524A">
        <w:tc>
          <w:tcPr>
            <w:tcW w:w="1278" w:type="dxa"/>
          </w:tcPr>
          <w:p w:rsidR="004470B5" w:rsidRPr="004470B5" w:rsidRDefault="004470B5">
            <w:pPr>
              <w:rPr>
                <w:rFonts w:ascii="Cambria" w:hAnsi="Cambria"/>
              </w:rPr>
            </w:pPr>
            <w:r w:rsidRPr="004470B5">
              <w:rPr>
                <w:rFonts w:ascii="Cambria" w:hAnsi="Cambria"/>
              </w:rPr>
              <w:t>Annualized Mean</w:t>
            </w:r>
          </w:p>
        </w:tc>
        <w:tc>
          <w:tcPr>
            <w:tcW w:w="945" w:type="dxa"/>
          </w:tcPr>
          <w:p w:rsidR="004470B5" w:rsidRPr="004470B5" w:rsidRDefault="004470B5">
            <w:pPr>
              <w:rPr>
                <w:rFonts w:ascii="Cambria" w:hAnsi="Cambria"/>
              </w:rPr>
            </w:pPr>
            <w:r>
              <w:rPr>
                <w:rFonts w:ascii="Cambria" w:hAnsi="Cambria"/>
              </w:rPr>
              <w:t>1.23</w:t>
            </w:r>
            <w:r w:rsidRPr="004470B5">
              <w:rPr>
                <w:rFonts w:ascii="Cambria" w:hAnsi="Cambria"/>
              </w:rPr>
              <w:t>%</w:t>
            </w:r>
          </w:p>
        </w:tc>
        <w:tc>
          <w:tcPr>
            <w:tcW w:w="945" w:type="dxa"/>
          </w:tcPr>
          <w:p w:rsidR="004470B5" w:rsidRPr="004470B5" w:rsidRDefault="004470B5">
            <w:pPr>
              <w:rPr>
                <w:rFonts w:ascii="Cambria" w:hAnsi="Cambria"/>
              </w:rPr>
            </w:pPr>
            <w:r w:rsidRPr="004470B5">
              <w:rPr>
                <w:rFonts w:ascii="Cambria" w:hAnsi="Cambria"/>
              </w:rPr>
              <w:t>0.6%</w:t>
            </w:r>
          </w:p>
        </w:tc>
        <w:tc>
          <w:tcPr>
            <w:tcW w:w="823" w:type="dxa"/>
          </w:tcPr>
          <w:p w:rsidR="004470B5" w:rsidRPr="004470B5" w:rsidRDefault="004470B5">
            <w:pPr>
              <w:rPr>
                <w:rFonts w:ascii="Cambria" w:hAnsi="Cambria"/>
              </w:rPr>
            </w:pPr>
            <w:r w:rsidRPr="004470B5">
              <w:rPr>
                <w:rFonts w:ascii="Cambria" w:hAnsi="Cambria"/>
              </w:rPr>
              <w:t>1.11%</w:t>
            </w:r>
          </w:p>
        </w:tc>
        <w:tc>
          <w:tcPr>
            <w:tcW w:w="823" w:type="dxa"/>
          </w:tcPr>
          <w:p w:rsidR="004470B5" w:rsidRPr="004470B5" w:rsidRDefault="004470B5">
            <w:pPr>
              <w:rPr>
                <w:rFonts w:ascii="Cambria" w:hAnsi="Cambria"/>
              </w:rPr>
            </w:pPr>
            <w:r w:rsidRPr="004470B5">
              <w:rPr>
                <w:rFonts w:ascii="Cambria" w:hAnsi="Cambria"/>
              </w:rPr>
              <w:t>0.49%</w:t>
            </w:r>
          </w:p>
        </w:tc>
        <w:tc>
          <w:tcPr>
            <w:tcW w:w="823" w:type="dxa"/>
          </w:tcPr>
          <w:p w:rsidR="004470B5" w:rsidRPr="004470B5" w:rsidRDefault="004470B5">
            <w:pPr>
              <w:rPr>
                <w:rFonts w:ascii="Cambria" w:hAnsi="Cambria"/>
              </w:rPr>
            </w:pPr>
            <w:r w:rsidRPr="004470B5">
              <w:rPr>
                <w:rFonts w:ascii="Cambria" w:hAnsi="Cambria"/>
              </w:rPr>
              <w:t>0.37%</w:t>
            </w:r>
          </w:p>
        </w:tc>
        <w:tc>
          <w:tcPr>
            <w:tcW w:w="1228" w:type="dxa"/>
          </w:tcPr>
          <w:p w:rsidR="004470B5" w:rsidRPr="004470B5" w:rsidRDefault="004470B5">
            <w:pPr>
              <w:rPr>
                <w:rFonts w:ascii="Cambria" w:hAnsi="Cambria"/>
              </w:rPr>
            </w:pPr>
            <w:r w:rsidRPr="004470B5">
              <w:rPr>
                <w:rFonts w:ascii="Cambria" w:hAnsi="Cambria"/>
              </w:rPr>
              <w:t>-0.44%</w:t>
            </w:r>
          </w:p>
        </w:tc>
        <w:tc>
          <w:tcPr>
            <w:tcW w:w="1050" w:type="dxa"/>
          </w:tcPr>
          <w:p w:rsidR="004470B5" w:rsidRPr="004470B5" w:rsidRDefault="004470B5">
            <w:pPr>
              <w:rPr>
                <w:rFonts w:ascii="Cambria" w:hAnsi="Cambria"/>
              </w:rPr>
            </w:pPr>
            <w:r w:rsidRPr="004470B5">
              <w:rPr>
                <w:rFonts w:ascii="Cambria" w:hAnsi="Cambria"/>
              </w:rPr>
              <w:t>-0.1%</w:t>
            </w:r>
          </w:p>
        </w:tc>
      </w:tr>
      <w:tr w:rsidR="00A1524A" w:rsidTr="00A1524A">
        <w:tc>
          <w:tcPr>
            <w:tcW w:w="1278" w:type="dxa"/>
          </w:tcPr>
          <w:p w:rsidR="004470B5" w:rsidRPr="004470B5" w:rsidRDefault="004470B5">
            <w:pPr>
              <w:rPr>
                <w:rFonts w:ascii="Cambria" w:hAnsi="Cambria"/>
              </w:rPr>
            </w:pPr>
            <w:r>
              <w:rPr>
                <w:rFonts w:ascii="Cambria" w:hAnsi="Cambria"/>
              </w:rPr>
              <w:t xml:space="preserve">Annualized </w:t>
            </w:r>
            <w:proofErr w:type="spellStart"/>
            <w:r>
              <w:rPr>
                <w:rFonts w:ascii="Cambria" w:hAnsi="Cambria"/>
              </w:rPr>
              <w:t>SDeviation</w:t>
            </w:r>
            <w:proofErr w:type="spellEnd"/>
          </w:p>
        </w:tc>
        <w:tc>
          <w:tcPr>
            <w:tcW w:w="945" w:type="dxa"/>
          </w:tcPr>
          <w:p w:rsidR="004470B5" w:rsidRPr="004470B5" w:rsidRDefault="00B95C9F">
            <w:pPr>
              <w:rPr>
                <w:rFonts w:ascii="Cambria" w:hAnsi="Cambria"/>
              </w:rPr>
            </w:pPr>
            <w:r>
              <w:rPr>
                <w:rFonts w:ascii="Cambria" w:hAnsi="Cambria"/>
              </w:rPr>
              <w:t>7.2</w:t>
            </w:r>
            <w:r w:rsidR="00CF3FF7">
              <w:rPr>
                <w:rFonts w:ascii="Cambria" w:hAnsi="Cambria"/>
              </w:rPr>
              <w:t>%</w:t>
            </w:r>
          </w:p>
        </w:tc>
        <w:tc>
          <w:tcPr>
            <w:tcW w:w="945" w:type="dxa"/>
          </w:tcPr>
          <w:p w:rsidR="004470B5" w:rsidRPr="004470B5" w:rsidRDefault="00CF3FF7">
            <w:pPr>
              <w:rPr>
                <w:rFonts w:ascii="Cambria" w:hAnsi="Cambria"/>
              </w:rPr>
            </w:pPr>
            <w:r>
              <w:rPr>
                <w:rFonts w:ascii="Cambria" w:hAnsi="Cambria"/>
              </w:rPr>
              <w:t>1.67%</w:t>
            </w:r>
          </w:p>
        </w:tc>
        <w:tc>
          <w:tcPr>
            <w:tcW w:w="823" w:type="dxa"/>
          </w:tcPr>
          <w:p w:rsidR="004470B5" w:rsidRPr="004470B5" w:rsidRDefault="00B95C9F">
            <w:pPr>
              <w:rPr>
                <w:rFonts w:ascii="Cambria" w:hAnsi="Cambria"/>
              </w:rPr>
            </w:pPr>
            <w:r>
              <w:rPr>
                <w:rFonts w:ascii="Cambria" w:hAnsi="Cambria"/>
              </w:rPr>
              <w:t>1.09%</w:t>
            </w:r>
          </w:p>
        </w:tc>
        <w:tc>
          <w:tcPr>
            <w:tcW w:w="823" w:type="dxa"/>
          </w:tcPr>
          <w:p w:rsidR="004470B5" w:rsidRPr="004470B5" w:rsidRDefault="006768AE">
            <w:pPr>
              <w:rPr>
                <w:rFonts w:ascii="Cambria" w:hAnsi="Cambria"/>
              </w:rPr>
            </w:pPr>
            <w:r>
              <w:rPr>
                <w:rFonts w:ascii="Cambria" w:hAnsi="Cambria"/>
              </w:rPr>
              <w:t>0.79%</w:t>
            </w:r>
          </w:p>
        </w:tc>
        <w:tc>
          <w:tcPr>
            <w:tcW w:w="823" w:type="dxa"/>
          </w:tcPr>
          <w:p w:rsidR="004470B5" w:rsidRPr="004470B5" w:rsidRDefault="006768AE">
            <w:pPr>
              <w:rPr>
                <w:rFonts w:ascii="Cambria" w:hAnsi="Cambria"/>
              </w:rPr>
            </w:pPr>
            <w:r>
              <w:rPr>
                <w:rFonts w:ascii="Cambria" w:hAnsi="Cambria"/>
              </w:rPr>
              <w:t>0.65%</w:t>
            </w:r>
          </w:p>
        </w:tc>
        <w:tc>
          <w:tcPr>
            <w:tcW w:w="1228" w:type="dxa"/>
          </w:tcPr>
          <w:p w:rsidR="004470B5" w:rsidRPr="004470B5" w:rsidRDefault="006768AE">
            <w:pPr>
              <w:rPr>
                <w:rFonts w:ascii="Cambria" w:hAnsi="Cambria"/>
              </w:rPr>
            </w:pPr>
            <w:r>
              <w:rPr>
                <w:rFonts w:ascii="Cambria" w:hAnsi="Cambria"/>
              </w:rPr>
              <w:t>1.17%</w:t>
            </w:r>
          </w:p>
        </w:tc>
        <w:tc>
          <w:tcPr>
            <w:tcW w:w="1050" w:type="dxa"/>
          </w:tcPr>
          <w:p w:rsidR="004470B5" w:rsidRPr="004470B5" w:rsidRDefault="00A90FBF">
            <w:pPr>
              <w:rPr>
                <w:rFonts w:ascii="Cambria" w:hAnsi="Cambria"/>
              </w:rPr>
            </w:pPr>
            <w:r>
              <w:rPr>
                <w:rFonts w:ascii="Cambria" w:hAnsi="Cambria"/>
              </w:rPr>
              <w:t>0.65%</w:t>
            </w:r>
          </w:p>
        </w:tc>
      </w:tr>
      <w:tr w:rsidR="00A1524A" w:rsidTr="00A1524A">
        <w:tc>
          <w:tcPr>
            <w:tcW w:w="1278" w:type="dxa"/>
          </w:tcPr>
          <w:p w:rsidR="004470B5" w:rsidRPr="004470B5" w:rsidRDefault="004470B5">
            <w:pPr>
              <w:rPr>
                <w:rFonts w:ascii="Cambria" w:hAnsi="Cambria"/>
              </w:rPr>
            </w:pPr>
            <w:r>
              <w:rPr>
                <w:rFonts w:ascii="Cambria" w:hAnsi="Cambria"/>
              </w:rPr>
              <w:t>Sharpe Ratio</w:t>
            </w:r>
          </w:p>
        </w:tc>
        <w:tc>
          <w:tcPr>
            <w:tcW w:w="945" w:type="dxa"/>
          </w:tcPr>
          <w:p w:rsidR="004470B5" w:rsidRPr="004470B5" w:rsidRDefault="00A1524A">
            <w:pPr>
              <w:rPr>
                <w:rFonts w:ascii="Cambria" w:hAnsi="Cambria"/>
              </w:rPr>
            </w:pPr>
            <w:r>
              <w:rPr>
                <w:rFonts w:ascii="Cambria" w:hAnsi="Cambria"/>
              </w:rPr>
              <w:t>0.</w:t>
            </w:r>
            <w:r w:rsidR="00452A37">
              <w:rPr>
                <w:rFonts w:ascii="Cambria" w:hAnsi="Cambria"/>
              </w:rPr>
              <w:t>1707</w:t>
            </w:r>
          </w:p>
        </w:tc>
        <w:tc>
          <w:tcPr>
            <w:tcW w:w="945" w:type="dxa"/>
          </w:tcPr>
          <w:p w:rsidR="004470B5" w:rsidRPr="004470B5" w:rsidRDefault="00452A37">
            <w:pPr>
              <w:rPr>
                <w:rFonts w:ascii="Cambria" w:hAnsi="Cambria"/>
              </w:rPr>
            </w:pPr>
            <w:r>
              <w:rPr>
                <w:rFonts w:ascii="Cambria" w:hAnsi="Cambria"/>
              </w:rPr>
              <w:t>0.393</w:t>
            </w:r>
          </w:p>
        </w:tc>
        <w:tc>
          <w:tcPr>
            <w:tcW w:w="823" w:type="dxa"/>
          </w:tcPr>
          <w:p w:rsidR="004470B5" w:rsidRPr="004470B5" w:rsidRDefault="00452A37">
            <w:pPr>
              <w:rPr>
                <w:rFonts w:ascii="Cambria" w:hAnsi="Cambria"/>
              </w:rPr>
            </w:pPr>
            <w:r>
              <w:rPr>
                <w:rFonts w:ascii="Cambria" w:hAnsi="Cambria"/>
              </w:rPr>
              <w:t>1.024</w:t>
            </w:r>
          </w:p>
        </w:tc>
        <w:tc>
          <w:tcPr>
            <w:tcW w:w="823" w:type="dxa"/>
          </w:tcPr>
          <w:p w:rsidR="004470B5" w:rsidRPr="004470B5" w:rsidRDefault="00452A37">
            <w:pPr>
              <w:rPr>
                <w:rFonts w:ascii="Cambria" w:hAnsi="Cambria"/>
              </w:rPr>
            </w:pPr>
            <w:r>
              <w:rPr>
                <w:rFonts w:ascii="Cambria" w:hAnsi="Cambria"/>
              </w:rPr>
              <w:t>0.617</w:t>
            </w:r>
          </w:p>
        </w:tc>
        <w:tc>
          <w:tcPr>
            <w:tcW w:w="823" w:type="dxa"/>
          </w:tcPr>
          <w:p w:rsidR="004470B5" w:rsidRPr="004470B5" w:rsidRDefault="00C661AD">
            <w:pPr>
              <w:rPr>
                <w:rFonts w:ascii="Cambria" w:hAnsi="Cambria"/>
              </w:rPr>
            </w:pPr>
            <w:r>
              <w:rPr>
                <w:rFonts w:ascii="Cambria" w:hAnsi="Cambria"/>
              </w:rPr>
              <w:t>0.579</w:t>
            </w:r>
          </w:p>
        </w:tc>
        <w:tc>
          <w:tcPr>
            <w:tcW w:w="1228" w:type="dxa"/>
          </w:tcPr>
          <w:p w:rsidR="004470B5" w:rsidRPr="004470B5" w:rsidRDefault="00C661AD">
            <w:pPr>
              <w:rPr>
                <w:rFonts w:ascii="Cambria" w:hAnsi="Cambria"/>
              </w:rPr>
            </w:pPr>
            <w:r>
              <w:rPr>
                <w:rFonts w:ascii="Cambria" w:hAnsi="Cambria"/>
              </w:rPr>
              <w:t>-0.381</w:t>
            </w:r>
          </w:p>
        </w:tc>
        <w:tc>
          <w:tcPr>
            <w:tcW w:w="1050" w:type="dxa"/>
          </w:tcPr>
          <w:p w:rsidR="004470B5" w:rsidRPr="004470B5" w:rsidRDefault="00C661AD">
            <w:pPr>
              <w:rPr>
                <w:rFonts w:ascii="Cambria" w:hAnsi="Cambria"/>
              </w:rPr>
            </w:pPr>
            <w:r>
              <w:rPr>
                <w:rFonts w:ascii="Cambria" w:hAnsi="Cambria"/>
              </w:rPr>
              <w:t>-0.254</w:t>
            </w:r>
          </w:p>
        </w:tc>
      </w:tr>
    </w:tbl>
    <w:p w:rsidR="000C6E30" w:rsidRDefault="000C6E30">
      <w:pPr>
        <w:rPr>
          <w:rFonts w:ascii="Cambria" w:hAnsi="Cambria"/>
          <w:b/>
        </w:rPr>
      </w:pPr>
    </w:p>
    <w:p w:rsidR="005901C4" w:rsidRDefault="005901C4">
      <w:pPr>
        <w:rPr>
          <w:rFonts w:ascii="Cambria" w:hAnsi="Cambria"/>
        </w:rPr>
      </w:pPr>
      <w:r w:rsidRPr="005901C4">
        <w:rPr>
          <w:rFonts w:ascii="Cambria" w:hAnsi="Cambria"/>
        </w:rPr>
        <w:t xml:space="preserve">As it </w:t>
      </w:r>
      <w:r>
        <w:rPr>
          <w:rFonts w:ascii="Cambria" w:hAnsi="Cambria"/>
        </w:rPr>
        <w:t xml:space="preserve">can be seen from the positive (and too small) </w:t>
      </w:r>
      <w:r w:rsidR="00B12473">
        <w:rPr>
          <w:rFonts w:ascii="Cambria" w:hAnsi="Cambria"/>
        </w:rPr>
        <w:t>Sharpe</w:t>
      </w:r>
      <w:r>
        <w:rPr>
          <w:rFonts w:ascii="Cambria" w:hAnsi="Cambria"/>
        </w:rPr>
        <w:t xml:space="preserve"> ratio, the Barclays Aggregate Index has done well during </w:t>
      </w:r>
      <w:r w:rsidR="00F83A17">
        <w:rPr>
          <w:rFonts w:ascii="Cambria" w:hAnsi="Cambria"/>
        </w:rPr>
        <w:t xml:space="preserve">rate hike periods. </w:t>
      </w:r>
      <w:r w:rsidR="00F03307">
        <w:rPr>
          <w:rFonts w:ascii="Cambria" w:hAnsi="Cambria"/>
        </w:rPr>
        <w:t>This might be due to the in-built diversification in this index.</w:t>
      </w:r>
    </w:p>
    <w:p w:rsidR="00D70739" w:rsidRPr="005901C4" w:rsidRDefault="00D70739">
      <w:pPr>
        <w:rPr>
          <w:rFonts w:ascii="Cambria" w:hAnsi="Cambria"/>
        </w:rPr>
      </w:pPr>
      <w:r>
        <w:rPr>
          <w:rFonts w:ascii="Cambria" w:hAnsi="Cambria"/>
        </w:rPr>
        <w:t xml:space="preserve">In the 1 week rolling correlation </w:t>
      </w:r>
      <w:r w:rsidR="00296F64">
        <w:rPr>
          <w:rFonts w:ascii="Cambria" w:hAnsi="Cambria"/>
        </w:rPr>
        <w:t xml:space="preserve">graph </w:t>
      </w:r>
      <w:r>
        <w:rPr>
          <w:rFonts w:ascii="Cambria" w:hAnsi="Cambria"/>
        </w:rPr>
        <w:t xml:space="preserve">between </w:t>
      </w:r>
      <w:r w:rsidR="00296F64">
        <w:rPr>
          <w:rFonts w:ascii="Cambria" w:hAnsi="Cambria"/>
        </w:rPr>
        <w:t>the annualized returns and the 10-year government bond returns, we can see a positive correlation between them during the rate hike period.</w:t>
      </w:r>
    </w:p>
    <w:p w:rsidR="004470B5" w:rsidRDefault="00DE5369">
      <w:pPr>
        <w:rPr>
          <w:rFonts w:ascii="Cambria" w:hAnsi="Cambria"/>
          <w:b/>
        </w:rPr>
      </w:pPr>
      <w:r>
        <w:rPr>
          <w:noProof/>
        </w:rPr>
        <w:drawing>
          <wp:inline distT="0" distB="0" distL="0" distR="0" wp14:anchorId="604B9545" wp14:editId="5D7BAD89">
            <wp:extent cx="5238750" cy="1955643"/>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54878" cy="1961663"/>
                    </a:xfrm>
                    <a:prstGeom prst="rect">
                      <a:avLst/>
                    </a:prstGeom>
                  </pic:spPr>
                </pic:pic>
              </a:graphicData>
            </a:graphic>
          </wp:inline>
        </w:drawing>
      </w:r>
    </w:p>
    <w:p w:rsidR="00C57BBE" w:rsidRDefault="0023204A" w:rsidP="00C57BBE">
      <w:pPr>
        <w:pStyle w:val="Heading3"/>
      </w:pPr>
      <w:r>
        <w:lastRenderedPageBreak/>
        <w:t>Inflation Indexed 10-</w:t>
      </w:r>
      <w:r w:rsidR="00C57BBE" w:rsidRPr="00C57BBE">
        <w:t>year</w:t>
      </w:r>
      <w:r w:rsidR="00BC3715">
        <w:t xml:space="preserve"> </w:t>
      </w:r>
      <w:r w:rsidR="008F2F2B">
        <w:t>Treasury</w:t>
      </w:r>
    </w:p>
    <w:p w:rsidR="00C57BBE" w:rsidRDefault="00C57BBE" w:rsidP="00C57BBE"/>
    <w:p w:rsidR="00BC3715" w:rsidRPr="00BC3715" w:rsidRDefault="0023204A" w:rsidP="00C57BBE">
      <w:pPr>
        <w:rPr>
          <w:rFonts w:ascii="Cambria" w:hAnsi="Cambria"/>
        </w:rPr>
      </w:pPr>
      <w:r>
        <w:rPr>
          <w:rFonts w:ascii="Cambria" w:hAnsi="Cambria"/>
        </w:rPr>
        <w:t>The inflation-indexed bonds (</w:t>
      </w:r>
      <w:r w:rsidR="009C1B83">
        <w:rPr>
          <w:rFonts w:ascii="Cambria" w:hAnsi="Cambria"/>
        </w:rPr>
        <w:t>also called</w:t>
      </w:r>
      <w:r>
        <w:rPr>
          <w:rFonts w:ascii="Cambria" w:hAnsi="Cambria"/>
        </w:rPr>
        <w:t xml:space="preserve"> linkers) are bonds where the principal is linked to inflation in terms of the CPI value. The historical performance for the Inflation Index treasury can be found below</w:t>
      </w:r>
    </w:p>
    <w:tbl>
      <w:tblPr>
        <w:tblStyle w:val="TableGrid"/>
        <w:tblW w:w="0" w:type="auto"/>
        <w:tblLook w:val="04A0" w:firstRow="1" w:lastRow="0" w:firstColumn="1" w:lastColumn="0" w:noHBand="0" w:noVBand="1"/>
      </w:tblPr>
      <w:tblGrid>
        <w:gridCol w:w="1278"/>
        <w:gridCol w:w="823"/>
        <w:gridCol w:w="871"/>
        <w:gridCol w:w="1228"/>
        <w:gridCol w:w="1050"/>
      </w:tblGrid>
      <w:tr w:rsidR="006E2842" w:rsidTr="00BF28FD">
        <w:tc>
          <w:tcPr>
            <w:tcW w:w="1278" w:type="dxa"/>
          </w:tcPr>
          <w:p w:rsidR="006E2842" w:rsidRDefault="006E2842" w:rsidP="008D06D3">
            <w:pPr>
              <w:rPr>
                <w:rFonts w:ascii="Cambria" w:hAnsi="Cambria"/>
                <w:b/>
              </w:rPr>
            </w:pPr>
            <w:r>
              <w:rPr>
                <w:rFonts w:ascii="Cambria" w:hAnsi="Cambria"/>
                <w:b/>
              </w:rPr>
              <w:t>Data</w:t>
            </w:r>
          </w:p>
        </w:tc>
        <w:tc>
          <w:tcPr>
            <w:tcW w:w="823" w:type="dxa"/>
          </w:tcPr>
          <w:p w:rsidR="006E2842" w:rsidRDefault="006E2842" w:rsidP="008D06D3">
            <w:pPr>
              <w:rPr>
                <w:rFonts w:ascii="Cambria" w:hAnsi="Cambria"/>
                <w:b/>
              </w:rPr>
            </w:pPr>
            <w:r>
              <w:rPr>
                <w:rFonts w:ascii="Cambria" w:hAnsi="Cambria"/>
                <w:b/>
              </w:rPr>
              <w:t>1999-2000</w:t>
            </w:r>
          </w:p>
        </w:tc>
        <w:tc>
          <w:tcPr>
            <w:tcW w:w="871" w:type="dxa"/>
          </w:tcPr>
          <w:p w:rsidR="006E2842" w:rsidRDefault="006E2842" w:rsidP="008D06D3">
            <w:pPr>
              <w:rPr>
                <w:rFonts w:ascii="Cambria" w:hAnsi="Cambria"/>
                <w:b/>
              </w:rPr>
            </w:pPr>
            <w:r>
              <w:rPr>
                <w:rFonts w:ascii="Cambria" w:hAnsi="Cambria"/>
                <w:b/>
              </w:rPr>
              <w:t>2004-2006</w:t>
            </w:r>
          </w:p>
        </w:tc>
        <w:tc>
          <w:tcPr>
            <w:tcW w:w="1228" w:type="dxa"/>
          </w:tcPr>
          <w:p w:rsidR="006E2842" w:rsidRDefault="006E2842" w:rsidP="008D06D3">
            <w:pPr>
              <w:rPr>
                <w:rFonts w:ascii="Cambria" w:hAnsi="Cambria"/>
                <w:b/>
              </w:rPr>
            </w:pPr>
            <w:r>
              <w:rPr>
                <w:rFonts w:ascii="Cambria" w:hAnsi="Cambria"/>
                <w:b/>
              </w:rPr>
              <w:t>Recession</w:t>
            </w:r>
          </w:p>
        </w:tc>
        <w:tc>
          <w:tcPr>
            <w:tcW w:w="1050" w:type="dxa"/>
          </w:tcPr>
          <w:p w:rsidR="006E2842" w:rsidRDefault="006E2842" w:rsidP="008D06D3">
            <w:pPr>
              <w:rPr>
                <w:rFonts w:ascii="Cambria" w:hAnsi="Cambria"/>
                <w:b/>
              </w:rPr>
            </w:pPr>
            <w:r>
              <w:rPr>
                <w:rFonts w:ascii="Cambria" w:hAnsi="Cambria"/>
                <w:b/>
              </w:rPr>
              <w:t>Now</w:t>
            </w:r>
          </w:p>
        </w:tc>
      </w:tr>
      <w:tr w:rsidR="006E2842" w:rsidTr="00BF28FD">
        <w:tc>
          <w:tcPr>
            <w:tcW w:w="1278" w:type="dxa"/>
          </w:tcPr>
          <w:p w:rsidR="006E2842" w:rsidRPr="004470B5" w:rsidRDefault="006E2842" w:rsidP="008D06D3">
            <w:pPr>
              <w:rPr>
                <w:rFonts w:ascii="Cambria" w:hAnsi="Cambria"/>
              </w:rPr>
            </w:pPr>
            <w:r w:rsidRPr="004470B5">
              <w:rPr>
                <w:rFonts w:ascii="Cambria" w:hAnsi="Cambria"/>
              </w:rPr>
              <w:t>Annualized Mean</w:t>
            </w:r>
          </w:p>
        </w:tc>
        <w:tc>
          <w:tcPr>
            <w:tcW w:w="823" w:type="dxa"/>
          </w:tcPr>
          <w:p w:rsidR="006E2842" w:rsidRPr="004470B5" w:rsidRDefault="006E2842" w:rsidP="008D06D3">
            <w:pPr>
              <w:rPr>
                <w:rFonts w:ascii="Cambria" w:hAnsi="Cambria"/>
              </w:rPr>
            </w:pPr>
            <w:r>
              <w:rPr>
                <w:rFonts w:ascii="Cambria" w:hAnsi="Cambria"/>
              </w:rPr>
              <w:t>0.0</w:t>
            </w:r>
            <w:r w:rsidRPr="004470B5">
              <w:rPr>
                <w:rFonts w:ascii="Cambria" w:hAnsi="Cambria"/>
              </w:rPr>
              <w:t>9%</w:t>
            </w:r>
          </w:p>
        </w:tc>
        <w:tc>
          <w:tcPr>
            <w:tcW w:w="871" w:type="dxa"/>
          </w:tcPr>
          <w:p w:rsidR="006E2842" w:rsidRPr="004470B5" w:rsidRDefault="006E2842" w:rsidP="008D06D3">
            <w:pPr>
              <w:rPr>
                <w:rFonts w:ascii="Cambria" w:hAnsi="Cambria"/>
              </w:rPr>
            </w:pPr>
            <w:r w:rsidRPr="004470B5">
              <w:rPr>
                <w:rFonts w:ascii="Cambria" w:hAnsi="Cambria"/>
              </w:rPr>
              <w:t>0.</w:t>
            </w:r>
            <w:r>
              <w:rPr>
                <w:rFonts w:ascii="Cambria" w:hAnsi="Cambria"/>
              </w:rPr>
              <w:t>1</w:t>
            </w:r>
            <w:r w:rsidR="00885D8E">
              <w:rPr>
                <w:rFonts w:ascii="Cambria" w:hAnsi="Cambria"/>
              </w:rPr>
              <w:t>4</w:t>
            </w:r>
            <w:r w:rsidRPr="004470B5">
              <w:rPr>
                <w:rFonts w:ascii="Cambria" w:hAnsi="Cambria"/>
              </w:rPr>
              <w:t>%</w:t>
            </w:r>
          </w:p>
        </w:tc>
        <w:tc>
          <w:tcPr>
            <w:tcW w:w="1228" w:type="dxa"/>
          </w:tcPr>
          <w:p w:rsidR="006E2842" w:rsidRPr="004470B5" w:rsidRDefault="006E2842" w:rsidP="008D06D3">
            <w:pPr>
              <w:rPr>
                <w:rFonts w:ascii="Cambria" w:hAnsi="Cambria"/>
              </w:rPr>
            </w:pPr>
            <w:r>
              <w:rPr>
                <w:rFonts w:ascii="Cambria" w:hAnsi="Cambria"/>
              </w:rPr>
              <w:t>-0.</w:t>
            </w:r>
            <w:r w:rsidR="001D5C0A">
              <w:rPr>
                <w:rFonts w:ascii="Cambria" w:hAnsi="Cambria"/>
              </w:rPr>
              <w:t>23</w:t>
            </w:r>
            <w:r w:rsidRPr="004470B5">
              <w:rPr>
                <w:rFonts w:ascii="Cambria" w:hAnsi="Cambria"/>
              </w:rPr>
              <w:t>%</w:t>
            </w:r>
          </w:p>
        </w:tc>
        <w:tc>
          <w:tcPr>
            <w:tcW w:w="1050" w:type="dxa"/>
          </w:tcPr>
          <w:p w:rsidR="006E2842" w:rsidRPr="004470B5" w:rsidRDefault="006E2842" w:rsidP="008D06D3">
            <w:pPr>
              <w:rPr>
                <w:rFonts w:ascii="Cambria" w:hAnsi="Cambria"/>
              </w:rPr>
            </w:pPr>
            <w:r w:rsidRPr="004470B5">
              <w:rPr>
                <w:rFonts w:ascii="Cambria" w:hAnsi="Cambria"/>
              </w:rPr>
              <w:t>-0.1</w:t>
            </w:r>
            <w:r>
              <w:rPr>
                <w:rFonts w:ascii="Cambria" w:hAnsi="Cambria"/>
              </w:rPr>
              <w:t>5</w:t>
            </w:r>
            <w:r w:rsidRPr="004470B5">
              <w:rPr>
                <w:rFonts w:ascii="Cambria" w:hAnsi="Cambria"/>
              </w:rPr>
              <w:t>%</w:t>
            </w:r>
          </w:p>
        </w:tc>
      </w:tr>
      <w:tr w:rsidR="006E2842" w:rsidTr="00BF28FD">
        <w:tc>
          <w:tcPr>
            <w:tcW w:w="1278" w:type="dxa"/>
          </w:tcPr>
          <w:p w:rsidR="006E2842" w:rsidRPr="004470B5" w:rsidRDefault="006E2842" w:rsidP="008D06D3">
            <w:pPr>
              <w:rPr>
                <w:rFonts w:ascii="Cambria" w:hAnsi="Cambria"/>
              </w:rPr>
            </w:pPr>
            <w:r>
              <w:rPr>
                <w:rFonts w:ascii="Cambria" w:hAnsi="Cambria"/>
              </w:rPr>
              <w:t xml:space="preserve">Annualized </w:t>
            </w:r>
            <w:proofErr w:type="spellStart"/>
            <w:r>
              <w:rPr>
                <w:rFonts w:ascii="Cambria" w:hAnsi="Cambria"/>
              </w:rPr>
              <w:t>SDeviation</w:t>
            </w:r>
            <w:proofErr w:type="spellEnd"/>
          </w:p>
        </w:tc>
        <w:tc>
          <w:tcPr>
            <w:tcW w:w="823" w:type="dxa"/>
          </w:tcPr>
          <w:p w:rsidR="006E2842" w:rsidRPr="004470B5" w:rsidRDefault="003B6C42" w:rsidP="008D06D3">
            <w:pPr>
              <w:rPr>
                <w:rFonts w:ascii="Cambria" w:hAnsi="Cambria"/>
              </w:rPr>
            </w:pPr>
            <w:r>
              <w:rPr>
                <w:rFonts w:ascii="Cambria" w:hAnsi="Cambria"/>
              </w:rPr>
              <w:t>0.</w:t>
            </w:r>
            <w:r w:rsidR="00770FE9">
              <w:rPr>
                <w:rFonts w:ascii="Cambria" w:hAnsi="Cambria"/>
              </w:rPr>
              <w:t>25</w:t>
            </w:r>
            <w:r w:rsidR="006E2842">
              <w:rPr>
                <w:rFonts w:ascii="Cambria" w:hAnsi="Cambria"/>
              </w:rPr>
              <w:t>%</w:t>
            </w:r>
          </w:p>
        </w:tc>
        <w:tc>
          <w:tcPr>
            <w:tcW w:w="871" w:type="dxa"/>
          </w:tcPr>
          <w:p w:rsidR="006E2842" w:rsidRPr="004470B5" w:rsidRDefault="00745F6C" w:rsidP="008D06D3">
            <w:pPr>
              <w:rPr>
                <w:rFonts w:ascii="Cambria" w:hAnsi="Cambria"/>
              </w:rPr>
            </w:pPr>
            <w:r>
              <w:rPr>
                <w:rFonts w:ascii="Cambria" w:hAnsi="Cambria"/>
              </w:rPr>
              <w:t>0</w:t>
            </w:r>
            <w:r w:rsidR="00AB19EC">
              <w:rPr>
                <w:rFonts w:ascii="Cambria" w:hAnsi="Cambria"/>
              </w:rPr>
              <w:t>.</w:t>
            </w:r>
            <w:r w:rsidR="00AC2C4B">
              <w:rPr>
                <w:rFonts w:ascii="Cambria" w:hAnsi="Cambria"/>
              </w:rPr>
              <w:t>64</w:t>
            </w:r>
            <w:r w:rsidR="006E2842">
              <w:rPr>
                <w:rFonts w:ascii="Cambria" w:hAnsi="Cambria"/>
              </w:rPr>
              <w:t>%</w:t>
            </w:r>
          </w:p>
        </w:tc>
        <w:tc>
          <w:tcPr>
            <w:tcW w:w="1228" w:type="dxa"/>
          </w:tcPr>
          <w:p w:rsidR="006E2842" w:rsidRPr="004470B5" w:rsidRDefault="0029582E" w:rsidP="008D06D3">
            <w:pPr>
              <w:rPr>
                <w:rFonts w:ascii="Cambria" w:hAnsi="Cambria"/>
              </w:rPr>
            </w:pPr>
            <w:r>
              <w:rPr>
                <w:rFonts w:ascii="Cambria" w:hAnsi="Cambria"/>
              </w:rPr>
              <w:t>1.</w:t>
            </w:r>
            <w:r w:rsidR="00F61164">
              <w:rPr>
                <w:rFonts w:ascii="Cambria" w:hAnsi="Cambria"/>
              </w:rPr>
              <w:t>1</w:t>
            </w:r>
            <w:r w:rsidR="006E2842">
              <w:rPr>
                <w:rFonts w:ascii="Cambria" w:hAnsi="Cambria"/>
              </w:rPr>
              <w:t>%</w:t>
            </w:r>
          </w:p>
        </w:tc>
        <w:tc>
          <w:tcPr>
            <w:tcW w:w="1050" w:type="dxa"/>
          </w:tcPr>
          <w:p w:rsidR="006E2842" w:rsidRPr="004470B5" w:rsidRDefault="00EA6046" w:rsidP="008D06D3">
            <w:pPr>
              <w:rPr>
                <w:rFonts w:ascii="Cambria" w:hAnsi="Cambria"/>
              </w:rPr>
            </w:pPr>
            <w:r>
              <w:rPr>
                <w:rFonts w:ascii="Cambria" w:hAnsi="Cambria"/>
              </w:rPr>
              <w:t>0.72</w:t>
            </w:r>
            <w:r w:rsidR="006E2842">
              <w:rPr>
                <w:rFonts w:ascii="Cambria" w:hAnsi="Cambria"/>
              </w:rPr>
              <w:t>%</w:t>
            </w:r>
          </w:p>
        </w:tc>
      </w:tr>
      <w:tr w:rsidR="006E2842" w:rsidTr="00BF28FD">
        <w:tc>
          <w:tcPr>
            <w:tcW w:w="1278" w:type="dxa"/>
          </w:tcPr>
          <w:p w:rsidR="006E2842" w:rsidRPr="004470B5" w:rsidRDefault="006E2842" w:rsidP="008D06D3">
            <w:pPr>
              <w:rPr>
                <w:rFonts w:ascii="Cambria" w:hAnsi="Cambria"/>
              </w:rPr>
            </w:pPr>
            <w:r>
              <w:rPr>
                <w:rFonts w:ascii="Cambria" w:hAnsi="Cambria"/>
              </w:rPr>
              <w:t>Sharpe Ratio</w:t>
            </w:r>
          </w:p>
        </w:tc>
        <w:tc>
          <w:tcPr>
            <w:tcW w:w="823" w:type="dxa"/>
          </w:tcPr>
          <w:p w:rsidR="006E2842" w:rsidRPr="004470B5" w:rsidRDefault="006E2842" w:rsidP="008D06D3">
            <w:pPr>
              <w:rPr>
                <w:rFonts w:ascii="Cambria" w:hAnsi="Cambria"/>
              </w:rPr>
            </w:pPr>
            <w:r>
              <w:rPr>
                <w:rFonts w:ascii="Cambria" w:hAnsi="Cambria"/>
              </w:rPr>
              <w:t>0.</w:t>
            </w:r>
            <w:r w:rsidR="00D363CB">
              <w:rPr>
                <w:rFonts w:ascii="Cambria" w:hAnsi="Cambria"/>
              </w:rPr>
              <w:t>355</w:t>
            </w:r>
          </w:p>
        </w:tc>
        <w:tc>
          <w:tcPr>
            <w:tcW w:w="871" w:type="dxa"/>
          </w:tcPr>
          <w:p w:rsidR="006E2842" w:rsidRPr="004470B5" w:rsidRDefault="00545CC6" w:rsidP="008D06D3">
            <w:pPr>
              <w:rPr>
                <w:rFonts w:ascii="Cambria" w:hAnsi="Cambria"/>
              </w:rPr>
            </w:pPr>
            <w:r>
              <w:rPr>
                <w:rFonts w:ascii="Cambria" w:hAnsi="Cambria"/>
              </w:rPr>
              <w:t>0.22</w:t>
            </w:r>
          </w:p>
        </w:tc>
        <w:tc>
          <w:tcPr>
            <w:tcW w:w="1228" w:type="dxa"/>
          </w:tcPr>
          <w:p w:rsidR="006E2842" w:rsidRPr="004470B5" w:rsidRDefault="006E2842" w:rsidP="008D06D3">
            <w:pPr>
              <w:rPr>
                <w:rFonts w:ascii="Cambria" w:hAnsi="Cambria"/>
              </w:rPr>
            </w:pPr>
            <w:r>
              <w:rPr>
                <w:rFonts w:ascii="Cambria" w:hAnsi="Cambria"/>
              </w:rPr>
              <w:t>-0</w:t>
            </w:r>
            <w:r w:rsidR="0091452A">
              <w:rPr>
                <w:rFonts w:ascii="Cambria" w:hAnsi="Cambria"/>
              </w:rPr>
              <w:t>.209</w:t>
            </w:r>
          </w:p>
        </w:tc>
        <w:tc>
          <w:tcPr>
            <w:tcW w:w="1050" w:type="dxa"/>
          </w:tcPr>
          <w:p w:rsidR="006E2842" w:rsidRPr="004470B5" w:rsidRDefault="00046623" w:rsidP="008D06D3">
            <w:pPr>
              <w:rPr>
                <w:rFonts w:ascii="Cambria" w:hAnsi="Cambria"/>
              </w:rPr>
            </w:pPr>
            <w:r>
              <w:rPr>
                <w:rFonts w:ascii="Cambria" w:hAnsi="Cambria"/>
              </w:rPr>
              <w:t>-</w:t>
            </w:r>
            <w:r w:rsidR="00C96377">
              <w:rPr>
                <w:rFonts w:ascii="Cambria" w:hAnsi="Cambria"/>
              </w:rPr>
              <w:t>0.2</w:t>
            </w:r>
            <w:r>
              <w:rPr>
                <w:rFonts w:ascii="Cambria" w:hAnsi="Cambria"/>
              </w:rPr>
              <w:t>11</w:t>
            </w:r>
          </w:p>
        </w:tc>
      </w:tr>
    </w:tbl>
    <w:p w:rsidR="00C57BBE" w:rsidRDefault="00C57BBE" w:rsidP="00C57BBE"/>
    <w:p w:rsidR="00EC7758" w:rsidRDefault="003B6C42">
      <w:pPr>
        <w:rPr>
          <w:rFonts w:ascii="Cambria" w:hAnsi="Cambria"/>
        </w:rPr>
      </w:pPr>
      <w:r w:rsidRPr="00F4698B">
        <w:rPr>
          <w:rFonts w:ascii="Cambria" w:hAnsi="Cambria"/>
        </w:rPr>
        <w:t xml:space="preserve">As can be seen from the results, </w:t>
      </w:r>
      <w:r w:rsidR="00F4698B" w:rsidRPr="00F4698B">
        <w:rPr>
          <w:rFonts w:ascii="Cambria" w:hAnsi="Cambria"/>
        </w:rPr>
        <w:t xml:space="preserve">the linker performed decently during the rate hike periods, but had negative </w:t>
      </w:r>
      <w:r w:rsidR="00B12473" w:rsidRPr="00F4698B">
        <w:rPr>
          <w:rFonts w:ascii="Cambria" w:hAnsi="Cambria"/>
        </w:rPr>
        <w:t>Sharpe</w:t>
      </w:r>
      <w:r w:rsidR="00F4698B" w:rsidRPr="00F4698B">
        <w:rPr>
          <w:rFonts w:ascii="Cambria" w:hAnsi="Cambria"/>
        </w:rPr>
        <w:t xml:space="preserve"> ratio during the recession period. </w:t>
      </w:r>
      <w:r w:rsidR="002D6B07">
        <w:rPr>
          <w:rFonts w:ascii="Cambria" w:hAnsi="Cambria"/>
        </w:rPr>
        <w:t xml:space="preserve"> The </w:t>
      </w:r>
      <w:r w:rsidR="00B12473">
        <w:rPr>
          <w:rFonts w:ascii="Cambria" w:hAnsi="Cambria"/>
        </w:rPr>
        <w:t>Sharpe</w:t>
      </w:r>
      <w:r w:rsidR="002D6B07">
        <w:rPr>
          <w:rFonts w:ascii="Cambria" w:hAnsi="Cambria"/>
        </w:rPr>
        <w:t xml:space="preserve"> ratio for the linkers aren’t as high as the Barclays Aggregate Index during the rate hike periods. Also, it hasn’t started recovering after the recession, which the Index has successfully done. This make the Barclays Index a better investment than in the Inflation Indexed 10-year treasury.</w:t>
      </w:r>
    </w:p>
    <w:p w:rsidR="00526857" w:rsidRDefault="00526857" w:rsidP="006E2842">
      <w:pPr>
        <w:pStyle w:val="Heading3"/>
      </w:pPr>
    </w:p>
    <w:p w:rsidR="00503BF2" w:rsidRDefault="004B5D01" w:rsidP="00503BF2">
      <w:pPr>
        <w:pStyle w:val="Heading3"/>
      </w:pPr>
      <w:r>
        <w:t>30-</w:t>
      </w:r>
      <w:r w:rsidR="006E2842">
        <w:t>Year</w:t>
      </w:r>
      <w:r>
        <w:t xml:space="preserve"> Treasury</w:t>
      </w:r>
    </w:p>
    <w:p w:rsidR="00503BF2" w:rsidRDefault="00503BF2" w:rsidP="00503BF2"/>
    <w:p w:rsidR="00503BF2" w:rsidRPr="003B672A" w:rsidRDefault="003B672A" w:rsidP="00503BF2">
      <w:pPr>
        <w:rPr>
          <w:rFonts w:ascii="Cambria" w:hAnsi="Cambria"/>
        </w:rPr>
      </w:pPr>
      <w:r w:rsidRPr="003B672A">
        <w:rPr>
          <w:rFonts w:ascii="Cambria" w:hAnsi="Cambria"/>
        </w:rPr>
        <w:t>30-year T</w:t>
      </w:r>
      <w:r w:rsidR="00503BF2" w:rsidRPr="003B672A">
        <w:rPr>
          <w:rFonts w:ascii="Cambria" w:hAnsi="Cambria"/>
        </w:rPr>
        <w:t>rea</w:t>
      </w:r>
      <w:r>
        <w:rPr>
          <w:rFonts w:ascii="Cambria" w:hAnsi="Cambria"/>
        </w:rPr>
        <w:t>suries were chosen due to the long timeframe involved in the asset. This wou</w:t>
      </w:r>
      <w:r w:rsidR="00714E92">
        <w:rPr>
          <w:rFonts w:ascii="Cambria" w:hAnsi="Cambria"/>
        </w:rPr>
        <w:t xml:space="preserve">ld help </w:t>
      </w:r>
      <w:r w:rsidR="0087708F">
        <w:rPr>
          <w:rFonts w:ascii="Cambria" w:hAnsi="Cambria"/>
        </w:rPr>
        <w:t xml:space="preserve"> in </w:t>
      </w:r>
      <w:r w:rsidR="00714E92">
        <w:rPr>
          <w:rFonts w:ascii="Cambria" w:hAnsi="Cambria"/>
        </w:rPr>
        <w:t>assess</w:t>
      </w:r>
      <w:r w:rsidR="0087708F">
        <w:rPr>
          <w:rFonts w:ascii="Cambria" w:hAnsi="Cambria"/>
        </w:rPr>
        <w:t>ing</w:t>
      </w:r>
      <w:r w:rsidR="00714E92">
        <w:rPr>
          <w:rFonts w:ascii="Cambria" w:hAnsi="Cambria"/>
        </w:rPr>
        <w:t xml:space="preserve"> the long-</w:t>
      </w:r>
      <w:r>
        <w:rPr>
          <w:rFonts w:ascii="Cambria" w:hAnsi="Cambria"/>
        </w:rPr>
        <w:t>term sentiment in the market.</w:t>
      </w:r>
      <w:r w:rsidRPr="003B672A">
        <w:rPr>
          <w:rFonts w:ascii="Cambria" w:hAnsi="Cambria"/>
        </w:rPr>
        <w:t xml:space="preserve"> </w:t>
      </w:r>
    </w:p>
    <w:p w:rsidR="00503BF2" w:rsidRPr="0087708F" w:rsidRDefault="00714E92" w:rsidP="00503BF2">
      <w:pPr>
        <w:rPr>
          <w:rFonts w:ascii="Cambria" w:hAnsi="Cambria"/>
        </w:rPr>
      </w:pPr>
      <w:r w:rsidRPr="0087708F">
        <w:rPr>
          <w:rFonts w:ascii="Cambria" w:hAnsi="Cambria"/>
        </w:rPr>
        <w:t>The historical performance of the 30-year treasury is as below:</w:t>
      </w:r>
    </w:p>
    <w:p w:rsidR="00EC7758" w:rsidRPr="00EC7758" w:rsidRDefault="00503BF2" w:rsidP="00321BB8">
      <w:pPr>
        <w:pStyle w:val="Heading3"/>
      </w:pPr>
      <w:r>
        <w:t xml:space="preserve"> </w:t>
      </w:r>
    </w:p>
    <w:tbl>
      <w:tblPr>
        <w:tblStyle w:val="TableGrid"/>
        <w:tblW w:w="0" w:type="auto"/>
        <w:tblLayout w:type="fixed"/>
        <w:tblLook w:val="04A0" w:firstRow="1" w:lastRow="0" w:firstColumn="1" w:lastColumn="0" w:noHBand="0" w:noVBand="1"/>
      </w:tblPr>
      <w:tblGrid>
        <w:gridCol w:w="1278"/>
        <w:gridCol w:w="945"/>
        <w:gridCol w:w="945"/>
        <w:gridCol w:w="945"/>
        <w:gridCol w:w="945"/>
        <w:gridCol w:w="967"/>
        <w:gridCol w:w="1084"/>
        <w:gridCol w:w="1050"/>
      </w:tblGrid>
      <w:tr w:rsidR="00EC7758" w:rsidTr="00554F16">
        <w:tc>
          <w:tcPr>
            <w:tcW w:w="1278" w:type="dxa"/>
          </w:tcPr>
          <w:p w:rsidR="00EC7758" w:rsidRDefault="00EC7758" w:rsidP="008D06D3">
            <w:pPr>
              <w:rPr>
                <w:rFonts w:ascii="Cambria" w:hAnsi="Cambria"/>
                <w:b/>
              </w:rPr>
            </w:pPr>
            <w:r>
              <w:rPr>
                <w:rFonts w:ascii="Cambria" w:hAnsi="Cambria"/>
                <w:b/>
              </w:rPr>
              <w:t>Data</w:t>
            </w:r>
          </w:p>
        </w:tc>
        <w:tc>
          <w:tcPr>
            <w:tcW w:w="945" w:type="dxa"/>
          </w:tcPr>
          <w:p w:rsidR="00EC7758" w:rsidRDefault="00EC7758" w:rsidP="008D06D3">
            <w:pPr>
              <w:rPr>
                <w:rFonts w:ascii="Cambria" w:hAnsi="Cambria"/>
                <w:b/>
              </w:rPr>
            </w:pPr>
            <w:r>
              <w:rPr>
                <w:rFonts w:ascii="Cambria" w:hAnsi="Cambria"/>
                <w:b/>
              </w:rPr>
              <w:t>1983-84</w:t>
            </w:r>
          </w:p>
        </w:tc>
        <w:tc>
          <w:tcPr>
            <w:tcW w:w="945" w:type="dxa"/>
          </w:tcPr>
          <w:p w:rsidR="00EC7758" w:rsidRDefault="00EC7758" w:rsidP="008D06D3">
            <w:pPr>
              <w:rPr>
                <w:rFonts w:ascii="Cambria" w:hAnsi="Cambria"/>
                <w:b/>
              </w:rPr>
            </w:pPr>
            <w:r>
              <w:rPr>
                <w:rFonts w:ascii="Cambria" w:hAnsi="Cambria"/>
                <w:b/>
              </w:rPr>
              <w:t>1988-89</w:t>
            </w:r>
          </w:p>
        </w:tc>
        <w:tc>
          <w:tcPr>
            <w:tcW w:w="945" w:type="dxa"/>
          </w:tcPr>
          <w:p w:rsidR="00EC7758" w:rsidRDefault="00EC7758" w:rsidP="008D06D3">
            <w:pPr>
              <w:rPr>
                <w:rFonts w:ascii="Cambria" w:hAnsi="Cambria"/>
                <w:b/>
              </w:rPr>
            </w:pPr>
            <w:r>
              <w:rPr>
                <w:rFonts w:ascii="Cambria" w:hAnsi="Cambria"/>
                <w:b/>
              </w:rPr>
              <w:t>1994-95</w:t>
            </w:r>
          </w:p>
        </w:tc>
        <w:tc>
          <w:tcPr>
            <w:tcW w:w="945" w:type="dxa"/>
          </w:tcPr>
          <w:p w:rsidR="00EC7758" w:rsidRDefault="00EC7758" w:rsidP="008D06D3">
            <w:pPr>
              <w:rPr>
                <w:rFonts w:ascii="Cambria" w:hAnsi="Cambria"/>
                <w:b/>
              </w:rPr>
            </w:pPr>
            <w:r>
              <w:rPr>
                <w:rFonts w:ascii="Cambria" w:hAnsi="Cambria"/>
                <w:b/>
              </w:rPr>
              <w:t>1999-2000</w:t>
            </w:r>
          </w:p>
        </w:tc>
        <w:tc>
          <w:tcPr>
            <w:tcW w:w="967" w:type="dxa"/>
          </w:tcPr>
          <w:p w:rsidR="00EC7758" w:rsidRDefault="00EC7758" w:rsidP="008D06D3">
            <w:pPr>
              <w:rPr>
                <w:rFonts w:ascii="Cambria" w:hAnsi="Cambria"/>
                <w:b/>
              </w:rPr>
            </w:pPr>
            <w:r>
              <w:rPr>
                <w:rFonts w:ascii="Cambria" w:hAnsi="Cambria"/>
                <w:b/>
              </w:rPr>
              <w:t>2004-2006</w:t>
            </w:r>
          </w:p>
        </w:tc>
        <w:tc>
          <w:tcPr>
            <w:tcW w:w="1084" w:type="dxa"/>
          </w:tcPr>
          <w:p w:rsidR="00EC7758" w:rsidRDefault="00EC7758" w:rsidP="008D06D3">
            <w:pPr>
              <w:rPr>
                <w:rFonts w:ascii="Cambria" w:hAnsi="Cambria"/>
                <w:b/>
              </w:rPr>
            </w:pPr>
            <w:r>
              <w:rPr>
                <w:rFonts w:ascii="Cambria" w:hAnsi="Cambria"/>
                <w:b/>
              </w:rPr>
              <w:t>Recession</w:t>
            </w:r>
          </w:p>
        </w:tc>
        <w:tc>
          <w:tcPr>
            <w:tcW w:w="1050" w:type="dxa"/>
          </w:tcPr>
          <w:p w:rsidR="00EC7758" w:rsidRDefault="00EC7758" w:rsidP="008D06D3">
            <w:pPr>
              <w:rPr>
                <w:rFonts w:ascii="Cambria" w:hAnsi="Cambria"/>
                <w:b/>
              </w:rPr>
            </w:pPr>
            <w:r>
              <w:rPr>
                <w:rFonts w:ascii="Cambria" w:hAnsi="Cambria"/>
                <w:b/>
              </w:rPr>
              <w:t>Now</w:t>
            </w:r>
          </w:p>
        </w:tc>
      </w:tr>
      <w:tr w:rsidR="00EC7758" w:rsidTr="00554F16">
        <w:tc>
          <w:tcPr>
            <w:tcW w:w="1278" w:type="dxa"/>
          </w:tcPr>
          <w:p w:rsidR="00EC7758" w:rsidRPr="004470B5" w:rsidRDefault="00EC7758" w:rsidP="008D06D3">
            <w:pPr>
              <w:rPr>
                <w:rFonts w:ascii="Cambria" w:hAnsi="Cambria"/>
              </w:rPr>
            </w:pPr>
            <w:r w:rsidRPr="004470B5">
              <w:rPr>
                <w:rFonts w:ascii="Cambria" w:hAnsi="Cambria"/>
              </w:rPr>
              <w:t>Annualized Mean</w:t>
            </w:r>
          </w:p>
        </w:tc>
        <w:tc>
          <w:tcPr>
            <w:tcW w:w="945" w:type="dxa"/>
          </w:tcPr>
          <w:p w:rsidR="00EC7758" w:rsidRPr="004470B5" w:rsidRDefault="00B77FDD" w:rsidP="008D06D3">
            <w:pPr>
              <w:rPr>
                <w:rFonts w:ascii="Cambria" w:hAnsi="Cambria"/>
              </w:rPr>
            </w:pPr>
            <w:r>
              <w:rPr>
                <w:rFonts w:ascii="Cambria" w:hAnsi="Cambria"/>
              </w:rPr>
              <w:t>0.8%</w:t>
            </w:r>
          </w:p>
        </w:tc>
        <w:tc>
          <w:tcPr>
            <w:tcW w:w="945" w:type="dxa"/>
          </w:tcPr>
          <w:p w:rsidR="00EC7758" w:rsidRPr="004470B5" w:rsidRDefault="009C2A22" w:rsidP="008D06D3">
            <w:pPr>
              <w:rPr>
                <w:rFonts w:ascii="Cambria" w:hAnsi="Cambria"/>
              </w:rPr>
            </w:pPr>
            <w:r>
              <w:rPr>
                <w:rFonts w:ascii="Cambria" w:hAnsi="Cambria"/>
              </w:rPr>
              <w:t>0.02</w:t>
            </w:r>
            <w:r w:rsidR="00EC7758" w:rsidRPr="004470B5">
              <w:rPr>
                <w:rFonts w:ascii="Cambria" w:hAnsi="Cambria"/>
              </w:rPr>
              <w:t>%</w:t>
            </w:r>
          </w:p>
        </w:tc>
        <w:tc>
          <w:tcPr>
            <w:tcW w:w="945" w:type="dxa"/>
          </w:tcPr>
          <w:p w:rsidR="00EC7758" w:rsidRPr="004470B5" w:rsidRDefault="009C2A22" w:rsidP="008D06D3">
            <w:pPr>
              <w:rPr>
                <w:rFonts w:ascii="Cambria" w:hAnsi="Cambria"/>
              </w:rPr>
            </w:pPr>
            <w:r>
              <w:rPr>
                <w:rFonts w:ascii="Cambria" w:hAnsi="Cambria"/>
              </w:rPr>
              <w:t>0.725%</w:t>
            </w:r>
          </w:p>
        </w:tc>
        <w:tc>
          <w:tcPr>
            <w:tcW w:w="945" w:type="dxa"/>
          </w:tcPr>
          <w:p w:rsidR="00EC7758" w:rsidRPr="004470B5" w:rsidRDefault="00EC7758" w:rsidP="008D06D3">
            <w:pPr>
              <w:rPr>
                <w:rFonts w:ascii="Cambria" w:hAnsi="Cambria"/>
              </w:rPr>
            </w:pPr>
            <w:r w:rsidRPr="004470B5">
              <w:rPr>
                <w:rFonts w:ascii="Cambria" w:hAnsi="Cambria"/>
              </w:rPr>
              <w:t>0.</w:t>
            </w:r>
            <w:r w:rsidR="00A00D86">
              <w:rPr>
                <w:rFonts w:ascii="Cambria" w:hAnsi="Cambria"/>
              </w:rPr>
              <w:t>022</w:t>
            </w:r>
            <w:r w:rsidRPr="004470B5">
              <w:rPr>
                <w:rFonts w:ascii="Cambria" w:hAnsi="Cambria"/>
              </w:rPr>
              <w:t>%</w:t>
            </w:r>
          </w:p>
        </w:tc>
        <w:tc>
          <w:tcPr>
            <w:tcW w:w="967" w:type="dxa"/>
          </w:tcPr>
          <w:p w:rsidR="00EC7758" w:rsidRPr="004470B5" w:rsidRDefault="00A00D86" w:rsidP="008D06D3">
            <w:pPr>
              <w:rPr>
                <w:rFonts w:ascii="Cambria" w:hAnsi="Cambria"/>
              </w:rPr>
            </w:pPr>
            <w:r>
              <w:rPr>
                <w:rFonts w:ascii="Cambria" w:hAnsi="Cambria"/>
              </w:rPr>
              <w:t>-</w:t>
            </w:r>
            <w:r w:rsidR="00EC7758" w:rsidRPr="004470B5">
              <w:rPr>
                <w:rFonts w:ascii="Cambria" w:hAnsi="Cambria"/>
              </w:rPr>
              <w:t>0.</w:t>
            </w:r>
            <w:r>
              <w:rPr>
                <w:rFonts w:ascii="Cambria" w:hAnsi="Cambria"/>
              </w:rPr>
              <w:t>03</w:t>
            </w:r>
            <w:r w:rsidR="00EC7758" w:rsidRPr="004470B5">
              <w:rPr>
                <w:rFonts w:ascii="Cambria" w:hAnsi="Cambria"/>
              </w:rPr>
              <w:t>%</w:t>
            </w:r>
          </w:p>
        </w:tc>
        <w:tc>
          <w:tcPr>
            <w:tcW w:w="1084" w:type="dxa"/>
          </w:tcPr>
          <w:p w:rsidR="00EC7758" w:rsidRPr="004470B5" w:rsidRDefault="00EC7758" w:rsidP="008D06D3">
            <w:pPr>
              <w:rPr>
                <w:rFonts w:ascii="Cambria" w:hAnsi="Cambria"/>
              </w:rPr>
            </w:pPr>
            <w:r w:rsidRPr="004470B5">
              <w:rPr>
                <w:rFonts w:ascii="Cambria" w:hAnsi="Cambria"/>
              </w:rPr>
              <w:t>-0.</w:t>
            </w:r>
            <w:r w:rsidR="006A5702">
              <w:rPr>
                <w:rFonts w:ascii="Cambria" w:hAnsi="Cambria"/>
              </w:rPr>
              <w:t>2</w:t>
            </w:r>
            <w:r w:rsidRPr="004470B5">
              <w:rPr>
                <w:rFonts w:ascii="Cambria" w:hAnsi="Cambria"/>
              </w:rPr>
              <w:t>%</w:t>
            </w:r>
          </w:p>
        </w:tc>
        <w:tc>
          <w:tcPr>
            <w:tcW w:w="1050" w:type="dxa"/>
          </w:tcPr>
          <w:p w:rsidR="00EC7758" w:rsidRPr="004470B5" w:rsidRDefault="00EC7758" w:rsidP="008D06D3">
            <w:pPr>
              <w:rPr>
                <w:rFonts w:ascii="Cambria" w:hAnsi="Cambria"/>
              </w:rPr>
            </w:pPr>
            <w:r w:rsidRPr="004470B5">
              <w:rPr>
                <w:rFonts w:ascii="Cambria" w:hAnsi="Cambria"/>
              </w:rPr>
              <w:t>-0.1</w:t>
            </w:r>
            <w:r w:rsidR="00BB5BD7">
              <w:rPr>
                <w:rFonts w:ascii="Cambria" w:hAnsi="Cambria"/>
              </w:rPr>
              <w:t>4</w:t>
            </w:r>
            <w:r w:rsidRPr="004470B5">
              <w:rPr>
                <w:rFonts w:ascii="Cambria" w:hAnsi="Cambria"/>
              </w:rPr>
              <w:t>%</w:t>
            </w:r>
          </w:p>
        </w:tc>
      </w:tr>
      <w:tr w:rsidR="00EC7758" w:rsidTr="00554F16">
        <w:tc>
          <w:tcPr>
            <w:tcW w:w="1278" w:type="dxa"/>
          </w:tcPr>
          <w:p w:rsidR="00EC7758" w:rsidRPr="004470B5" w:rsidRDefault="00EC7758" w:rsidP="008D06D3">
            <w:pPr>
              <w:rPr>
                <w:rFonts w:ascii="Cambria" w:hAnsi="Cambria"/>
              </w:rPr>
            </w:pPr>
            <w:r>
              <w:rPr>
                <w:rFonts w:ascii="Cambria" w:hAnsi="Cambria"/>
              </w:rPr>
              <w:t xml:space="preserve">Annualized </w:t>
            </w:r>
            <w:proofErr w:type="spellStart"/>
            <w:r>
              <w:rPr>
                <w:rFonts w:ascii="Cambria" w:hAnsi="Cambria"/>
              </w:rPr>
              <w:t>SDeviation</w:t>
            </w:r>
            <w:proofErr w:type="spellEnd"/>
          </w:p>
        </w:tc>
        <w:tc>
          <w:tcPr>
            <w:tcW w:w="945" w:type="dxa"/>
          </w:tcPr>
          <w:p w:rsidR="00EC7758" w:rsidRPr="004470B5" w:rsidRDefault="00554F16" w:rsidP="008D06D3">
            <w:pPr>
              <w:rPr>
                <w:rFonts w:ascii="Cambria" w:hAnsi="Cambria"/>
              </w:rPr>
            </w:pPr>
            <w:r>
              <w:rPr>
                <w:rFonts w:ascii="Cambria" w:hAnsi="Cambria"/>
              </w:rPr>
              <w:t>0.135</w:t>
            </w:r>
            <w:r w:rsidR="00EC7758">
              <w:rPr>
                <w:rFonts w:ascii="Cambria" w:hAnsi="Cambria"/>
              </w:rPr>
              <w:t>%</w:t>
            </w:r>
          </w:p>
        </w:tc>
        <w:tc>
          <w:tcPr>
            <w:tcW w:w="945" w:type="dxa"/>
          </w:tcPr>
          <w:p w:rsidR="00EC7758" w:rsidRPr="004470B5" w:rsidRDefault="00D945F6" w:rsidP="008D06D3">
            <w:pPr>
              <w:rPr>
                <w:rFonts w:ascii="Cambria" w:hAnsi="Cambria"/>
              </w:rPr>
            </w:pPr>
            <w:r>
              <w:rPr>
                <w:rFonts w:ascii="Cambria" w:hAnsi="Cambria"/>
              </w:rPr>
              <w:t>0.1</w:t>
            </w:r>
            <w:r w:rsidR="00EC7758">
              <w:rPr>
                <w:rFonts w:ascii="Cambria" w:hAnsi="Cambria"/>
              </w:rPr>
              <w:t>%</w:t>
            </w:r>
          </w:p>
        </w:tc>
        <w:tc>
          <w:tcPr>
            <w:tcW w:w="945" w:type="dxa"/>
          </w:tcPr>
          <w:p w:rsidR="00EC7758" w:rsidRPr="004470B5" w:rsidRDefault="00B03E43" w:rsidP="008D06D3">
            <w:pPr>
              <w:rPr>
                <w:rFonts w:ascii="Cambria" w:hAnsi="Cambria"/>
              </w:rPr>
            </w:pPr>
            <w:r>
              <w:rPr>
                <w:rFonts w:ascii="Cambria" w:hAnsi="Cambria"/>
              </w:rPr>
              <w:t>0.95%</w:t>
            </w:r>
          </w:p>
        </w:tc>
        <w:tc>
          <w:tcPr>
            <w:tcW w:w="945" w:type="dxa"/>
          </w:tcPr>
          <w:p w:rsidR="00EC7758" w:rsidRPr="004470B5" w:rsidRDefault="00B03E43" w:rsidP="008D06D3">
            <w:pPr>
              <w:rPr>
                <w:rFonts w:ascii="Cambria" w:hAnsi="Cambria"/>
              </w:rPr>
            </w:pPr>
            <w:r>
              <w:rPr>
                <w:rFonts w:ascii="Cambria" w:hAnsi="Cambria"/>
              </w:rPr>
              <w:t>0.85</w:t>
            </w:r>
            <w:r w:rsidR="00EC7758">
              <w:rPr>
                <w:rFonts w:ascii="Cambria" w:hAnsi="Cambria"/>
              </w:rPr>
              <w:t>%</w:t>
            </w:r>
          </w:p>
        </w:tc>
        <w:tc>
          <w:tcPr>
            <w:tcW w:w="967" w:type="dxa"/>
          </w:tcPr>
          <w:p w:rsidR="00EC7758" w:rsidRPr="004470B5" w:rsidRDefault="00DB595B" w:rsidP="008D06D3">
            <w:pPr>
              <w:rPr>
                <w:rFonts w:ascii="Cambria" w:hAnsi="Cambria"/>
              </w:rPr>
            </w:pPr>
            <w:r>
              <w:rPr>
                <w:rFonts w:ascii="Cambria" w:hAnsi="Cambria"/>
              </w:rPr>
              <w:t>0.69</w:t>
            </w:r>
            <w:r w:rsidR="00EC7758">
              <w:rPr>
                <w:rFonts w:ascii="Cambria" w:hAnsi="Cambria"/>
              </w:rPr>
              <w:t>%</w:t>
            </w:r>
          </w:p>
        </w:tc>
        <w:tc>
          <w:tcPr>
            <w:tcW w:w="1084" w:type="dxa"/>
          </w:tcPr>
          <w:p w:rsidR="00EC7758" w:rsidRPr="004470B5" w:rsidRDefault="004817A1" w:rsidP="008D06D3">
            <w:pPr>
              <w:rPr>
                <w:rFonts w:ascii="Cambria" w:hAnsi="Cambria"/>
              </w:rPr>
            </w:pPr>
            <w:r>
              <w:rPr>
                <w:rFonts w:ascii="Cambria" w:hAnsi="Cambria"/>
              </w:rPr>
              <w:t>1.05%</w:t>
            </w:r>
          </w:p>
        </w:tc>
        <w:tc>
          <w:tcPr>
            <w:tcW w:w="1050" w:type="dxa"/>
          </w:tcPr>
          <w:p w:rsidR="00EC7758" w:rsidRPr="004470B5" w:rsidRDefault="004817A1" w:rsidP="008D06D3">
            <w:pPr>
              <w:rPr>
                <w:rFonts w:ascii="Cambria" w:hAnsi="Cambria"/>
              </w:rPr>
            </w:pPr>
            <w:r>
              <w:rPr>
                <w:rFonts w:ascii="Cambria" w:hAnsi="Cambria"/>
              </w:rPr>
              <w:t>0.85</w:t>
            </w:r>
            <w:r w:rsidR="00EC7758">
              <w:rPr>
                <w:rFonts w:ascii="Cambria" w:hAnsi="Cambria"/>
              </w:rPr>
              <w:t>%</w:t>
            </w:r>
          </w:p>
        </w:tc>
      </w:tr>
      <w:tr w:rsidR="00EC7758" w:rsidTr="00554F16">
        <w:tc>
          <w:tcPr>
            <w:tcW w:w="1278" w:type="dxa"/>
          </w:tcPr>
          <w:p w:rsidR="00EC7758" w:rsidRPr="004470B5" w:rsidRDefault="00EC7758" w:rsidP="008D06D3">
            <w:pPr>
              <w:rPr>
                <w:rFonts w:ascii="Cambria" w:hAnsi="Cambria"/>
              </w:rPr>
            </w:pPr>
            <w:r>
              <w:rPr>
                <w:rFonts w:ascii="Cambria" w:hAnsi="Cambria"/>
              </w:rPr>
              <w:t>Sharpe Ratio</w:t>
            </w:r>
          </w:p>
        </w:tc>
        <w:tc>
          <w:tcPr>
            <w:tcW w:w="945" w:type="dxa"/>
          </w:tcPr>
          <w:p w:rsidR="00EC7758" w:rsidRPr="004470B5" w:rsidRDefault="002B56FE" w:rsidP="008D06D3">
            <w:pPr>
              <w:rPr>
                <w:rFonts w:ascii="Cambria" w:hAnsi="Cambria"/>
              </w:rPr>
            </w:pPr>
            <w:r>
              <w:rPr>
                <w:rFonts w:ascii="Cambria" w:hAnsi="Cambria"/>
              </w:rPr>
              <w:t>0.62</w:t>
            </w:r>
          </w:p>
        </w:tc>
        <w:tc>
          <w:tcPr>
            <w:tcW w:w="945" w:type="dxa"/>
          </w:tcPr>
          <w:p w:rsidR="00EC7758" w:rsidRPr="004470B5" w:rsidRDefault="002B56FE" w:rsidP="008D06D3">
            <w:pPr>
              <w:rPr>
                <w:rFonts w:ascii="Cambria" w:hAnsi="Cambria"/>
              </w:rPr>
            </w:pPr>
            <w:r>
              <w:rPr>
                <w:rFonts w:ascii="Cambria" w:hAnsi="Cambria"/>
              </w:rPr>
              <w:t>0.026</w:t>
            </w:r>
          </w:p>
        </w:tc>
        <w:tc>
          <w:tcPr>
            <w:tcW w:w="945" w:type="dxa"/>
          </w:tcPr>
          <w:p w:rsidR="00EC7758" w:rsidRPr="004470B5" w:rsidRDefault="002B56FE" w:rsidP="008D06D3">
            <w:pPr>
              <w:rPr>
                <w:rFonts w:ascii="Cambria" w:hAnsi="Cambria"/>
              </w:rPr>
            </w:pPr>
            <w:r>
              <w:rPr>
                <w:rFonts w:ascii="Cambria" w:hAnsi="Cambria"/>
              </w:rPr>
              <w:t>0.76</w:t>
            </w:r>
          </w:p>
        </w:tc>
        <w:tc>
          <w:tcPr>
            <w:tcW w:w="945" w:type="dxa"/>
          </w:tcPr>
          <w:p w:rsidR="00EC7758" w:rsidRPr="004470B5" w:rsidRDefault="002B56FE" w:rsidP="008D06D3">
            <w:pPr>
              <w:rPr>
                <w:rFonts w:ascii="Cambria" w:hAnsi="Cambria"/>
              </w:rPr>
            </w:pPr>
            <w:r>
              <w:rPr>
                <w:rFonts w:ascii="Cambria" w:hAnsi="Cambria"/>
              </w:rPr>
              <w:t>0.025</w:t>
            </w:r>
          </w:p>
        </w:tc>
        <w:tc>
          <w:tcPr>
            <w:tcW w:w="967" w:type="dxa"/>
          </w:tcPr>
          <w:p w:rsidR="00EC7758" w:rsidRPr="004470B5" w:rsidRDefault="006A5702" w:rsidP="008D06D3">
            <w:pPr>
              <w:rPr>
                <w:rFonts w:ascii="Cambria" w:hAnsi="Cambria"/>
              </w:rPr>
            </w:pPr>
            <w:r>
              <w:rPr>
                <w:rFonts w:ascii="Cambria" w:hAnsi="Cambria"/>
              </w:rPr>
              <w:t>-</w:t>
            </w:r>
            <w:r w:rsidR="00A00D86">
              <w:rPr>
                <w:rFonts w:ascii="Cambria" w:hAnsi="Cambria"/>
              </w:rPr>
              <w:t>0.</w:t>
            </w:r>
            <w:r w:rsidR="002B56FE">
              <w:rPr>
                <w:rFonts w:ascii="Cambria" w:hAnsi="Cambria"/>
              </w:rPr>
              <w:t>057</w:t>
            </w:r>
          </w:p>
        </w:tc>
        <w:tc>
          <w:tcPr>
            <w:tcW w:w="1084" w:type="dxa"/>
          </w:tcPr>
          <w:p w:rsidR="00EC7758" w:rsidRPr="004470B5" w:rsidRDefault="00BB5BD7" w:rsidP="008D06D3">
            <w:pPr>
              <w:rPr>
                <w:rFonts w:ascii="Cambria" w:hAnsi="Cambria"/>
              </w:rPr>
            </w:pPr>
            <w:r>
              <w:rPr>
                <w:rFonts w:ascii="Cambria" w:hAnsi="Cambria"/>
              </w:rPr>
              <w:t>-0</w:t>
            </w:r>
            <w:r w:rsidR="002B56FE">
              <w:rPr>
                <w:rFonts w:ascii="Cambria" w:hAnsi="Cambria"/>
              </w:rPr>
              <w:t>.22</w:t>
            </w:r>
          </w:p>
        </w:tc>
        <w:tc>
          <w:tcPr>
            <w:tcW w:w="1050" w:type="dxa"/>
          </w:tcPr>
          <w:p w:rsidR="00EC7758" w:rsidRPr="004470B5" w:rsidRDefault="00BB5BD7" w:rsidP="008D06D3">
            <w:pPr>
              <w:rPr>
                <w:rFonts w:ascii="Cambria" w:hAnsi="Cambria"/>
              </w:rPr>
            </w:pPr>
            <w:r>
              <w:rPr>
                <w:rFonts w:ascii="Cambria" w:hAnsi="Cambria"/>
              </w:rPr>
              <w:t>-0.</w:t>
            </w:r>
            <w:r w:rsidR="002B56FE">
              <w:rPr>
                <w:rFonts w:ascii="Cambria" w:hAnsi="Cambria"/>
              </w:rPr>
              <w:t>16</w:t>
            </w:r>
          </w:p>
        </w:tc>
      </w:tr>
    </w:tbl>
    <w:p w:rsidR="006E2842" w:rsidRDefault="006E2842" w:rsidP="006E2842"/>
    <w:p w:rsidR="006E2842" w:rsidRPr="007C50DF" w:rsidRDefault="0087708F" w:rsidP="006E2842">
      <w:pPr>
        <w:rPr>
          <w:rFonts w:ascii="Cambria" w:hAnsi="Cambria"/>
        </w:rPr>
      </w:pPr>
      <w:r w:rsidRPr="007C50DF">
        <w:rPr>
          <w:rFonts w:ascii="Cambria" w:hAnsi="Cambria"/>
        </w:rPr>
        <w:t xml:space="preserve">Even though there were some good performances, the 3-year treasury has underperformed the Barclays Aggregate Index </w:t>
      </w:r>
      <w:r w:rsidR="007C50DF" w:rsidRPr="007C50DF">
        <w:rPr>
          <w:rFonts w:ascii="Cambria" w:hAnsi="Cambria"/>
        </w:rPr>
        <w:t xml:space="preserve">in terms of </w:t>
      </w:r>
      <w:proofErr w:type="spellStart"/>
      <w:r w:rsidR="007C50DF" w:rsidRPr="007C50DF">
        <w:rPr>
          <w:rFonts w:ascii="Cambria" w:hAnsi="Cambria"/>
        </w:rPr>
        <w:t>sharpe</w:t>
      </w:r>
      <w:proofErr w:type="spellEnd"/>
      <w:r w:rsidR="007C50DF" w:rsidRPr="007C50DF">
        <w:rPr>
          <w:rFonts w:ascii="Cambria" w:hAnsi="Cambria"/>
        </w:rPr>
        <w:t xml:space="preserve"> ratio over majority of the rate hike periods. </w:t>
      </w:r>
    </w:p>
    <w:p w:rsidR="00BB5BD7" w:rsidRDefault="00BB5BD7" w:rsidP="006E2842"/>
    <w:p w:rsidR="00BB5BD7" w:rsidRPr="00F718FC" w:rsidRDefault="00CF0FD7" w:rsidP="006E2842">
      <w:pPr>
        <w:rPr>
          <w:rFonts w:ascii="Cambria" w:hAnsi="Cambria"/>
        </w:rPr>
      </w:pPr>
      <w:r w:rsidRPr="00F718FC">
        <w:rPr>
          <w:rFonts w:ascii="Cambria" w:hAnsi="Cambria"/>
        </w:rPr>
        <w:t>Based on the historical performances and statistics, it can be concluded that an investment in the Barclays Aggregate Index would be the best fixed income strategy for rate hike periods.</w:t>
      </w:r>
    </w:p>
    <w:sectPr w:rsidR="00BB5BD7" w:rsidRPr="00F718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6045"/>
    <w:rsid w:val="00046623"/>
    <w:rsid w:val="00074F96"/>
    <w:rsid w:val="000C6E30"/>
    <w:rsid w:val="001C1043"/>
    <w:rsid w:val="001C6000"/>
    <w:rsid w:val="001D5C0A"/>
    <w:rsid w:val="0023204A"/>
    <w:rsid w:val="0029206B"/>
    <w:rsid w:val="0029582E"/>
    <w:rsid w:val="00296F64"/>
    <w:rsid w:val="002B56FE"/>
    <w:rsid w:val="002D6B07"/>
    <w:rsid w:val="00321BB8"/>
    <w:rsid w:val="00387B44"/>
    <w:rsid w:val="003B672A"/>
    <w:rsid w:val="003B6C42"/>
    <w:rsid w:val="004470B5"/>
    <w:rsid w:val="00452A37"/>
    <w:rsid w:val="004817A1"/>
    <w:rsid w:val="004B5D01"/>
    <w:rsid w:val="00503BF2"/>
    <w:rsid w:val="00526857"/>
    <w:rsid w:val="00545CC6"/>
    <w:rsid w:val="00554F16"/>
    <w:rsid w:val="00575C05"/>
    <w:rsid w:val="005901C4"/>
    <w:rsid w:val="005E2128"/>
    <w:rsid w:val="006768AE"/>
    <w:rsid w:val="006A5702"/>
    <w:rsid w:val="006E2842"/>
    <w:rsid w:val="00701055"/>
    <w:rsid w:val="00714E92"/>
    <w:rsid w:val="00745F6C"/>
    <w:rsid w:val="00770FE9"/>
    <w:rsid w:val="007C50DF"/>
    <w:rsid w:val="0087708F"/>
    <w:rsid w:val="00885D8E"/>
    <w:rsid w:val="008F2F2B"/>
    <w:rsid w:val="0091452A"/>
    <w:rsid w:val="00951EE8"/>
    <w:rsid w:val="009C1B83"/>
    <w:rsid w:val="009C2A22"/>
    <w:rsid w:val="00A00D86"/>
    <w:rsid w:val="00A1524A"/>
    <w:rsid w:val="00A16CFA"/>
    <w:rsid w:val="00A90FBF"/>
    <w:rsid w:val="00AB19EC"/>
    <w:rsid w:val="00AC2C4B"/>
    <w:rsid w:val="00AD3357"/>
    <w:rsid w:val="00B03E43"/>
    <w:rsid w:val="00B12473"/>
    <w:rsid w:val="00B77FDD"/>
    <w:rsid w:val="00B95C9F"/>
    <w:rsid w:val="00BB5BD7"/>
    <w:rsid w:val="00BC3715"/>
    <w:rsid w:val="00BF28FD"/>
    <w:rsid w:val="00C57BBE"/>
    <w:rsid w:val="00C661AD"/>
    <w:rsid w:val="00C96377"/>
    <w:rsid w:val="00CF0FD7"/>
    <w:rsid w:val="00CF3FF7"/>
    <w:rsid w:val="00D363CB"/>
    <w:rsid w:val="00D70739"/>
    <w:rsid w:val="00D945F6"/>
    <w:rsid w:val="00DB595B"/>
    <w:rsid w:val="00DE5369"/>
    <w:rsid w:val="00E942E3"/>
    <w:rsid w:val="00EA6046"/>
    <w:rsid w:val="00EC57BA"/>
    <w:rsid w:val="00EC7758"/>
    <w:rsid w:val="00F03307"/>
    <w:rsid w:val="00F468F9"/>
    <w:rsid w:val="00F4698B"/>
    <w:rsid w:val="00F61164"/>
    <w:rsid w:val="00F718FC"/>
    <w:rsid w:val="00F83A17"/>
    <w:rsid w:val="00F87F6B"/>
    <w:rsid w:val="00FF60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664036"/>
  <w15:chartTrackingRefBased/>
  <w15:docId w15:val="{58D023D2-14F5-49CD-B857-1D61CE830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604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F604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1524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604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F6045"/>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1C10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A1524A"/>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645</TotalTime>
  <Pages>2</Pages>
  <Words>463</Words>
  <Characters>2640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Ramkumar, Nitish</dc:creator>
  <cp:keywords/>
  <dc:description/>
  <cp:lastModifiedBy>Ramkumar, Nitish</cp:lastModifiedBy>
  <cp:revision>65</cp:revision>
  <dcterms:created xsi:type="dcterms:W3CDTF">2017-02-17T12:58:00Z</dcterms:created>
  <dcterms:modified xsi:type="dcterms:W3CDTF">2017-02-27T00:10:00Z</dcterms:modified>
</cp:coreProperties>
</file>