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Pr="00FF6045" w:rsidRDefault="001A5502" w:rsidP="00FF6045">
      <w:pPr>
        <w:pStyle w:val="Heading1"/>
      </w:pPr>
      <w:r>
        <w:t>Short Term Strategies</w:t>
      </w:r>
    </w:p>
    <w:p w:rsidR="00FF6045" w:rsidRDefault="00FF6045">
      <w:pPr>
        <w:rPr>
          <w:rFonts w:ascii="Cambria" w:hAnsi="Cambria"/>
          <w:b/>
        </w:rPr>
      </w:pPr>
    </w:p>
    <w:p w:rsidR="00A16CFA" w:rsidRDefault="001A5502" w:rsidP="00A16CFA">
      <w:pPr>
        <w:rPr>
          <w:rFonts w:ascii="Cambria" w:hAnsi="Cambria"/>
        </w:rPr>
      </w:pPr>
      <w:r>
        <w:rPr>
          <w:rFonts w:ascii="Cambria" w:hAnsi="Cambria"/>
        </w:rPr>
        <w:t xml:space="preserve">Apart from the asset allocation which has been done using the various asset classes, short term strategies can be used to increase the alpha of the portfolio allocation. </w:t>
      </w:r>
      <w:r w:rsidR="00A9537C">
        <w:rPr>
          <w:rFonts w:ascii="Cambria" w:hAnsi="Cambria"/>
        </w:rPr>
        <w:t xml:space="preserve"> Three short term strategies have been identified:</w:t>
      </w:r>
    </w:p>
    <w:p w:rsidR="00A9537C" w:rsidRDefault="00823D14" w:rsidP="00A9537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Yield Curve changes - </w:t>
      </w:r>
      <w:r w:rsidR="00A9537C">
        <w:rPr>
          <w:rFonts w:ascii="Cambria" w:hAnsi="Cambria"/>
        </w:rPr>
        <w:t>Long 10-year treasuries</w:t>
      </w:r>
      <w:r w:rsidR="00B80A18">
        <w:rPr>
          <w:rFonts w:ascii="Cambria" w:hAnsi="Cambria"/>
        </w:rPr>
        <w:t xml:space="preserve"> and short 1-year T-Bill</w:t>
      </w:r>
      <w:r>
        <w:rPr>
          <w:rFonts w:ascii="Cambria" w:hAnsi="Cambria"/>
        </w:rPr>
        <w:t xml:space="preserve"> </w:t>
      </w:r>
    </w:p>
    <w:p w:rsidR="003E4162" w:rsidRDefault="005E2680" w:rsidP="00A9537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Volatility changes - </w:t>
      </w:r>
      <w:r w:rsidR="00823D14">
        <w:rPr>
          <w:rFonts w:ascii="Cambria" w:hAnsi="Cambria"/>
        </w:rPr>
        <w:t xml:space="preserve">Long 1-year Tbill, Short twice the 10-year treasury and Long 20-year treasury </w:t>
      </w:r>
    </w:p>
    <w:p w:rsidR="005E2680" w:rsidRPr="00A9537C" w:rsidRDefault="005E2680" w:rsidP="00A9537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Credit changes – Long BBB rated corporate bonds and short AAA rated corporate bonds</w:t>
      </w:r>
    </w:p>
    <w:p w:rsidR="00A9537C" w:rsidRPr="00CF3FF7" w:rsidRDefault="00A9537C" w:rsidP="00A16CFA">
      <w:pPr>
        <w:rPr>
          <w:rFonts w:ascii="Cambria" w:hAnsi="Cambria"/>
        </w:rPr>
      </w:pPr>
    </w:p>
    <w:p w:rsidR="00FF6045" w:rsidRDefault="00FF6045" w:rsidP="00FF6045">
      <w:pPr>
        <w:pStyle w:val="Heading2"/>
      </w:pPr>
      <w:r w:rsidRPr="00FF6045">
        <w:t>Historical Performance</w:t>
      </w:r>
    </w:p>
    <w:p w:rsidR="00A16CFA" w:rsidRDefault="00A16CFA" w:rsidP="00A1524A">
      <w:pPr>
        <w:pStyle w:val="Heading3"/>
      </w:pPr>
    </w:p>
    <w:p w:rsidR="00323898" w:rsidRPr="00323898" w:rsidRDefault="00323898" w:rsidP="00323898">
      <w:pPr>
        <w:rPr>
          <w:rFonts w:ascii="Cambria" w:hAnsi="Cambria"/>
        </w:rPr>
      </w:pPr>
      <w:r w:rsidRPr="00323898">
        <w:rPr>
          <w:rFonts w:ascii="Cambria" w:hAnsi="Cambria"/>
        </w:rPr>
        <w:t xml:space="preserve">The Sharpe Ratios of the 3 strategies </w:t>
      </w:r>
      <w:r>
        <w:rPr>
          <w:rFonts w:ascii="Cambria" w:hAnsi="Cambria"/>
        </w:rPr>
        <w:t>in the various</w:t>
      </w:r>
      <w:r w:rsidR="00663892">
        <w:rPr>
          <w:rFonts w:ascii="Cambria" w:hAnsi="Cambria"/>
        </w:rPr>
        <w:t xml:space="preserve"> rate hike periods are as below:</w:t>
      </w:r>
    </w:p>
    <w:p w:rsidR="00323898" w:rsidRPr="00323898" w:rsidRDefault="00323898" w:rsidP="00323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19B5" w:rsidTr="00B619B5">
        <w:tc>
          <w:tcPr>
            <w:tcW w:w="2337" w:type="dxa"/>
          </w:tcPr>
          <w:p w:rsidR="00B619B5" w:rsidRPr="00354E63" w:rsidRDefault="00B619B5" w:rsidP="00663892">
            <w:pPr>
              <w:spacing w:after="160" w:line="259" w:lineRule="auto"/>
              <w:rPr>
                <w:rFonts w:ascii="Cambria" w:hAnsi="Cambria"/>
                <w:b/>
              </w:rPr>
            </w:pPr>
            <w:r w:rsidRPr="00354E63">
              <w:rPr>
                <w:rFonts w:ascii="Cambria" w:hAnsi="Cambria"/>
                <w:b/>
              </w:rPr>
              <w:t>Period</w:t>
            </w:r>
          </w:p>
        </w:tc>
        <w:tc>
          <w:tcPr>
            <w:tcW w:w="2337" w:type="dxa"/>
          </w:tcPr>
          <w:p w:rsidR="00B619B5" w:rsidRPr="00354E63" w:rsidRDefault="00B619B5" w:rsidP="00663892">
            <w:pPr>
              <w:spacing w:after="160" w:line="259" w:lineRule="auto"/>
              <w:rPr>
                <w:rFonts w:ascii="Cambria" w:hAnsi="Cambria"/>
                <w:b/>
              </w:rPr>
            </w:pPr>
            <w:r w:rsidRPr="00354E63">
              <w:rPr>
                <w:rFonts w:ascii="Cambria" w:hAnsi="Cambria"/>
                <w:b/>
              </w:rPr>
              <w:t>Yield</w:t>
            </w:r>
            <w:r w:rsidR="00354E63">
              <w:rPr>
                <w:rFonts w:ascii="Cambria" w:hAnsi="Cambria"/>
                <w:b/>
              </w:rPr>
              <w:t xml:space="preserve"> </w:t>
            </w:r>
            <w:r w:rsidRPr="00354E63">
              <w:rPr>
                <w:rFonts w:ascii="Cambria" w:hAnsi="Cambria"/>
                <w:b/>
              </w:rPr>
              <w:t>Curve Strategy</w:t>
            </w:r>
          </w:p>
        </w:tc>
        <w:tc>
          <w:tcPr>
            <w:tcW w:w="2338" w:type="dxa"/>
          </w:tcPr>
          <w:p w:rsidR="00B619B5" w:rsidRPr="00354E63" w:rsidRDefault="00B619B5" w:rsidP="00663892">
            <w:pPr>
              <w:spacing w:after="160" w:line="259" w:lineRule="auto"/>
              <w:rPr>
                <w:rFonts w:ascii="Cambria" w:hAnsi="Cambria"/>
                <w:b/>
              </w:rPr>
            </w:pPr>
            <w:r w:rsidRPr="00354E63">
              <w:rPr>
                <w:rFonts w:ascii="Cambria" w:hAnsi="Cambria"/>
                <w:b/>
              </w:rPr>
              <w:t>Volatility Strategy</w:t>
            </w:r>
          </w:p>
        </w:tc>
        <w:tc>
          <w:tcPr>
            <w:tcW w:w="2338" w:type="dxa"/>
          </w:tcPr>
          <w:p w:rsidR="00B619B5" w:rsidRPr="00354E63" w:rsidRDefault="00B619B5" w:rsidP="00663892">
            <w:pPr>
              <w:spacing w:after="160" w:line="259" w:lineRule="auto"/>
              <w:rPr>
                <w:rFonts w:ascii="Cambria" w:hAnsi="Cambria"/>
                <w:b/>
              </w:rPr>
            </w:pPr>
            <w:r w:rsidRPr="00354E63">
              <w:rPr>
                <w:rFonts w:ascii="Cambria" w:hAnsi="Cambria"/>
                <w:b/>
              </w:rPr>
              <w:t>Credit Strategy</w:t>
            </w:r>
          </w:p>
        </w:tc>
      </w:tr>
      <w:tr w:rsidR="00B619B5" w:rsidTr="00B619B5">
        <w:tc>
          <w:tcPr>
            <w:tcW w:w="2337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1999-2000</w:t>
            </w:r>
          </w:p>
        </w:tc>
        <w:tc>
          <w:tcPr>
            <w:tcW w:w="2337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-0.56</w:t>
            </w:r>
          </w:p>
        </w:tc>
        <w:tc>
          <w:tcPr>
            <w:tcW w:w="2338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0.147</w:t>
            </w:r>
          </w:p>
        </w:tc>
        <w:tc>
          <w:tcPr>
            <w:tcW w:w="2338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0.709</w:t>
            </w:r>
          </w:p>
        </w:tc>
      </w:tr>
      <w:tr w:rsidR="00B619B5" w:rsidTr="00B619B5">
        <w:tc>
          <w:tcPr>
            <w:tcW w:w="2337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2004-2006</w:t>
            </w:r>
          </w:p>
        </w:tc>
        <w:tc>
          <w:tcPr>
            <w:tcW w:w="2337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-1.27</w:t>
            </w:r>
          </w:p>
        </w:tc>
        <w:tc>
          <w:tcPr>
            <w:tcW w:w="2338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0.737</w:t>
            </w:r>
          </w:p>
        </w:tc>
        <w:tc>
          <w:tcPr>
            <w:tcW w:w="2338" w:type="dxa"/>
          </w:tcPr>
          <w:p w:rsidR="00B619B5" w:rsidRPr="00663892" w:rsidRDefault="00663892" w:rsidP="0066389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-0.05</w:t>
            </w:r>
          </w:p>
        </w:tc>
      </w:tr>
      <w:tr w:rsidR="00E516A9" w:rsidTr="00032DA2">
        <w:trPr>
          <w:trHeight w:val="413"/>
        </w:trPr>
        <w:tc>
          <w:tcPr>
            <w:tcW w:w="2337" w:type="dxa"/>
          </w:tcPr>
          <w:p w:rsidR="00E516A9" w:rsidRDefault="00E516A9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Recession</w:t>
            </w:r>
          </w:p>
        </w:tc>
        <w:tc>
          <w:tcPr>
            <w:tcW w:w="2337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0.72</w:t>
            </w:r>
          </w:p>
        </w:tc>
        <w:tc>
          <w:tcPr>
            <w:tcW w:w="2338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-0.46</w:t>
            </w:r>
          </w:p>
        </w:tc>
        <w:tc>
          <w:tcPr>
            <w:tcW w:w="2338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0.41</w:t>
            </w:r>
          </w:p>
        </w:tc>
      </w:tr>
      <w:tr w:rsidR="00E516A9" w:rsidTr="00B619B5">
        <w:tc>
          <w:tcPr>
            <w:tcW w:w="2337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Current Period</w:t>
            </w:r>
          </w:p>
        </w:tc>
        <w:tc>
          <w:tcPr>
            <w:tcW w:w="2337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-0.155</w:t>
            </w:r>
          </w:p>
        </w:tc>
        <w:tc>
          <w:tcPr>
            <w:tcW w:w="2338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0.09</w:t>
            </w:r>
          </w:p>
        </w:tc>
        <w:tc>
          <w:tcPr>
            <w:tcW w:w="2338" w:type="dxa"/>
          </w:tcPr>
          <w:p w:rsidR="00E516A9" w:rsidRDefault="00032DA2" w:rsidP="006638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-0.81</w:t>
            </w:r>
          </w:p>
        </w:tc>
      </w:tr>
    </w:tbl>
    <w:p w:rsidR="0099665E" w:rsidRDefault="0099665E" w:rsidP="0099665E"/>
    <w:p w:rsidR="00BB5BD7" w:rsidRDefault="00CA0679" w:rsidP="006E2842">
      <w:pPr>
        <w:rPr>
          <w:rFonts w:ascii="Cambria" w:hAnsi="Cambria"/>
        </w:rPr>
      </w:pPr>
      <w:r w:rsidRPr="00CA0679">
        <w:rPr>
          <w:rFonts w:ascii="Cambria" w:hAnsi="Cambria"/>
        </w:rPr>
        <w:t xml:space="preserve">As can be seen from the </w:t>
      </w:r>
      <w:r>
        <w:rPr>
          <w:rFonts w:ascii="Cambria" w:hAnsi="Cambria"/>
        </w:rPr>
        <w:t>historical data, the Volatility strategy has done the best consistently during the rate hike period.</w:t>
      </w:r>
    </w:p>
    <w:p w:rsidR="00A96645" w:rsidRPr="00A96645" w:rsidRDefault="00A96645" w:rsidP="00A96645">
      <w:pPr>
        <w:pStyle w:val="Heading2"/>
      </w:pPr>
      <w:r w:rsidRPr="00A96645">
        <w:t>Correlation</w:t>
      </w:r>
    </w:p>
    <w:p w:rsidR="00A96645" w:rsidRDefault="00A96645" w:rsidP="006E2842">
      <w:pPr>
        <w:rPr>
          <w:rFonts w:ascii="Cambria" w:hAnsi="Cambria"/>
        </w:rPr>
      </w:pPr>
      <w:r>
        <w:rPr>
          <w:rFonts w:ascii="Cambria" w:hAnsi="Cambria"/>
        </w:rPr>
        <w:t>Next, we would need to calculate the correlation of these strategies with the portfolio which we have formed.</w:t>
      </w:r>
      <w:bookmarkStart w:id="0" w:name="_GoBack"/>
      <w:bookmarkEnd w:id="0"/>
    </w:p>
    <w:p w:rsidR="00A96645" w:rsidRPr="00F718FC" w:rsidRDefault="00A96645" w:rsidP="006E2842">
      <w:pPr>
        <w:rPr>
          <w:rFonts w:ascii="Cambria" w:hAnsi="Cambria"/>
        </w:rPr>
      </w:pPr>
    </w:p>
    <w:sectPr w:rsidR="00A96645" w:rsidRPr="00F7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466C0"/>
    <w:multiLevelType w:val="hybridMultilevel"/>
    <w:tmpl w:val="25A8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45"/>
    <w:rsid w:val="00032DA2"/>
    <w:rsid w:val="00046623"/>
    <w:rsid w:val="00074F96"/>
    <w:rsid w:val="000C6E30"/>
    <w:rsid w:val="001A5502"/>
    <w:rsid w:val="001C1043"/>
    <w:rsid w:val="001C6000"/>
    <w:rsid w:val="001D5C0A"/>
    <w:rsid w:val="0023204A"/>
    <w:rsid w:val="0029206B"/>
    <w:rsid w:val="0029582E"/>
    <w:rsid w:val="00296F64"/>
    <w:rsid w:val="002B56FE"/>
    <w:rsid w:val="002D6B07"/>
    <w:rsid w:val="00321BB8"/>
    <w:rsid w:val="00323898"/>
    <w:rsid w:val="00354E63"/>
    <w:rsid w:val="00387B44"/>
    <w:rsid w:val="003B672A"/>
    <w:rsid w:val="003B6C42"/>
    <w:rsid w:val="003E4162"/>
    <w:rsid w:val="004470B5"/>
    <w:rsid w:val="00452A37"/>
    <w:rsid w:val="004817A1"/>
    <w:rsid w:val="004B5D01"/>
    <w:rsid w:val="00503BF2"/>
    <w:rsid w:val="00526857"/>
    <w:rsid w:val="00545CC6"/>
    <w:rsid w:val="00554F16"/>
    <w:rsid w:val="00575C05"/>
    <w:rsid w:val="005901C4"/>
    <w:rsid w:val="005E2128"/>
    <w:rsid w:val="005E2680"/>
    <w:rsid w:val="00663892"/>
    <w:rsid w:val="006768AE"/>
    <w:rsid w:val="006A5702"/>
    <w:rsid w:val="006E2842"/>
    <w:rsid w:val="00701055"/>
    <w:rsid w:val="00714E92"/>
    <w:rsid w:val="00745F6C"/>
    <w:rsid w:val="00770FE9"/>
    <w:rsid w:val="007C50DF"/>
    <w:rsid w:val="00823D14"/>
    <w:rsid w:val="0087708F"/>
    <w:rsid w:val="00885D8E"/>
    <w:rsid w:val="008F2F2B"/>
    <w:rsid w:val="0091452A"/>
    <w:rsid w:val="00951EE8"/>
    <w:rsid w:val="0099665E"/>
    <w:rsid w:val="009C1B83"/>
    <w:rsid w:val="009C2A22"/>
    <w:rsid w:val="00A00D86"/>
    <w:rsid w:val="00A1524A"/>
    <w:rsid w:val="00A16CFA"/>
    <w:rsid w:val="00A90FBF"/>
    <w:rsid w:val="00A9537C"/>
    <w:rsid w:val="00A96645"/>
    <w:rsid w:val="00AB19EC"/>
    <w:rsid w:val="00AC2C4B"/>
    <w:rsid w:val="00AD3357"/>
    <w:rsid w:val="00B03E43"/>
    <w:rsid w:val="00B12473"/>
    <w:rsid w:val="00B619B5"/>
    <w:rsid w:val="00B77FDD"/>
    <w:rsid w:val="00B80A18"/>
    <w:rsid w:val="00B95C9F"/>
    <w:rsid w:val="00BB5BD7"/>
    <w:rsid w:val="00BC3715"/>
    <w:rsid w:val="00BF28FD"/>
    <w:rsid w:val="00C57BBE"/>
    <w:rsid w:val="00C661AD"/>
    <w:rsid w:val="00C96377"/>
    <w:rsid w:val="00CA0679"/>
    <w:rsid w:val="00CF0FD7"/>
    <w:rsid w:val="00CF3FF7"/>
    <w:rsid w:val="00D363CB"/>
    <w:rsid w:val="00D70739"/>
    <w:rsid w:val="00D945F6"/>
    <w:rsid w:val="00DB595B"/>
    <w:rsid w:val="00DE5369"/>
    <w:rsid w:val="00E516A9"/>
    <w:rsid w:val="00E942E3"/>
    <w:rsid w:val="00EA6046"/>
    <w:rsid w:val="00EC57BA"/>
    <w:rsid w:val="00EC7758"/>
    <w:rsid w:val="00F03307"/>
    <w:rsid w:val="00F468F9"/>
    <w:rsid w:val="00F4698B"/>
    <w:rsid w:val="00F61164"/>
    <w:rsid w:val="00F718FC"/>
    <w:rsid w:val="00F83A17"/>
    <w:rsid w:val="00F87F6B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5F4B"/>
  <w15:chartTrackingRefBased/>
  <w15:docId w15:val="{58D023D2-14F5-49CD-B857-1D61CE83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5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77</cp:revision>
  <dcterms:created xsi:type="dcterms:W3CDTF">2017-02-17T12:58:00Z</dcterms:created>
  <dcterms:modified xsi:type="dcterms:W3CDTF">2017-02-27T02:55:00Z</dcterms:modified>
</cp:coreProperties>
</file>