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1BD" w:rsidRPr="00FF6045" w:rsidRDefault="00FB01BD" w:rsidP="00FB01BD">
      <w:pPr>
        <w:pStyle w:val="Heading1"/>
      </w:pPr>
      <w:r>
        <w:t>Portfolio Building</w:t>
      </w:r>
    </w:p>
    <w:p w:rsidR="00FB01BD" w:rsidRDefault="00FB01BD" w:rsidP="00FB01BD">
      <w:pPr>
        <w:rPr>
          <w:rFonts w:ascii="Cambria" w:hAnsi="Cambria"/>
          <w:b/>
        </w:rPr>
      </w:pPr>
    </w:p>
    <w:p w:rsidR="00DB26F7" w:rsidRDefault="00FB01BD" w:rsidP="00FB01BD">
      <w:pPr>
        <w:rPr>
          <w:rFonts w:ascii="Cambria" w:hAnsi="Cambria"/>
        </w:rPr>
      </w:pPr>
      <w:r>
        <w:rPr>
          <w:rFonts w:ascii="Cambria" w:hAnsi="Cambria"/>
        </w:rPr>
        <w:t>Now that we have the weights assigned for each period, we can now build a covariance matrix between the chosen assets.</w:t>
      </w:r>
    </w:p>
    <w:p w:rsidR="00FB01BD" w:rsidRDefault="00DB26F7" w:rsidP="00FB01BD">
      <w:pPr>
        <w:rPr>
          <w:rFonts w:ascii="Cambria" w:hAnsi="Cambria"/>
        </w:rPr>
      </w:pPr>
      <w:r>
        <w:rPr>
          <w:rFonts w:ascii="Cambria" w:hAnsi="Cambria"/>
        </w:rPr>
        <w:t>This can be done by first weighting the returns of the chosen asset class for each hike period by the corresponding weights. After that we can calculate the covariance and correlation matrix of the assets.</w:t>
      </w:r>
    </w:p>
    <w:p w:rsidR="00956CE2" w:rsidRDefault="00956CE2" w:rsidP="00FB01BD">
      <w:pPr>
        <w:rPr>
          <w:rFonts w:ascii="Cambria" w:hAnsi="Cambria"/>
        </w:rPr>
      </w:pPr>
      <w:r>
        <w:rPr>
          <w:rFonts w:ascii="Cambria" w:hAnsi="Cambria"/>
        </w:rPr>
        <w:t xml:space="preserve">The </w:t>
      </w:r>
      <w:r w:rsidR="00AF2A50">
        <w:rPr>
          <w:rFonts w:ascii="Cambria" w:hAnsi="Cambria"/>
        </w:rPr>
        <w:t>annual</w:t>
      </w:r>
      <w:r>
        <w:rPr>
          <w:rFonts w:ascii="Cambria" w:hAnsi="Cambria"/>
        </w:rPr>
        <w:t xml:space="preserve"> covariance matrix </w:t>
      </w:r>
      <w:r w:rsidR="0021282B">
        <w:rPr>
          <w:rFonts w:ascii="Cambria" w:hAnsi="Cambria"/>
        </w:rPr>
        <w:t>for all the asset classes can be found below:</w:t>
      </w:r>
    </w:p>
    <w:tbl>
      <w:tblPr>
        <w:tblStyle w:val="TableGrid"/>
        <w:tblW w:w="0" w:type="auto"/>
        <w:tblLook w:val="04A0" w:firstRow="1" w:lastRow="0" w:firstColumn="1" w:lastColumn="0" w:noHBand="0" w:noVBand="1"/>
      </w:tblPr>
      <w:tblGrid>
        <w:gridCol w:w="1558"/>
        <w:gridCol w:w="884"/>
        <w:gridCol w:w="1398"/>
        <w:gridCol w:w="1558"/>
        <w:gridCol w:w="1184"/>
        <w:gridCol w:w="1080"/>
      </w:tblGrid>
      <w:tr w:rsidR="00404FC8" w:rsidTr="0021282B">
        <w:tc>
          <w:tcPr>
            <w:tcW w:w="1558" w:type="dxa"/>
          </w:tcPr>
          <w:p w:rsidR="00404FC8" w:rsidRPr="00AF6AB5" w:rsidRDefault="00404FC8" w:rsidP="00B768E6">
            <w:pPr>
              <w:rPr>
                <w:rFonts w:ascii="Cambria" w:hAnsi="Cambria"/>
              </w:rPr>
            </w:pPr>
          </w:p>
        </w:tc>
        <w:tc>
          <w:tcPr>
            <w:tcW w:w="884" w:type="dxa"/>
          </w:tcPr>
          <w:p w:rsidR="00404FC8" w:rsidRPr="00AF6AB5" w:rsidRDefault="00404FC8" w:rsidP="00B768E6">
            <w:pPr>
              <w:rPr>
                <w:rFonts w:ascii="Cambria" w:hAnsi="Cambria"/>
              </w:rPr>
            </w:pPr>
            <w:r w:rsidRPr="009E0311">
              <w:rPr>
                <w:rFonts w:ascii="Cambria" w:eastAsia="Times New Roman" w:hAnsi="Cambria" w:cs="Courier New"/>
                <w:color w:val="404040"/>
              </w:rPr>
              <w:t>En</w:t>
            </w:r>
            <w:r>
              <w:rPr>
                <w:rFonts w:ascii="Cambria" w:eastAsia="Times New Roman" w:hAnsi="Cambria" w:cs="Courier New"/>
                <w:color w:val="404040"/>
              </w:rPr>
              <w:t>e</w:t>
            </w:r>
            <w:r w:rsidRPr="009E0311">
              <w:rPr>
                <w:rFonts w:ascii="Cambria" w:eastAsia="Times New Roman" w:hAnsi="Cambria" w:cs="Courier New"/>
                <w:color w:val="404040"/>
              </w:rPr>
              <w:t xml:space="preserve">rgy         </w:t>
            </w:r>
          </w:p>
        </w:tc>
        <w:tc>
          <w:tcPr>
            <w:tcW w:w="1398" w:type="dxa"/>
          </w:tcPr>
          <w:p w:rsidR="00404FC8" w:rsidRPr="00AF6AB5" w:rsidRDefault="00404FC8" w:rsidP="00B768E6">
            <w:pPr>
              <w:rPr>
                <w:rFonts w:ascii="Cambria" w:hAnsi="Cambria"/>
              </w:rPr>
            </w:pPr>
            <w:r w:rsidRPr="009E0311">
              <w:rPr>
                <w:rFonts w:ascii="Cambria" w:eastAsia="Times New Roman" w:hAnsi="Cambria" w:cs="Courier New"/>
                <w:color w:val="404040"/>
              </w:rPr>
              <w:t>Tel</w:t>
            </w:r>
            <w:r>
              <w:rPr>
                <w:rFonts w:ascii="Cambria" w:eastAsia="Times New Roman" w:hAnsi="Cambria" w:cs="Courier New"/>
                <w:color w:val="404040"/>
              </w:rPr>
              <w:t>e</w:t>
            </w:r>
            <w:r w:rsidRPr="009E0311">
              <w:rPr>
                <w:rFonts w:ascii="Cambria" w:eastAsia="Times New Roman" w:hAnsi="Cambria" w:cs="Courier New"/>
                <w:color w:val="404040"/>
              </w:rPr>
              <w:t>c</w:t>
            </w:r>
            <w:r>
              <w:rPr>
                <w:rFonts w:ascii="Cambria" w:eastAsia="Times New Roman" w:hAnsi="Cambria" w:cs="Courier New"/>
                <w:color w:val="404040"/>
              </w:rPr>
              <w:t>o</w:t>
            </w:r>
            <w:r w:rsidRPr="009E0311">
              <w:rPr>
                <w:rFonts w:ascii="Cambria" w:eastAsia="Times New Roman" w:hAnsi="Cambria" w:cs="Courier New"/>
                <w:color w:val="404040"/>
              </w:rPr>
              <w:t xml:space="preserve">m          </w:t>
            </w:r>
          </w:p>
        </w:tc>
        <w:tc>
          <w:tcPr>
            <w:tcW w:w="1558" w:type="dxa"/>
          </w:tcPr>
          <w:p w:rsidR="00404FC8" w:rsidRPr="00AF6AB5" w:rsidRDefault="00404FC8" w:rsidP="00B768E6">
            <w:pPr>
              <w:rPr>
                <w:rFonts w:ascii="Cambria" w:hAnsi="Cambria"/>
              </w:rPr>
            </w:pPr>
            <w:r w:rsidRPr="009E0311">
              <w:rPr>
                <w:rFonts w:ascii="Cambria" w:eastAsia="Times New Roman" w:hAnsi="Cambria" w:cs="Courier New"/>
                <w:color w:val="404040"/>
              </w:rPr>
              <w:t>H</w:t>
            </w:r>
            <w:r>
              <w:rPr>
                <w:rFonts w:ascii="Cambria" w:eastAsia="Times New Roman" w:hAnsi="Cambria" w:cs="Courier New"/>
                <w:color w:val="404040"/>
              </w:rPr>
              <w:t>ea</w:t>
            </w:r>
            <w:r w:rsidRPr="009E0311">
              <w:rPr>
                <w:rFonts w:ascii="Cambria" w:eastAsia="Times New Roman" w:hAnsi="Cambria" w:cs="Courier New"/>
                <w:color w:val="404040"/>
              </w:rPr>
              <w:t xml:space="preserve">lth           </w:t>
            </w:r>
          </w:p>
        </w:tc>
        <w:tc>
          <w:tcPr>
            <w:tcW w:w="1184" w:type="dxa"/>
          </w:tcPr>
          <w:p w:rsidR="00404FC8" w:rsidRPr="00AF6AB5" w:rsidRDefault="00404FC8" w:rsidP="00B768E6">
            <w:pPr>
              <w:rPr>
                <w:rFonts w:ascii="Cambria" w:hAnsi="Cambria"/>
              </w:rPr>
            </w:pPr>
            <w:r w:rsidRPr="009E0311">
              <w:rPr>
                <w:rFonts w:ascii="Cambria" w:eastAsia="Times New Roman" w:hAnsi="Cambria" w:cs="Courier New"/>
                <w:color w:val="404040"/>
              </w:rPr>
              <w:t xml:space="preserve">Oil          </w:t>
            </w:r>
          </w:p>
        </w:tc>
        <w:tc>
          <w:tcPr>
            <w:tcW w:w="1080" w:type="dxa"/>
          </w:tcPr>
          <w:p w:rsidR="00404FC8" w:rsidRPr="00AF6AB5" w:rsidRDefault="00404FC8" w:rsidP="00B768E6">
            <w:pPr>
              <w:rPr>
                <w:rFonts w:ascii="Cambria" w:hAnsi="Cambria"/>
              </w:rPr>
            </w:pPr>
            <w:r w:rsidRPr="009E0311">
              <w:rPr>
                <w:rFonts w:ascii="Cambria" w:eastAsia="Times New Roman" w:hAnsi="Cambria" w:cs="Courier New"/>
                <w:color w:val="404040"/>
              </w:rPr>
              <w:t>Gold</w:t>
            </w:r>
          </w:p>
        </w:tc>
      </w:tr>
      <w:tr w:rsidR="00404FC8" w:rsidTr="0021282B">
        <w:tc>
          <w:tcPr>
            <w:tcW w:w="1558" w:type="dxa"/>
          </w:tcPr>
          <w:p w:rsidR="00404FC8" w:rsidRPr="00AF6AB5" w:rsidRDefault="00404FC8" w:rsidP="00B768E6">
            <w:pPr>
              <w:rPr>
                <w:rFonts w:ascii="Cambria" w:hAnsi="Cambria"/>
              </w:rPr>
            </w:pPr>
            <w:r w:rsidRPr="009E0311">
              <w:rPr>
                <w:rFonts w:ascii="Cambria" w:eastAsia="Times New Roman" w:hAnsi="Cambria" w:cs="Courier New"/>
                <w:color w:val="404040"/>
              </w:rPr>
              <w:t>En</w:t>
            </w:r>
            <w:r>
              <w:rPr>
                <w:rFonts w:ascii="Cambria" w:eastAsia="Times New Roman" w:hAnsi="Cambria" w:cs="Courier New"/>
                <w:color w:val="404040"/>
              </w:rPr>
              <w:t>e</w:t>
            </w:r>
            <w:r w:rsidRPr="009E0311">
              <w:rPr>
                <w:rFonts w:ascii="Cambria" w:eastAsia="Times New Roman" w:hAnsi="Cambria" w:cs="Courier New"/>
                <w:color w:val="404040"/>
              </w:rPr>
              <w:t xml:space="preserve">rgy         </w:t>
            </w:r>
          </w:p>
        </w:tc>
        <w:tc>
          <w:tcPr>
            <w:tcW w:w="884" w:type="dxa"/>
          </w:tcPr>
          <w:p w:rsidR="00404FC8" w:rsidRPr="00AF6AB5" w:rsidRDefault="00404FC8" w:rsidP="00B768E6">
            <w:pPr>
              <w:rPr>
                <w:rFonts w:ascii="Cambria" w:hAnsi="Cambria"/>
              </w:rPr>
            </w:pPr>
            <w:r>
              <w:rPr>
                <w:rFonts w:ascii="Cambria" w:eastAsia="Times New Roman" w:hAnsi="Cambria" w:cs="Courier New"/>
                <w:color w:val="404040"/>
              </w:rPr>
              <w:t>0.0016</w:t>
            </w:r>
          </w:p>
        </w:tc>
        <w:tc>
          <w:tcPr>
            <w:tcW w:w="1398" w:type="dxa"/>
          </w:tcPr>
          <w:p w:rsidR="00404FC8" w:rsidRPr="00AF6AB5" w:rsidRDefault="00404FC8" w:rsidP="00B768E6">
            <w:pPr>
              <w:rPr>
                <w:rFonts w:ascii="Cambria" w:hAnsi="Cambria"/>
              </w:rPr>
            </w:pPr>
            <w:r>
              <w:rPr>
                <w:rFonts w:ascii="Cambria" w:hAnsi="Cambria"/>
              </w:rPr>
              <w:t>0.0004</w:t>
            </w:r>
          </w:p>
        </w:tc>
        <w:tc>
          <w:tcPr>
            <w:tcW w:w="1558" w:type="dxa"/>
          </w:tcPr>
          <w:p w:rsidR="00404FC8" w:rsidRPr="00AF6AB5" w:rsidRDefault="00404FC8" w:rsidP="00B768E6">
            <w:pPr>
              <w:rPr>
                <w:rFonts w:ascii="Cambria" w:hAnsi="Cambria"/>
              </w:rPr>
            </w:pPr>
            <w:r>
              <w:rPr>
                <w:rFonts w:ascii="Cambria" w:eastAsia="Times New Roman" w:hAnsi="Cambria" w:cs="Courier New"/>
                <w:color w:val="404040"/>
              </w:rPr>
              <w:t>0.004</w:t>
            </w:r>
          </w:p>
        </w:tc>
        <w:tc>
          <w:tcPr>
            <w:tcW w:w="1184" w:type="dxa"/>
          </w:tcPr>
          <w:p w:rsidR="00404FC8" w:rsidRPr="00AF6AB5" w:rsidRDefault="00404FC8" w:rsidP="00B768E6">
            <w:pPr>
              <w:rPr>
                <w:rFonts w:ascii="Cambria" w:hAnsi="Cambria"/>
              </w:rPr>
            </w:pPr>
            <w:r>
              <w:rPr>
                <w:rFonts w:ascii="Cambria" w:hAnsi="Cambria"/>
              </w:rPr>
              <w:t>0.0009</w:t>
            </w:r>
          </w:p>
        </w:tc>
        <w:tc>
          <w:tcPr>
            <w:tcW w:w="1080" w:type="dxa"/>
          </w:tcPr>
          <w:p w:rsidR="00404FC8" w:rsidRPr="00AF6AB5" w:rsidRDefault="00404FC8" w:rsidP="00B768E6">
            <w:pPr>
              <w:rPr>
                <w:rFonts w:ascii="Cambria" w:hAnsi="Cambria"/>
              </w:rPr>
            </w:pPr>
            <w:r>
              <w:rPr>
                <w:rFonts w:ascii="Cambria" w:hAnsi="Cambria"/>
              </w:rPr>
              <w:t>0.0002</w:t>
            </w:r>
          </w:p>
        </w:tc>
      </w:tr>
      <w:tr w:rsidR="00404FC8" w:rsidTr="0021282B">
        <w:tc>
          <w:tcPr>
            <w:tcW w:w="1558" w:type="dxa"/>
          </w:tcPr>
          <w:p w:rsidR="00404FC8" w:rsidRPr="00AF6AB5" w:rsidRDefault="00404FC8" w:rsidP="00B768E6">
            <w:pPr>
              <w:rPr>
                <w:rFonts w:ascii="Cambria" w:hAnsi="Cambria"/>
              </w:rPr>
            </w:pPr>
            <w:r w:rsidRPr="009E0311">
              <w:rPr>
                <w:rFonts w:ascii="Cambria" w:eastAsia="Times New Roman" w:hAnsi="Cambria" w:cs="Courier New"/>
                <w:color w:val="404040"/>
              </w:rPr>
              <w:t>Tel</w:t>
            </w:r>
            <w:r>
              <w:rPr>
                <w:rFonts w:ascii="Cambria" w:eastAsia="Times New Roman" w:hAnsi="Cambria" w:cs="Courier New"/>
                <w:color w:val="404040"/>
              </w:rPr>
              <w:t>e</w:t>
            </w:r>
            <w:r w:rsidRPr="009E0311">
              <w:rPr>
                <w:rFonts w:ascii="Cambria" w:eastAsia="Times New Roman" w:hAnsi="Cambria" w:cs="Courier New"/>
                <w:color w:val="404040"/>
              </w:rPr>
              <w:t>c</w:t>
            </w:r>
            <w:r>
              <w:rPr>
                <w:rFonts w:ascii="Cambria" w:eastAsia="Times New Roman" w:hAnsi="Cambria" w:cs="Courier New"/>
                <w:color w:val="404040"/>
              </w:rPr>
              <w:t>o</w:t>
            </w:r>
            <w:r w:rsidRPr="009E0311">
              <w:rPr>
                <w:rFonts w:ascii="Cambria" w:eastAsia="Times New Roman" w:hAnsi="Cambria" w:cs="Courier New"/>
                <w:color w:val="404040"/>
              </w:rPr>
              <w:t xml:space="preserve">m          </w:t>
            </w:r>
          </w:p>
        </w:tc>
        <w:tc>
          <w:tcPr>
            <w:tcW w:w="884" w:type="dxa"/>
          </w:tcPr>
          <w:p w:rsidR="00404FC8" w:rsidRPr="00AF6AB5" w:rsidRDefault="00404FC8" w:rsidP="00B768E6">
            <w:pPr>
              <w:rPr>
                <w:rFonts w:ascii="Cambria" w:hAnsi="Cambria"/>
              </w:rPr>
            </w:pPr>
            <w:r>
              <w:rPr>
                <w:rFonts w:ascii="Cambria" w:hAnsi="Cambria"/>
              </w:rPr>
              <w:t>0.0005</w:t>
            </w:r>
          </w:p>
        </w:tc>
        <w:tc>
          <w:tcPr>
            <w:tcW w:w="1398" w:type="dxa"/>
          </w:tcPr>
          <w:p w:rsidR="00404FC8" w:rsidRPr="00AF6AB5" w:rsidRDefault="001C6383" w:rsidP="00B768E6">
            <w:pPr>
              <w:rPr>
                <w:rFonts w:ascii="Cambria" w:hAnsi="Cambria"/>
              </w:rPr>
            </w:pPr>
            <w:r>
              <w:rPr>
                <w:rFonts w:ascii="Cambria" w:hAnsi="Cambria"/>
              </w:rPr>
              <w:t>0.0010</w:t>
            </w:r>
          </w:p>
        </w:tc>
        <w:tc>
          <w:tcPr>
            <w:tcW w:w="1558" w:type="dxa"/>
          </w:tcPr>
          <w:p w:rsidR="00404FC8" w:rsidRPr="00AF6AB5" w:rsidRDefault="00851A17" w:rsidP="00B768E6">
            <w:pPr>
              <w:rPr>
                <w:rFonts w:ascii="Cambria" w:hAnsi="Cambria"/>
              </w:rPr>
            </w:pPr>
            <w:r>
              <w:rPr>
                <w:rFonts w:ascii="Cambria" w:hAnsi="Cambria"/>
              </w:rPr>
              <w:t>0.0006</w:t>
            </w:r>
          </w:p>
        </w:tc>
        <w:tc>
          <w:tcPr>
            <w:tcW w:w="1184" w:type="dxa"/>
          </w:tcPr>
          <w:p w:rsidR="00404FC8" w:rsidRPr="00AF6AB5" w:rsidRDefault="00404FC8" w:rsidP="00B768E6">
            <w:pPr>
              <w:rPr>
                <w:rFonts w:ascii="Cambria" w:hAnsi="Cambria"/>
              </w:rPr>
            </w:pPr>
            <w:r w:rsidRPr="00AF6AB5">
              <w:rPr>
                <w:rFonts w:ascii="Cambria" w:hAnsi="Cambria"/>
              </w:rPr>
              <w:t>-0.</w:t>
            </w:r>
            <w:r w:rsidR="00504D5F">
              <w:rPr>
                <w:rFonts w:ascii="Cambria" w:hAnsi="Cambria"/>
              </w:rPr>
              <w:t>0001</w:t>
            </w:r>
          </w:p>
        </w:tc>
        <w:tc>
          <w:tcPr>
            <w:tcW w:w="1080" w:type="dxa"/>
          </w:tcPr>
          <w:p w:rsidR="00404FC8" w:rsidRPr="00AF6AB5" w:rsidRDefault="00404FC8" w:rsidP="00B768E6">
            <w:pPr>
              <w:rPr>
                <w:rFonts w:ascii="Cambria" w:hAnsi="Cambria"/>
              </w:rPr>
            </w:pPr>
            <w:r w:rsidRPr="00AF6AB5">
              <w:rPr>
                <w:rFonts w:ascii="Cambria" w:hAnsi="Cambria"/>
              </w:rPr>
              <w:t>-</w:t>
            </w:r>
            <w:r w:rsidR="00BD1CFF">
              <w:rPr>
                <w:rFonts w:ascii="Cambria" w:hAnsi="Cambria"/>
              </w:rPr>
              <w:t>0.0001</w:t>
            </w:r>
          </w:p>
        </w:tc>
      </w:tr>
      <w:tr w:rsidR="00404FC8" w:rsidTr="0021282B">
        <w:tc>
          <w:tcPr>
            <w:tcW w:w="1558" w:type="dxa"/>
          </w:tcPr>
          <w:p w:rsidR="00404FC8" w:rsidRPr="00AF6AB5" w:rsidRDefault="00404FC8" w:rsidP="00B768E6">
            <w:pPr>
              <w:rPr>
                <w:rFonts w:ascii="Cambria" w:hAnsi="Cambria"/>
              </w:rPr>
            </w:pPr>
            <w:r w:rsidRPr="009E0311">
              <w:rPr>
                <w:rFonts w:ascii="Cambria" w:eastAsia="Times New Roman" w:hAnsi="Cambria" w:cs="Courier New"/>
                <w:color w:val="404040"/>
              </w:rPr>
              <w:t>H</w:t>
            </w:r>
            <w:r>
              <w:rPr>
                <w:rFonts w:ascii="Cambria" w:eastAsia="Times New Roman" w:hAnsi="Cambria" w:cs="Courier New"/>
                <w:color w:val="404040"/>
              </w:rPr>
              <w:t>ea</w:t>
            </w:r>
            <w:r w:rsidRPr="009E0311">
              <w:rPr>
                <w:rFonts w:ascii="Cambria" w:eastAsia="Times New Roman" w:hAnsi="Cambria" w:cs="Courier New"/>
                <w:color w:val="404040"/>
              </w:rPr>
              <w:t xml:space="preserve">lth           </w:t>
            </w:r>
          </w:p>
        </w:tc>
        <w:tc>
          <w:tcPr>
            <w:tcW w:w="884" w:type="dxa"/>
          </w:tcPr>
          <w:p w:rsidR="00404FC8" w:rsidRPr="00AF6AB5" w:rsidRDefault="00C339EF" w:rsidP="00B768E6">
            <w:pPr>
              <w:rPr>
                <w:rFonts w:ascii="Cambria" w:hAnsi="Cambria"/>
              </w:rPr>
            </w:pPr>
            <w:r>
              <w:rPr>
                <w:rFonts w:ascii="Cambria" w:eastAsia="Times New Roman" w:hAnsi="Cambria" w:cs="Courier New"/>
                <w:color w:val="404040"/>
              </w:rPr>
              <w:t>0.0005</w:t>
            </w:r>
          </w:p>
        </w:tc>
        <w:tc>
          <w:tcPr>
            <w:tcW w:w="1398" w:type="dxa"/>
          </w:tcPr>
          <w:p w:rsidR="00404FC8" w:rsidRPr="00AF6AB5" w:rsidRDefault="00C339EF" w:rsidP="00B768E6">
            <w:pPr>
              <w:rPr>
                <w:rFonts w:ascii="Cambria" w:hAnsi="Cambria"/>
              </w:rPr>
            </w:pPr>
            <w:r>
              <w:rPr>
                <w:rFonts w:ascii="Cambria" w:hAnsi="Cambria"/>
              </w:rPr>
              <w:t>0.0006</w:t>
            </w:r>
          </w:p>
        </w:tc>
        <w:tc>
          <w:tcPr>
            <w:tcW w:w="1558" w:type="dxa"/>
          </w:tcPr>
          <w:p w:rsidR="00404FC8" w:rsidRPr="00AF6AB5" w:rsidRDefault="00C339EF" w:rsidP="00B768E6">
            <w:pPr>
              <w:rPr>
                <w:rFonts w:ascii="Cambria" w:hAnsi="Cambria"/>
              </w:rPr>
            </w:pPr>
            <w:r>
              <w:rPr>
                <w:rFonts w:ascii="Cambria" w:eastAsia="Times New Roman" w:hAnsi="Cambria" w:cs="Courier New"/>
                <w:color w:val="404040"/>
              </w:rPr>
              <w:t>0.0010</w:t>
            </w:r>
          </w:p>
        </w:tc>
        <w:tc>
          <w:tcPr>
            <w:tcW w:w="1184" w:type="dxa"/>
          </w:tcPr>
          <w:p w:rsidR="00404FC8" w:rsidRPr="00AF6AB5" w:rsidRDefault="00404FC8" w:rsidP="00B768E6">
            <w:pPr>
              <w:rPr>
                <w:rFonts w:ascii="Cambria" w:hAnsi="Cambria"/>
              </w:rPr>
            </w:pPr>
            <w:r w:rsidRPr="00AF6AB5">
              <w:rPr>
                <w:rFonts w:ascii="Cambria" w:hAnsi="Cambria"/>
              </w:rPr>
              <w:t>-</w:t>
            </w:r>
            <w:r w:rsidR="00C339EF">
              <w:rPr>
                <w:rFonts w:ascii="Cambria" w:hAnsi="Cambria"/>
              </w:rPr>
              <w:t>0.0002</w:t>
            </w:r>
          </w:p>
        </w:tc>
        <w:tc>
          <w:tcPr>
            <w:tcW w:w="1080" w:type="dxa"/>
          </w:tcPr>
          <w:p w:rsidR="00404FC8" w:rsidRPr="00AF6AB5" w:rsidRDefault="00404FC8" w:rsidP="00B768E6">
            <w:pPr>
              <w:rPr>
                <w:rFonts w:ascii="Cambria" w:hAnsi="Cambria"/>
              </w:rPr>
            </w:pPr>
            <w:r w:rsidRPr="00AF6AB5">
              <w:rPr>
                <w:rFonts w:ascii="Cambria" w:hAnsi="Cambria"/>
              </w:rPr>
              <w:t>-0.</w:t>
            </w:r>
            <w:r w:rsidR="00EB0596">
              <w:rPr>
                <w:rFonts w:ascii="Cambria" w:hAnsi="Cambria"/>
              </w:rPr>
              <w:t>0001</w:t>
            </w:r>
          </w:p>
        </w:tc>
      </w:tr>
      <w:tr w:rsidR="00404FC8" w:rsidTr="0021282B">
        <w:tc>
          <w:tcPr>
            <w:tcW w:w="1558" w:type="dxa"/>
          </w:tcPr>
          <w:p w:rsidR="00404FC8" w:rsidRPr="00AF6AB5" w:rsidRDefault="00404FC8" w:rsidP="00B768E6">
            <w:pPr>
              <w:rPr>
                <w:rFonts w:ascii="Cambria" w:hAnsi="Cambria"/>
              </w:rPr>
            </w:pPr>
            <w:r w:rsidRPr="009E0311">
              <w:rPr>
                <w:rFonts w:ascii="Cambria" w:eastAsia="Times New Roman" w:hAnsi="Cambria" w:cs="Courier New"/>
                <w:color w:val="404040"/>
              </w:rPr>
              <w:t xml:space="preserve">Oil   </w:t>
            </w:r>
          </w:p>
        </w:tc>
        <w:tc>
          <w:tcPr>
            <w:tcW w:w="884" w:type="dxa"/>
          </w:tcPr>
          <w:p w:rsidR="00404FC8" w:rsidRPr="00AF6AB5" w:rsidRDefault="001C4C6E" w:rsidP="00B768E6">
            <w:pPr>
              <w:rPr>
                <w:rFonts w:ascii="Cambria" w:hAnsi="Cambria"/>
              </w:rPr>
            </w:pPr>
            <w:r>
              <w:rPr>
                <w:rFonts w:ascii="Cambria" w:eastAsia="Times New Roman" w:hAnsi="Cambria" w:cs="Courier New"/>
                <w:color w:val="404040"/>
              </w:rPr>
              <w:t>0.0008</w:t>
            </w:r>
          </w:p>
        </w:tc>
        <w:tc>
          <w:tcPr>
            <w:tcW w:w="1398" w:type="dxa"/>
          </w:tcPr>
          <w:p w:rsidR="00404FC8" w:rsidRPr="00AF6AB5" w:rsidRDefault="00404FC8" w:rsidP="00B768E6">
            <w:pPr>
              <w:rPr>
                <w:rFonts w:ascii="Cambria" w:hAnsi="Cambria"/>
              </w:rPr>
            </w:pPr>
            <w:r w:rsidRPr="00AF6AB5">
              <w:rPr>
                <w:rFonts w:ascii="Cambria" w:hAnsi="Cambria"/>
              </w:rPr>
              <w:t>-0.</w:t>
            </w:r>
            <w:r w:rsidR="001C4C6E">
              <w:rPr>
                <w:rFonts w:ascii="Cambria" w:hAnsi="Cambria"/>
              </w:rPr>
              <w:t>0002</w:t>
            </w:r>
          </w:p>
        </w:tc>
        <w:tc>
          <w:tcPr>
            <w:tcW w:w="1558" w:type="dxa"/>
          </w:tcPr>
          <w:p w:rsidR="00404FC8" w:rsidRPr="00AF6AB5" w:rsidRDefault="00404FC8" w:rsidP="00B768E6">
            <w:pPr>
              <w:rPr>
                <w:rFonts w:ascii="Cambria" w:hAnsi="Cambria"/>
              </w:rPr>
            </w:pPr>
            <w:r w:rsidRPr="00AF6AB5">
              <w:rPr>
                <w:rFonts w:ascii="Cambria" w:eastAsia="Times New Roman" w:hAnsi="Cambria" w:cs="Courier New"/>
                <w:color w:val="404040"/>
              </w:rPr>
              <w:t>-0.</w:t>
            </w:r>
            <w:r w:rsidR="001C4C6E">
              <w:rPr>
                <w:rFonts w:ascii="Cambria" w:eastAsia="Times New Roman" w:hAnsi="Cambria" w:cs="Courier New"/>
                <w:color w:val="404040"/>
              </w:rPr>
              <w:t>0002</w:t>
            </w:r>
          </w:p>
        </w:tc>
        <w:tc>
          <w:tcPr>
            <w:tcW w:w="1184" w:type="dxa"/>
          </w:tcPr>
          <w:p w:rsidR="00404FC8" w:rsidRPr="00AF6AB5" w:rsidRDefault="001C4C6E" w:rsidP="00B768E6">
            <w:pPr>
              <w:rPr>
                <w:rFonts w:ascii="Cambria" w:hAnsi="Cambria"/>
              </w:rPr>
            </w:pPr>
            <w:r>
              <w:rPr>
                <w:rFonts w:ascii="Cambria" w:hAnsi="Cambria"/>
              </w:rPr>
              <w:t>0.0053</w:t>
            </w:r>
          </w:p>
        </w:tc>
        <w:tc>
          <w:tcPr>
            <w:tcW w:w="1080" w:type="dxa"/>
          </w:tcPr>
          <w:p w:rsidR="00404FC8" w:rsidRPr="00AF6AB5" w:rsidRDefault="001C4C6E" w:rsidP="00B768E6">
            <w:pPr>
              <w:rPr>
                <w:rFonts w:ascii="Cambria" w:hAnsi="Cambria"/>
              </w:rPr>
            </w:pPr>
            <w:r>
              <w:rPr>
                <w:rFonts w:ascii="Cambria" w:hAnsi="Cambria"/>
              </w:rPr>
              <w:t>0.0004</w:t>
            </w:r>
          </w:p>
        </w:tc>
      </w:tr>
      <w:tr w:rsidR="00404FC8" w:rsidTr="0021282B">
        <w:tc>
          <w:tcPr>
            <w:tcW w:w="1558" w:type="dxa"/>
          </w:tcPr>
          <w:p w:rsidR="00404FC8" w:rsidRPr="00AF6AB5" w:rsidRDefault="00404FC8" w:rsidP="00B768E6">
            <w:pPr>
              <w:rPr>
                <w:rFonts w:ascii="Cambria" w:hAnsi="Cambria"/>
              </w:rPr>
            </w:pPr>
            <w:r w:rsidRPr="009E0311">
              <w:rPr>
                <w:rFonts w:ascii="Cambria" w:eastAsia="Times New Roman" w:hAnsi="Cambria" w:cs="Courier New"/>
                <w:color w:val="404040"/>
              </w:rPr>
              <w:t xml:space="preserve">Gold  </w:t>
            </w:r>
          </w:p>
        </w:tc>
        <w:tc>
          <w:tcPr>
            <w:tcW w:w="884" w:type="dxa"/>
          </w:tcPr>
          <w:p w:rsidR="00404FC8" w:rsidRPr="00AF6AB5" w:rsidRDefault="00404FC8" w:rsidP="00B768E6">
            <w:pPr>
              <w:rPr>
                <w:rFonts w:ascii="Cambria" w:hAnsi="Cambria"/>
              </w:rPr>
            </w:pPr>
            <w:r w:rsidRPr="00AF6AB5">
              <w:rPr>
                <w:rFonts w:ascii="Cambria" w:eastAsia="Times New Roman" w:hAnsi="Cambria" w:cs="Courier New"/>
                <w:color w:val="404040"/>
              </w:rPr>
              <w:t>0.</w:t>
            </w:r>
            <w:r w:rsidR="001C4C6E">
              <w:rPr>
                <w:rFonts w:ascii="Cambria" w:eastAsia="Times New Roman" w:hAnsi="Cambria" w:cs="Courier New"/>
                <w:color w:val="404040"/>
              </w:rPr>
              <w:t>0002</w:t>
            </w:r>
          </w:p>
        </w:tc>
        <w:tc>
          <w:tcPr>
            <w:tcW w:w="1398" w:type="dxa"/>
          </w:tcPr>
          <w:p w:rsidR="00404FC8" w:rsidRPr="00AF6AB5" w:rsidRDefault="00404FC8" w:rsidP="00B768E6">
            <w:pPr>
              <w:rPr>
                <w:rFonts w:ascii="Cambria" w:hAnsi="Cambria"/>
              </w:rPr>
            </w:pPr>
            <w:r w:rsidRPr="00AF6AB5">
              <w:rPr>
                <w:rFonts w:ascii="Cambria" w:hAnsi="Cambria"/>
              </w:rPr>
              <w:t>-0.</w:t>
            </w:r>
            <w:r w:rsidR="001C4C6E">
              <w:rPr>
                <w:rFonts w:ascii="Cambria" w:hAnsi="Cambria"/>
              </w:rPr>
              <w:t>0001</w:t>
            </w:r>
          </w:p>
        </w:tc>
        <w:tc>
          <w:tcPr>
            <w:tcW w:w="1558" w:type="dxa"/>
          </w:tcPr>
          <w:p w:rsidR="00404FC8" w:rsidRPr="00AF6AB5" w:rsidRDefault="00404FC8" w:rsidP="00B768E6">
            <w:pPr>
              <w:rPr>
                <w:rFonts w:ascii="Cambria" w:hAnsi="Cambria"/>
              </w:rPr>
            </w:pPr>
            <w:r w:rsidRPr="00AF6AB5">
              <w:rPr>
                <w:rFonts w:ascii="Cambria" w:eastAsia="Times New Roman" w:hAnsi="Cambria" w:cs="Courier New"/>
                <w:color w:val="404040"/>
              </w:rPr>
              <w:t>-0.</w:t>
            </w:r>
            <w:r w:rsidR="001C4C6E">
              <w:rPr>
                <w:rFonts w:ascii="Cambria" w:eastAsia="Times New Roman" w:hAnsi="Cambria" w:cs="Courier New"/>
                <w:color w:val="404040"/>
              </w:rPr>
              <w:t>0001</w:t>
            </w:r>
          </w:p>
        </w:tc>
        <w:tc>
          <w:tcPr>
            <w:tcW w:w="1184" w:type="dxa"/>
          </w:tcPr>
          <w:p w:rsidR="00404FC8" w:rsidRPr="00AF6AB5" w:rsidRDefault="001C4C6E" w:rsidP="00B768E6">
            <w:pPr>
              <w:rPr>
                <w:rFonts w:ascii="Cambria" w:hAnsi="Cambria"/>
              </w:rPr>
            </w:pPr>
            <w:r>
              <w:rPr>
                <w:rFonts w:ascii="Cambria" w:hAnsi="Cambria"/>
              </w:rPr>
              <w:t>0.0004</w:t>
            </w:r>
          </w:p>
        </w:tc>
        <w:tc>
          <w:tcPr>
            <w:tcW w:w="1080" w:type="dxa"/>
          </w:tcPr>
          <w:p w:rsidR="00404FC8" w:rsidRPr="00AF6AB5" w:rsidRDefault="001C4C6E" w:rsidP="00B768E6">
            <w:pPr>
              <w:rPr>
                <w:rFonts w:ascii="Cambria" w:hAnsi="Cambria"/>
              </w:rPr>
            </w:pPr>
            <w:r>
              <w:rPr>
                <w:rFonts w:ascii="Cambria" w:hAnsi="Cambria"/>
              </w:rPr>
              <w:t>0.0010</w:t>
            </w:r>
          </w:p>
        </w:tc>
      </w:tr>
    </w:tbl>
    <w:p w:rsidR="00DC1A75" w:rsidRDefault="00DC1A75" w:rsidP="00FB01BD">
      <w:pPr>
        <w:rPr>
          <w:rFonts w:ascii="Cambria" w:hAnsi="Cambria"/>
        </w:rPr>
      </w:pPr>
    </w:p>
    <w:p w:rsidR="00DC1A75" w:rsidRDefault="004128C7" w:rsidP="00FB01BD">
      <w:pPr>
        <w:rPr>
          <w:rFonts w:ascii="Cambria" w:hAnsi="Cambria"/>
        </w:rPr>
      </w:pPr>
      <w:r>
        <w:rPr>
          <w:rFonts w:ascii="Cambria" w:hAnsi="Cambria"/>
        </w:rPr>
        <w:t>The correlation matrix between the asset classes are as below:</w:t>
      </w:r>
    </w:p>
    <w:tbl>
      <w:tblPr>
        <w:tblStyle w:val="TableGrid"/>
        <w:tblW w:w="0" w:type="auto"/>
        <w:tblLook w:val="04A0" w:firstRow="1" w:lastRow="0" w:firstColumn="1" w:lastColumn="0" w:noHBand="0" w:noVBand="1"/>
      </w:tblPr>
      <w:tblGrid>
        <w:gridCol w:w="1558"/>
        <w:gridCol w:w="884"/>
        <w:gridCol w:w="1398"/>
        <w:gridCol w:w="1558"/>
        <w:gridCol w:w="1184"/>
        <w:gridCol w:w="1080"/>
      </w:tblGrid>
      <w:tr w:rsidR="009E0311" w:rsidTr="00AF6AB5">
        <w:tc>
          <w:tcPr>
            <w:tcW w:w="1558" w:type="dxa"/>
          </w:tcPr>
          <w:p w:rsidR="009E0311" w:rsidRPr="00AF6AB5" w:rsidRDefault="009E0311" w:rsidP="00FB01BD">
            <w:pPr>
              <w:rPr>
                <w:rFonts w:ascii="Cambria" w:hAnsi="Cambria"/>
              </w:rPr>
            </w:pPr>
          </w:p>
        </w:tc>
        <w:tc>
          <w:tcPr>
            <w:tcW w:w="867" w:type="dxa"/>
          </w:tcPr>
          <w:p w:rsidR="009E0311" w:rsidRPr="00AF6AB5" w:rsidRDefault="008C2087" w:rsidP="00FB01BD">
            <w:pPr>
              <w:rPr>
                <w:rFonts w:ascii="Cambria" w:hAnsi="Cambria"/>
              </w:rPr>
            </w:pPr>
            <w:r w:rsidRPr="009E0311">
              <w:rPr>
                <w:rFonts w:ascii="Cambria" w:eastAsia="Times New Roman" w:hAnsi="Cambria" w:cs="Courier New"/>
                <w:color w:val="404040"/>
              </w:rPr>
              <w:t>En</w:t>
            </w:r>
            <w:r w:rsidR="00AF6AB5">
              <w:rPr>
                <w:rFonts w:ascii="Cambria" w:eastAsia="Times New Roman" w:hAnsi="Cambria" w:cs="Courier New"/>
                <w:color w:val="404040"/>
              </w:rPr>
              <w:t>e</w:t>
            </w:r>
            <w:r w:rsidRPr="009E0311">
              <w:rPr>
                <w:rFonts w:ascii="Cambria" w:eastAsia="Times New Roman" w:hAnsi="Cambria" w:cs="Courier New"/>
                <w:color w:val="404040"/>
              </w:rPr>
              <w:t xml:space="preserve">rgy         </w:t>
            </w:r>
          </w:p>
        </w:tc>
        <w:tc>
          <w:tcPr>
            <w:tcW w:w="1398" w:type="dxa"/>
          </w:tcPr>
          <w:p w:rsidR="009E0311" w:rsidRPr="00AF6AB5" w:rsidRDefault="008C2087" w:rsidP="00FB01BD">
            <w:pPr>
              <w:rPr>
                <w:rFonts w:ascii="Cambria" w:hAnsi="Cambria"/>
              </w:rPr>
            </w:pPr>
            <w:r w:rsidRPr="009E0311">
              <w:rPr>
                <w:rFonts w:ascii="Cambria" w:eastAsia="Times New Roman" w:hAnsi="Cambria" w:cs="Courier New"/>
                <w:color w:val="404040"/>
              </w:rPr>
              <w:t>Tel</w:t>
            </w:r>
            <w:r w:rsidR="00AF6AB5">
              <w:rPr>
                <w:rFonts w:ascii="Cambria" w:eastAsia="Times New Roman" w:hAnsi="Cambria" w:cs="Courier New"/>
                <w:color w:val="404040"/>
              </w:rPr>
              <w:t>e</w:t>
            </w:r>
            <w:r w:rsidRPr="009E0311">
              <w:rPr>
                <w:rFonts w:ascii="Cambria" w:eastAsia="Times New Roman" w:hAnsi="Cambria" w:cs="Courier New"/>
                <w:color w:val="404040"/>
              </w:rPr>
              <w:t>c</w:t>
            </w:r>
            <w:r w:rsidR="00AF6AB5">
              <w:rPr>
                <w:rFonts w:ascii="Cambria" w:eastAsia="Times New Roman" w:hAnsi="Cambria" w:cs="Courier New"/>
                <w:color w:val="404040"/>
              </w:rPr>
              <w:t>o</w:t>
            </w:r>
            <w:r w:rsidRPr="009E0311">
              <w:rPr>
                <w:rFonts w:ascii="Cambria" w:eastAsia="Times New Roman" w:hAnsi="Cambria" w:cs="Courier New"/>
                <w:color w:val="404040"/>
              </w:rPr>
              <w:t xml:space="preserve">m          </w:t>
            </w:r>
          </w:p>
        </w:tc>
        <w:tc>
          <w:tcPr>
            <w:tcW w:w="1558" w:type="dxa"/>
          </w:tcPr>
          <w:p w:rsidR="009E0311" w:rsidRPr="00AF6AB5" w:rsidRDefault="008C2087" w:rsidP="00FB01BD">
            <w:pPr>
              <w:rPr>
                <w:rFonts w:ascii="Cambria" w:hAnsi="Cambria"/>
              </w:rPr>
            </w:pPr>
            <w:r w:rsidRPr="009E0311">
              <w:rPr>
                <w:rFonts w:ascii="Cambria" w:eastAsia="Times New Roman" w:hAnsi="Cambria" w:cs="Courier New"/>
                <w:color w:val="404040"/>
              </w:rPr>
              <w:t>H</w:t>
            </w:r>
            <w:r w:rsidR="00AF6AB5">
              <w:rPr>
                <w:rFonts w:ascii="Cambria" w:eastAsia="Times New Roman" w:hAnsi="Cambria" w:cs="Courier New"/>
                <w:color w:val="404040"/>
              </w:rPr>
              <w:t>ea</w:t>
            </w:r>
            <w:r w:rsidRPr="009E0311">
              <w:rPr>
                <w:rFonts w:ascii="Cambria" w:eastAsia="Times New Roman" w:hAnsi="Cambria" w:cs="Courier New"/>
                <w:color w:val="404040"/>
              </w:rPr>
              <w:t xml:space="preserve">lth           </w:t>
            </w:r>
          </w:p>
        </w:tc>
        <w:tc>
          <w:tcPr>
            <w:tcW w:w="1184" w:type="dxa"/>
          </w:tcPr>
          <w:p w:rsidR="009E0311" w:rsidRPr="00AF6AB5" w:rsidRDefault="008C2087" w:rsidP="00FB01BD">
            <w:pPr>
              <w:rPr>
                <w:rFonts w:ascii="Cambria" w:hAnsi="Cambria"/>
              </w:rPr>
            </w:pPr>
            <w:r w:rsidRPr="009E0311">
              <w:rPr>
                <w:rFonts w:ascii="Cambria" w:eastAsia="Times New Roman" w:hAnsi="Cambria" w:cs="Courier New"/>
                <w:color w:val="404040"/>
              </w:rPr>
              <w:t xml:space="preserve">Oil          </w:t>
            </w:r>
          </w:p>
        </w:tc>
        <w:tc>
          <w:tcPr>
            <w:tcW w:w="1080" w:type="dxa"/>
          </w:tcPr>
          <w:p w:rsidR="009E0311" w:rsidRPr="00AF6AB5" w:rsidRDefault="008C2087" w:rsidP="00FB01BD">
            <w:pPr>
              <w:rPr>
                <w:rFonts w:ascii="Cambria" w:hAnsi="Cambria"/>
              </w:rPr>
            </w:pPr>
            <w:r w:rsidRPr="009E0311">
              <w:rPr>
                <w:rFonts w:ascii="Cambria" w:eastAsia="Times New Roman" w:hAnsi="Cambria" w:cs="Courier New"/>
                <w:color w:val="404040"/>
              </w:rPr>
              <w:t>Gold</w:t>
            </w:r>
          </w:p>
        </w:tc>
      </w:tr>
      <w:tr w:rsidR="009E0311" w:rsidTr="00AF6AB5">
        <w:tc>
          <w:tcPr>
            <w:tcW w:w="1558" w:type="dxa"/>
          </w:tcPr>
          <w:p w:rsidR="009E0311" w:rsidRPr="00AF6AB5" w:rsidRDefault="00F00795" w:rsidP="00FB01BD">
            <w:pPr>
              <w:rPr>
                <w:rFonts w:ascii="Cambria" w:hAnsi="Cambria"/>
              </w:rPr>
            </w:pPr>
            <w:r w:rsidRPr="009E0311">
              <w:rPr>
                <w:rFonts w:ascii="Cambria" w:eastAsia="Times New Roman" w:hAnsi="Cambria" w:cs="Courier New"/>
                <w:color w:val="404040"/>
              </w:rPr>
              <w:t>En</w:t>
            </w:r>
            <w:r>
              <w:rPr>
                <w:rFonts w:ascii="Cambria" w:eastAsia="Times New Roman" w:hAnsi="Cambria" w:cs="Courier New"/>
                <w:color w:val="404040"/>
              </w:rPr>
              <w:t>e</w:t>
            </w:r>
            <w:r w:rsidRPr="009E0311">
              <w:rPr>
                <w:rFonts w:ascii="Cambria" w:eastAsia="Times New Roman" w:hAnsi="Cambria" w:cs="Courier New"/>
                <w:color w:val="404040"/>
              </w:rPr>
              <w:t xml:space="preserve">rgy         </w:t>
            </w:r>
          </w:p>
        </w:tc>
        <w:tc>
          <w:tcPr>
            <w:tcW w:w="867" w:type="dxa"/>
          </w:tcPr>
          <w:p w:rsidR="009E0311" w:rsidRPr="00AF6AB5" w:rsidRDefault="00BE264B" w:rsidP="00FB01BD">
            <w:pPr>
              <w:rPr>
                <w:rFonts w:ascii="Cambria" w:hAnsi="Cambria"/>
              </w:rPr>
            </w:pPr>
            <w:r>
              <w:rPr>
                <w:rFonts w:ascii="Cambria" w:eastAsia="Times New Roman" w:hAnsi="Cambria" w:cs="Courier New"/>
                <w:color w:val="404040"/>
              </w:rPr>
              <w:t>1</w:t>
            </w:r>
          </w:p>
        </w:tc>
        <w:tc>
          <w:tcPr>
            <w:tcW w:w="1398" w:type="dxa"/>
          </w:tcPr>
          <w:p w:rsidR="009E0311" w:rsidRPr="00AF6AB5" w:rsidRDefault="00BE264B" w:rsidP="00FB01BD">
            <w:pPr>
              <w:rPr>
                <w:rFonts w:ascii="Cambria" w:hAnsi="Cambria"/>
              </w:rPr>
            </w:pPr>
            <w:r>
              <w:rPr>
                <w:rFonts w:ascii="Cambria" w:hAnsi="Cambria"/>
              </w:rPr>
              <w:t>0.39</w:t>
            </w:r>
          </w:p>
        </w:tc>
        <w:tc>
          <w:tcPr>
            <w:tcW w:w="1558" w:type="dxa"/>
          </w:tcPr>
          <w:p w:rsidR="009E0311" w:rsidRPr="00AF6AB5" w:rsidRDefault="000347A6" w:rsidP="00FB01BD">
            <w:pPr>
              <w:rPr>
                <w:rFonts w:ascii="Cambria" w:hAnsi="Cambria"/>
              </w:rPr>
            </w:pPr>
            <w:r>
              <w:rPr>
                <w:rFonts w:ascii="Cambria" w:eastAsia="Times New Roman" w:hAnsi="Cambria" w:cs="Courier New"/>
                <w:color w:val="404040"/>
              </w:rPr>
              <w:t>0.36</w:t>
            </w:r>
          </w:p>
        </w:tc>
        <w:tc>
          <w:tcPr>
            <w:tcW w:w="1184" w:type="dxa"/>
          </w:tcPr>
          <w:p w:rsidR="009E0311" w:rsidRPr="00AF6AB5" w:rsidRDefault="00C779C9" w:rsidP="00FB01BD">
            <w:pPr>
              <w:rPr>
                <w:rFonts w:ascii="Cambria" w:hAnsi="Cambria"/>
              </w:rPr>
            </w:pPr>
            <w:r>
              <w:rPr>
                <w:rFonts w:ascii="Cambria" w:hAnsi="Cambria"/>
              </w:rPr>
              <w:t>0.3</w:t>
            </w:r>
          </w:p>
        </w:tc>
        <w:tc>
          <w:tcPr>
            <w:tcW w:w="1080" w:type="dxa"/>
          </w:tcPr>
          <w:p w:rsidR="009E0311" w:rsidRPr="00AF6AB5" w:rsidRDefault="00C779C9" w:rsidP="00FB01BD">
            <w:pPr>
              <w:rPr>
                <w:rFonts w:ascii="Cambria" w:hAnsi="Cambria"/>
              </w:rPr>
            </w:pPr>
            <w:r>
              <w:rPr>
                <w:rFonts w:ascii="Cambria" w:hAnsi="Cambria"/>
              </w:rPr>
              <w:t>0.12</w:t>
            </w:r>
          </w:p>
        </w:tc>
      </w:tr>
      <w:tr w:rsidR="009E0311" w:rsidTr="00AF6AB5">
        <w:tc>
          <w:tcPr>
            <w:tcW w:w="1558" w:type="dxa"/>
          </w:tcPr>
          <w:p w:rsidR="009E0311" w:rsidRPr="00AF6AB5" w:rsidRDefault="00F00795" w:rsidP="00FB01BD">
            <w:pPr>
              <w:rPr>
                <w:rFonts w:ascii="Cambria" w:hAnsi="Cambria"/>
              </w:rPr>
            </w:pPr>
            <w:r w:rsidRPr="009E0311">
              <w:rPr>
                <w:rFonts w:ascii="Cambria" w:eastAsia="Times New Roman" w:hAnsi="Cambria" w:cs="Courier New"/>
                <w:color w:val="404040"/>
              </w:rPr>
              <w:t>Tel</w:t>
            </w:r>
            <w:r>
              <w:rPr>
                <w:rFonts w:ascii="Cambria" w:eastAsia="Times New Roman" w:hAnsi="Cambria" w:cs="Courier New"/>
                <w:color w:val="404040"/>
              </w:rPr>
              <w:t>e</w:t>
            </w:r>
            <w:r w:rsidRPr="009E0311">
              <w:rPr>
                <w:rFonts w:ascii="Cambria" w:eastAsia="Times New Roman" w:hAnsi="Cambria" w:cs="Courier New"/>
                <w:color w:val="404040"/>
              </w:rPr>
              <w:t>c</w:t>
            </w:r>
            <w:r>
              <w:rPr>
                <w:rFonts w:ascii="Cambria" w:eastAsia="Times New Roman" w:hAnsi="Cambria" w:cs="Courier New"/>
                <w:color w:val="404040"/>
              </w:rPr>
              <w:t>o</w:t>
            </w:r>
            <w:r w:rsidRPr="009E0311">
              <w:rPr>
                <w:rFonts w:ascii="Cambria" w:eastAsia="Times New Roman" w:hAnsi="Cambria" w:cs="Courier New"/>
                <w:color w:val="404040"/>
              </w:rPr>
              <w:t xml:space="preserve">m          </w:t>
            </w:r>
          </w:p>
        </w:tc>
        <w:tc>
          <w:tcPr>
            <w:tcW w:w="867" w:type="dxa"/>
          </w:tcPr>
          <w:p w:rsidR="009E0311" w:rsidRPr="00AF6AB5" w:rsidRDefault="00B363C5" w:rsidP="00FB01BD">
            <w:pPr>
              <w:rPr>
                <w:rFonts w:ascii="Cambria" w:hAnsi="Cambria"/>
              </w:rPr>
            </w:pPr>
            <w:r>
              <w:rPr>
                <w:rFonts w:ascii="Cambria" w:eastAsia="Times New Roman" w:hAnsi="Cambria" w:cs="Courier New"/>
                <w:color w:val="404040"/>
              </w:rPr>
              <w:t>0.39</w:t>
            </w:r>
          </w:p>
        </w:tc>
        <w:tc>
          <w:tcPr>
            <w:tcW w:w="1398" w:type="dxa"/>
          </w:tcPr>
          <w:p w:rsidR="00D81DB2" w:rsidRPr="00AF6AB5" w:rsidRDefault="00BE264B" w:rsidP="00FB01BD">
            <w:pPr>
              <w:rPr>
                <w:rFonts w:ascii="Cambria" w:hAnsi="Cambria"/>
              </w:rPr>
            </w:pPr>
            <w:r>
              <w:rPr>
                <w:rFonts w:ascii="Cambria" w:hAnsi="Cambria"/>
              </w:rPr>
              <w:t>1</w:t>
            </w:r>
          </w:p>
        </w:tc>
        <w:tc>
          <w:tcPr>
            <w:tcW w:w="1558" w:type="dxa"/>
          </w:tcPr>
          <w:p w:rsidR="009E0311" w:rsidRPr="00AF6AB5" w:rsidRDefault="00900D6B" w:rsidP="00FB01BD">
            <w:pPr>
              <w:rPr>
                <w:rFonts w:ascii="Cambria" w:hAnsi="Cambria"/>
              </w:rPr>
            </w:pPr>
            <w:r>
              <w:rPr>
                <w:rFonts w:ascii="Cambria" w:eastAsia="Times New Roman" w:hAnsi="Cambria" w:cs="Courier New"/>
                <w:color w:val="404040"/>
              </w:rPr>
              <w:t>0.63</w:t>
            </w:r>
          </w:p>
        </w:tc>
        <w:tc>
          <w:tcPr>
            <w:tcW w:w="1184" w:type="dxa"/>
          </w:tcPr>
          <w:p w:rsidR="009E0311" w:rsidRPr="00AF6AB5" w:rsidRDefault="00F3636D" w:rsidP="00FB01BD">
            <w:pPr>
              <w:rPr>
                <w:rFonts w:ascii="Cambria" w:hAnsi="Cambria"/>
              </w:rPr>
            </w:pPr>
            <w:r>
              <w:rPr>
                <w:rFonts w:ascii="Cambria" w:hAnsi="Cambria"/>
              </w:rPr>
              <w:t>-0.07</w:t>
            </w:r>
          </w:p>
        </w:tc>
        <w:tc>
          <w:tcPr>
            <w:tcW w:w="1080" w:type="dxa"/>
          </w:tcPr>
          <w:p w:rsidR="009E0311" w:rsidRPr="00AF6AB5" w:rsidRDefault="008C2087" w:rsidP="00FB01BD">
            <w:pPr>
              <w:rPr>
                <w:rFonts w:ascii="Cambria" w:hAnsi="Cambria"/>
              </w:rPr>
            </w:pPr>
            <w:r w:rsidRPr="00AF6AB5">
              <w:rPr>
                <w:rFonts w:ascii="Cambria" w:hAnsi="Cambria"/>
              </w:rPr>
              <w:t>-</w:t>
            </w:r>
            <w:r w:rsidR="009C5695">
              <w:rPr>
                <w:rFonts w:ascii="Cambria" w:hAnsi="Cambria"/>
              </w:rPr>
              <w:t>0.08</w:t>
            </w:r>
          </w:p>
        </w:tc>
      </w:tr>
      <w:tr w:rsidR="009E0311" w:rsidTr="00AF6AB5">
        <w:tc>
          <w:tcPr>
            <w:tcW w:w="1558" w:type="dxa"/>
          </w:tcPr>
          <w:p w:rsidR="009E0311" w:rsidRPr="00AF6AB5" w:rsidRDefault="00F00795" w:rsidP="00FB01BD">
            <w:pPr>
              <w:rPr>
                <w:rFonts w:ascii="Cambria" w:hAnsi="Cambria"/>
              </w:rPr>
            </w:pPr>
            <w:r w:rsidRPr="009E0311">
              <w:rPr>
                <w:rFonts w:ascii="Cambria" w:eastAsia="Times New Roman" w:hAnsi="Cambria" w:cs="Courier New"/>
                <w:color w:val="404040"/>
              </w:rPr>
              <w:t>H</w:t>
            </w:r>
            <w:r>
              <w:rPr>
                <w:rFonts w:ascii="Cambria" w:eastAsia="Times New Roman" w:hAnsi="Cambria" w:cs="Courier New"/>
                <w:color w:val="404040"/>
              </w:rPr>
              <w:t>ea</w:t>
            </w:r>
            <w:r w:rsidRPr="009E0311">
              <w:rPr>
                <w:rFonts w:ascii="Cambria" w:eastAsia="Times New Roman" w:hAnsi="Cambria" w:cs="Courier New"/>
                <w:color w:val="404040"/>
              </w:rPr>
              <w:t xml:space="preserve">lth           </w:t>
            </w:r>
          </w:p>
        </w:tc>
        <w:tc>
          <w:tcPr>
            <w:tcW w:w="867" w:type="dxa"/>
          </w:tcPr>
          <w:p w:rsidR="009E0311" w:rsidRPr="00AF6AB5" w:rsidRDefault="008A2944" w:rsidP="00FB01BD">
            <w:pPr>
              <w:rPr>
                <w:rFonts w:ascii="Cambria" w:hAnsi="Cambria"/>
              </w:rPr>
            </w:pPr>
            <w:r>
              <w:rPr>
                <w:rFonts w:ascii="Cambria" w:eastAsia="Times New Roman" w:hAnsi="Cambria" w:cs="Courier New"/>
                <w:color w:val="404040"/>
              </w:rPr>
              <w:t>0.36</w:t>
            </w:r>
          </w:p>
        </w:tc>
        <w:tc>
          <w:tcPr>
            <w:tcW w:w="1398" w:type="dxa"/>
          </w:tcPr>
          <w:p w:rsidR="009E0311" w:rsidRPr="00AF6AB5" w:rsidRDefault="0044551B" w:rsidP="00FB01BD">
            <w:pPr>
              <w:rPr>
                <w:rFonts w:ascii="Cambria" w:hAnsi="Cambria"/>
              </w:rPr>
            </w:pPr>
            <w:r>
              <w:rPr>
                <w:rFonts w:ascii="Cambria" w:hAnsi="Cambria"/>
              </w:rPr>
              <w:t>0.63</w:t>
            </w:r>
          </w:p>
        </w:tc>
        <w:tc>
          <w:tcPr>
            <w:tcW w:w="1558" w:type="dxa"/>
          </w:tcPr>
          <w:p w:rsidR="009E0311" w:rsidRPr="00AF6AB5" w:rsidRDefault="00BE264B" w:rsidP="00FB01BD">
            <w:pPr>
              <w:rPr>
                <w:rFonts w:ascii="Cambria" w:hAnsi="Cambria"/>
              </w:rPr>
            </w:pPr>
            <w:r>
              <w:rPr>
                <w:rFonts w:ascii="Cambria" w:eastAsia="Times New Roman" w:hAnsi="Cambria" w:cs="Courier New"/>
                <w:color w:val="404040"/>
              </w:rPr>
              <w:t>1</w:t>
            </w:r>
          </w:p>
        </w:tc>
        <w:tc>
          <w:tcPr>
            <w:tcW w:w="1184" w:type="dxa"/>
          </w:tcPr>
          <w:p w:rsidR="009E0311" w:rsidRPr="00AF6AB5" w:rsidRDefault="00BF3798" w:rsidP="00FB01BD">
            <w:pPr>
              <w:rPr>
                <w:rFonts w:ascii="Cambria" w:hAnsi="Cambria"/>
              </w:rPr>
            </w:pPr>
            <w:r w:rsidRPr="00AF6AB5">
              <w:rPr>
                <w:rFonts w:ascii="Cambria" w:hAnsi="Cambria"/>
              </w:rPr>
              <w:t>-0.</w:t>
            </w:r>
            <w:r w:rsidR="00584AD8">
              <w:rPr>
                <w:rFonts w:ascii="Cambria" w:hAnsi="Cambria"/>
              </w:rPr>
              <w:t>0</w:t>
            </w:r>
            <w:r w:rsidRPr="00AF6AB5">
              <w:rPr>
                <w:rFonts w:ascii="Cambria" w:hAnsi="Cambria"/>
              </w:rPr>
              <w:t>9</w:t>
            </w:r>
          </w:p>
        </w:tc>
        <w:tc>
          <w:tcPr>
            <w:tcW w:w="1080" w:type="dxa"/>
          </w:tcPr>
          <w:p w:rsidR="009E0311" w:rsidRPr="00AF6AB5" w:rsidRDefault="008C2087" w:rsidP="00FB01BD">
            <w:pPr>
              <w:rPr>
                <w:rFonts w:ascii="Cambria" w:hAnsi="Cambria"/>
              </w:rPr>
            </w:pPr>
            <w:r w:rsidRPr="00AF6AB5">
              <w:rPr>
                <w:rFonts w:ascii="Cambria" w:hAnsi="Cambria"/>
              </w:rPr>
              <w:t>-0.</w:t>
            </w:r>
            <w:r w:rsidR="00584AD8">
              <w:rPr>
                <w:rFonts w:ascii="Cambria" w:hAnsi="Cambria"/>
              </w:rPr>
              <w:t>09</w:t>
            </w:r>
          </w:p>
        </w:tc>
      </w:tr>
      <w:tr w:rsidR="009E0311" w:rsidTr="00AF6AB5">
        <w:tc>
          <w:tcPr>
            <w:tcW w:w="1558" w:type="dxa"/>
          </w:tcPr>
          <w:p w:rsidR="009E0311" w:rsidRPr="00AF6AB5" w:rsidRDefault="009E0311" w:rsidP="00FB01BD">
            <w:pPr>
              <w:rPr>
                <w:rFonts w:ascii="Cambria" w:hAnsi="Cambria"/>
              </w:rPr>
            </w:pPr>
            <w:r w:rsidRPr="009E0311">
              <w:rPr>
                <w:rFonts w:ascii="Cambria" w:eastAsia="Times New Roman" w:hAnsi="Cambria" w:cs="Courier New"/>
                <w:color w:val="404040"/>
              </w:rPr>
              <w:t xml:space="preserve">Oil   </w:t>
            </w:r>
          </w:p>
        </w:tc>
        <w:tc>
          <w:tcPr>
            <w:tcW w:w="867" w:type="dxa"/>
          </w:tcPr>
          <w:p w:rsidR="009E0311" w:rsidRPr="00AF6AB5" w:rsidRDefault="00ED0E7F" w:rsidP="00FB01BD">
            <w:pPr>
              <w:rPr>
                <w:rFonts w:ascii="Cambria" w:hAnsi="Cambria"/>
              </w:rPr>
            </w:pPr>
            <w:r>
              <w:rPr>
                <w:rFonts w:ascii="Cambria" w:eastAsia="Times New Roman" w:hAnsi="Cambria" w:cs="Courier New"/>
                <w:color w:val="404040"/>
              </w:rPr>
              <w:t>0.3</w:t>
            </w:r>
          </w:p>
        </w:tc>
        <w:tc>
          <w:tcPr>
            <w:tcW w:w="1398" w:type="dxa"/>
          </w:tcPr>
          <w:p w:rsidR="009E0311" w:rsidRPr="00AF6AB5" w:rsidRDefault="00D81DB2" w:rsidP="00FB01BD">
            <w:pPr>
              <w:rPr>
                <w:rFonts w:ascii="Cambria" w:hAnsi="Cambria"/>
              </w:rPr>
            </w:pPr>
            <w:r w:rsidRPr="00AF6AB5">
              <w:rPr>
                <w:rFonts w:ascii="Cambria" w:hAnsi="Cambria"/>
              </w:rPr>
              <w:t>-0.</w:t>
            </w:r>
            <w:r w:rsidR="00745000">
              <w:rPr>
                <w:rFonts w:ascii="Cambria" w:hAnsi="Cambria"/>
              </w:rPr>
              <w:t>08</w:t>
            </w:r>
          </w:p>
        </w:tc>
        <w:tc>
          <w:tcPr>
            <w:tcW w:w="1558" w:type="dxa"/>
          </w:tcPr>
          <w:p w:rsidR="009E0311" w:rsidRPr="00AF6AB5" w:rsidRDefault="005408AB" w:rsidP="00FB01BD">
            <w:pPr>
              <w:rPr>
                <w:rFonts w:ascii="Cambria" w:hAnsi="Cambria"/>
              </w:rPr>
            </w:pPr>
            <w:r w:rsidRPr="00AF6AB5">
              <w:rPr>
                <w:rFonts w:ascii="Cambria" w:eastAsia="Times New Roman" w:hAnsi="Cambria" w:cs="Courier New"/>
                <w:color w:val="404040"/>
              </w:rPr>
              <w:t>-0.</w:t>
            </w:r>
            <w:r w:rsidR="00F4437E">
              <w:rPr>
                <w:rFonts w:ascii="Cambria" w:eastAsia="Times New Roman" w:hAnsi="Cambria" w:cs="Courier New"/>
                <w:color w:val="404040"/>
              </w:rPr>
              <w:t>09</w:t>
            </w:r>
          </w:p>
        </w:tc>
        <w:tc>
          <w:tcPr>
            <w:tcW w:w="1184" w:type="dxa"/>
          </w:tcPr>
          <w:p w:rsidR="009E0311" w:rsidRPr="00AF6AB5" w:rsidRDefault="00BE264B" w:rsidP="00FB01BD">
            <w:pPr>
              <w:rPr>
                <w:rFonts w:ascii="Cambria" w:hAnsi="Cambria"/>
              </w:rPr>
            </w:pPr>
            <w:r>
              <w:rPr>
                <w:rFonts w:ascii="Cambria" w:hAnsi="Cambria"/>
              </w:rPr>
              <w:t>1</w:t>
            </w:r>
          </w:p>
        </w:tc>
        <w:tc>
          <w:tcPr>
            <w:tcW w:w="1080" w:type="dxa"/>
          </w:tcPr>
          <w:p w:rsidR="009E0311" w:rsidRPr="00AF6AB5" w:rsidRDefault="00B51998" w:rsidP="00FB01BD">
            <w:pPr>
              <w:rPr>
                <w:rFonts w:ascii="Cambria" w:hAnsi="Cambria"/>
              </w:rPr>
            </w:pPr>
            <w:r>
              <w:rPr>
                <w:rFonts w:ascii="Cambria" w:hAnsi="Cambria"/>
              </w:rPr>
              <w:t>0</w:t>
            </w:r>
            <w:r w:rsidR="008C2087" w:rsidRPr="00AF6AB5">
              <w:rPr>
                <w:rFonts w:ascii="Cambria" w:hAnsi="Cambria"/>
              </w:rPr>
              <w:t>.</w:t>
            </w:r>
            <w:r w:rsidR="00C72DF2">
              <w:rPr>
                <w:rFonts w:ascii="Cambria" w:hAnsi="Cambria"/>
              </w:rPr>
              <w:t>1</w:t>
            </w:r>
            <w:r w:rsidR="003A4222">
              <w:rPr>
                <w:rFonts w:ascii="Cambria" w:hAnsi="Cambria"/>
              </w:rPr>
              <w:t>9</w:t>
            </w:r>
          </w:p>
        </w:tc>
      </w:tr>
      <w:tr w:rsidR="009E0311" w:rsidTr="00AF6AB5">
        <w:tc>
          <w:tcPr>
            <w:tcW w:w="1558" w:type="dxa"/>
          </w:tcPr>
          <w:p w:rsidR="009E0311" w:rsidRPr="00AF6AB5" w:rsidRDefault="009E0311" w:rsidP="00FB01BD">
            <w:pPr>
              <w:rPr>
                <w:rFonts w:ascii="Cambria" w:hAnsi="Cambria"/>
              </w:rPr>
            </w:pPr>
            <w:r w:rsidRPr="009E0311">
              <w:rPr>
                <w:rFonts w:ascii="Cambria" w:eastAsia="Times New Roman" w:hAnsi="Cambria" w:cs="Courier New"/>
                <w:color w:val="404040"/>
              </w:rPr>
              <w:t xml:space="preserve">Gold  </w:t>
            </w:r>
          </w:p>
        </w:tc>
        <w:tc>
          <w:tcPr>
            <w:tcW w:w="867" w:type="dxa"/>
          </w:tcPr>
          <w:p w:rsidR="009E0311" w:rsidRPr="00AF6AB5" w:rsidRDefault="00BC7DA9" w:rsidP="00FB01BD">
            <w:pPr>
              <w:rPr>
                <w:rFonts w:ascii="Cambria" w:hAnsi="Cambria"/>
              </w:rPr>
            </w:pPr>
            <w:r w:rsidRPr="00AF6AB5">
              <w:rPr>
                <w:rFonts w:ascii="Cambria" w:eastAsia="Times New Roman" w:hAnsi="Cambria" w:cs="Courier New"/>
                <w:color w:val="404040"/>
              </w:rPr>
              <w:t>0.</w:t>
            </w:r>
            <w:r w:rsidR="00F80F74">
              <w:rPr>
                <w:rFonts w:ascii="Cambria" w:eastAsia="Times New Roman" w:hAnsi="Cambria" w:cs="Courier New"/>
                <w:color w:val="404040"/>
              </w:rPr>
              <w:t>12</w:t>
            </w:r>
          </w:p>
        </w:tc>
        <w:tc>
          <w:tcPr>
            <w:tcW w:w="1398" w:type="dxa"/>
          </w:tcPr>
          <w:p w:rsidR="009E0311" w:rsidRPr="00AF6AB5" w:rsidRDefault="00386864" w:rsidP="00FB01BD">
            <w:pPr>
              <w:rPr>
                <w:rFonts w:ascii="Cambria" w:hAnsi="Cambria"/>
              </w:rPr>
            </w:pPr>
            <w:r>
              <w:rPr>
                <w:rFonts w:ascii="Cambria" w:hAnsi="Cambria"/>
              </w:rPr>
              <w:t>-0.08</w:t>
            </w:r>
          </w:p>
        </w:tc>
        <w:tc>
          <w:tcPr>
            <w:tcW w:w="1558" w:type="dxa"/>
          </w:tcPr>
          <w:p w:rsidR="009E0311" w:rsidRPr="00AF6AB5" w:rsidRDefault="005408AB" w:rsidP="00FB01BD">
            <w:pPr>
              <w:rPr>
                <w:rFonts w:ascii="Cambria" w:hAnsi="Cambria"/>
              </w:rPr>
            </w:pPr>
            <w:r w:rsidRPr="00AF6AB5">
              <w:rPr>
                <w:rFonts w:ascii="Cambria" w:eastAsia="Times New Roman" w:hAnsi="Cambria" w:cs="Courier New"/>
                <w:color w:val="404040"/>
              </w:rPr>
              <w:t>-0.</w:t>
            </w:r>
            <w:r w:rsidR="00FD5319">
              <w:rPr>
                <w:rFonts w:ascii="Cambria" w:eastAsia="Times New Roman" w:hAnsi="Cambria" w:cs="Courier New"/>
                <w:color w:val="404040"/>
              </w:rPr>
              <w:t>09</w:t>
            </w:r>
          </w:p>
        </w:tc>
        <w:tc>
          <w:tcPr>
            <w:tcW w:w="1184" w:type="dxa"/>
          </w:tcPr>
          <w:p w:rsidR="009E0311" w:rsidRPr="00AF6AB5" w:rsidRDefault="003A4222" w:rsidP="00FB01BD">
            <w:pPr>
              <w:rPr>
                <w:rFonts w:ascii="Cambria" w:hAnsi="Cambria"/>
              </w:rPr>
            </w:pPr>
            <w:r>
              <w:rPr>
                <w:rFonts w:ascii="Cambria" w:hAnsi="Cambria"/>
              </w:rPr>
              <w:t>0.19</w:t>
            </w:r>
          </w:p>
        </w:tc>
        <w:tc>
          <w:tcPr>
            <w:tcW w:w="1080" w:type="dxa"/>
          </w:tcPr>
          <w:p w:rsidR="009E0311" w:rsidRPr="00AF6AB5" w:rsidRDefault="00BE264B" w:rsidP="00FB01BD">
            <w:pPr>
              <w:rPr>
                <w:rFonts w:ascii="Cambria" w:hAnsi="Cambria"/>
              </w:rPr>
            </w:pPr>
            <w:r>
              <w:rPr>
                <w:rFonts w:ascii="Cambria" w:hAnsi="Cambria"/>
              </w:rPr>
              <w:t>1</w:t>
            </w:r>
          </w:p>
        </w:tc>
      </w:tr>
    </w:tbl>
    <w:p w:rsidR="009E0311" w:rsidRDefault="009E0311" w:rsidP="00FB01BD">
      <w:pPr>
        <w:rPr>
          <w:rFonts w:ascii="Cambria" w:hAnsi="Cambria"/>
        </w:rPr>
      </w:pPr>
    </w:p>
    <w:p w:rsidR="0029206B" w:rsidRDefault="00E07745" w:rsidP="00E07745">
      <w:pPr>
        <w:pStyle w:val="Heading2"/>
      </w:pPr>
      <w:r>
        <w:t>Mean Variance Efficiency (MVE)</w:t>
      </w:r>
    </w:p>
    <w:p w:rsidR="00E07745" w:rsidRDefault="00E07745" w:rsidP="00E07745"/>
    <w:p w:rsidR="00E503C2" w:rsidRDefault="00E07745" w:rsidP="00E503C2">
      <w:pPr>
        <w:rPr>
          <w:rFonts w:ascii="Cambria" w:hAnsi="Cambria"/>
        </w:rPr>
      </w:pPr>
      <w:r w:rsidRPr="009445D4">
        <w:rPr>
          <w:rFonts w:ascii="Cambria" w:hAnsi="Cambria"/>
        </w:rPr>
        <w:t xml:space="preserve">Given the covariance matrix and the returns of the assets, </w:t>
      </w:r>
      <w:r w:rsidR="006641F9">
        <w:rPr>
          <w:rFonts w:ascii="Cambria" w:hAnsi="Cambria"/>
        </w:rPr>
        <w:t>the S</w:t>
      </w:r>
      <w:r w:rsidRPr="009445D4">
        <w:rPr>
          <w:rFonts w:ascii="Cambria" w:hAnsi="Cambria"/>
        </w:rPr>
        <w:t>harpe ratio of the M</w:t>
      </w:r>
      <w:r w:rsidR="00B3516E" w:rsidRPr="009445D4">
        <w:rPr>
          <w:rFonts w:ascii="Cambria" w:hAnsi="Cambria"/>
        </w:rPr>
        <w:t>VE portfolio</w:t>
      </w:r>
      <w:r w:rsidR="0035201C">
        <w:rPr>
          <w:rFonts w:ascii="Cambria" w:hAnsi="Cambria"/>
        </w:rPr>
        <w:t xml:space="preserve"> can be calculated</w:t>
      </w:r>
      <w:r w:rsidR="00AD2E92" w:rsidRPr="009445D4">
        <w:rPr>
          <w:rFonts w:ascii="Cambria" w:hAnsi="Cambria"/>
        </w:rPr>
        <w:t xml:space="preserve">. </w:t>
      </w:r>
      <w:r w:rsidR="009445D4">
        <w:rPr>
          <w:rFonts w:ascii="Cambria" w:hAnsi="Cambria"/>
        </w:rPr>
        <w:t>This S</w:t>
      </w:r>
      <w:r w:rsidR="00AD2E92" w:rsidRPr="009445D4">
        <w:rPr>
          <w:rFonts w:ascii="Cambria" w:hAnsi="Cambria"/>
        </w:rPr>
        <w:t>harpe ratio can be used along with a user defined standard deviation to get the returns of the portfolio.</w:t>
      </w:r>
    </w:p>
    <w:p w:rsidR="00E503C2" w:rsidRPr="00E503C2" w:rsidRDefault="00E503C2" w:rsidP="00E503C2">
      <w:pPr>
        <w:rPr>
          <w:rFonts w:ascii="Cambria" w:hAnsi="Cambria"/>
        </w:rPr>
      </w:pPr>
      <m:oMathPara>
        <m:oMath>
          <m:r>
            <w:rPr>
              <w:rFonts w:ascii="Cambria Math" w:hAnsi="Cambria Math"/>
            </w:rPr>
            <m:t>Sharpe Rati</m:t>
          </m:r>
          <m:sSub>
            <m:sSubPr>
              <m:ctrlPr>
                <w:rPr>
                  <w:rFonts w:ascii="Cambria Math" w:hAnsi="Cambria Math"/>
                  <w:sz w:val="24"/>
                  <w:szCs w:val="24"/>
                </w:rPr>
              </m:ctrlPr>
            </m:sSubPr>
            <m:e>
              <m:r>
                <w:rPr>
                  <w:rFonts w:ascii="Cambria Math" w:hAnsi="Cambria Math"/>
                </w:rPr>
                <m:t>o</m:t>
              </m:r>
            </m:e>
            <m:sub>
              <m:r>
                <w:rPr>
                  <w:rFonts w:ascii="Cambria Math" w:hAnsi="Cambria Math"/>
                </w:rPr>
                <m:t>MVE</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R</m:t>
                          </m:r>
                        </m:e>
                      </m:bar>
                    </m:e>
                    <m:sup>
                      <m:r>
                        <w:rPr>
                          <w:rFonts w:ascii="Cambria Math" w:hAnsi="Cambria Math"/>
                        </w:rPr>
                        <m:t>e</m:t>
                      </m:r>
                    </m:sup>
                  </m:sSup>
                </m:e>
              </m:d>
            </m:e>
            <m:sup>
              <m:r>
                <w:rPr>
                  <w:rFonts w:ascii="Cambria Math" w:hAnsi="Cambria Math"/>
                </w:rPr>
                <m:t>'</m:t>
              </m:r>
            </m:sup>
          </m:sSup>
          <m:r>
            <w:rPr>
              <w:rFonts w:ascii="Cambria Math" w:hAnsi="Cambria Math"/>
            </w:rPr>
            <m:t xml:space="preserve"> Σ  </m:t>
          </m:r>
          <m:sSup>
            <m:sSupPr>
              <m:ctrlPr>
                <w:rPr>
                  <w:rFonts w:ascii="Cambria Math" w:hAnsi="Cambria Math"/>
                </w:rPr>
              </m:ctrlPr>
            </m:sSupPr>
            <m:e>
              <m:bar>
                <m:barPr>
                  <m:pos m:val="top"/>
                  <m:ctrlPr>
                    <w:rPr>
                      <w:rFonts w:ascii="Cambria Math" w:hAnsi="Cambria Math"/>
                    </w:rPr>
                  </m:ctrlPr>
                </m:barPr>
                <m:e>
                  <m:r>
                    <w:rPr>
                      <w:rFonts w:ascii="Cambria Math" w:hAnsi="Cambria Math"/>
                    </w:rPr>
                    <m:t>R</m:t>
                  </m:r>
                </m:e>
              </m:bar>
            </m:e>
            <m:sup>
              <m:r>
                <w:rPr>
                  <w:rFonts w:ascii="Cambria Math" w:hAnsi="Cambria Math"/>
                </w:rPr>
                <m:t>e</m:t>
              </m:r>
            </m:sup>
          </m:sSup>
          <m:r>
            <m:rPr>
              <m:sty m:val="p"/>
            </m:rPr>
            <w:br/>
          </m:r>
        </m:oMath>
      </m:oMathPara>
      <w:r w:rsidRPr="0035201C">
        <w:rPr>
          <w:rFonts w:ascii="Cambria" w:hAnsi="Cambria"/>
        </w:rPr>
        <w:t>where</w:t>
      </w:r>
      <w:r>
        <w:br/>
      </w:r>
      <m:oMath>
        <m:sSup>
          <m:sSupPr>
            <m:ctrlPr>
              <w:rPr>
                <w:rFonts w:ascii="Cambria Math" w:hAnsi="Cambria Math"/>
              </w:rPr>
            </m:ctrlPr>
          </m:sSupPr>
          <m:e>
            <m:bar>
              <m:barPr>
                <m:pos m:val="top"/>
                <m:ctrlPr>
                  <w:rPr>
                    <w:rFonts w:ascii="Cambria Math" w:hAnsi="Cambria Math"/>
                  </w:rPr>
                </m:ctrlPr>
              </m:barPr>
              <m:e>
                <m:r>
                  <w:rPr>
                    <w:rFonts w:ascii="Cambria Math" w:hAnsi="Cambria Math"/>
                  </w:rPr>
                  <m:t>R</m:t>
                </m:r>
              </m:e>
            </m:bar>
          </m:e>
          <m:sup>
            <m:r>
              <w:rPr>
                <w:rFonts w:ascii="Cambria Math" w:hAnsi="Cambria Math"/>
              </w:rPr>
              <m:t>e</m:t>
            </m:r>
          </m:sup>
        </m:sSup>
      </m:oMath>
      <w:r>
        <w:t xml:space="preserve"> </w:t>
      </w:r>
      <w:r w:rsidRPr="00AF1751">
        <w:rPr>
          <w:rFonts w:ascii="Cambria" w:hAnsi="Cambria"/>
        </w:rPr>
        <w:t>is the average excess returns of the assets</w:t>
      </w:r>
      <w:r w:rsidRPr="00AF1751">
        <w:rPr>
          <w:rFonts w:ascii="Cambria" w:hAnsi="Cambria"/>
        </w:rPr>
        <w:br/>
      </w:r>
      <m:oMath>
        <m:r>
          <w:rPr>
            <w:rFonts w:ascii="Cambria Math" w:hAnsi="Cambria Math"/>
          </w:rPr>
          <m:t>Σ</m:t>
        </m:r>
      </m:oMath>
      <w:r w:rsidRPr="00B62058">
        <w:rPr>
          <w:rFonts w:ascii="Cambria" w:hAnsi="Cambria"/>
        </w:rPr>
        <w:t xml:space="preserve"> is the covariance matrix of the assets</w:t>
      </w:r>
    </w:p>
    <w:p w:rsidR="00E07745" w:rsidRDefault="00FD5C17" w:rsidP="00E503C2">
      <w:pPr>
        <w:rPr>
          <w:rFonts w:ascii="Cambria" w:hAnsi="Cambria"/>
        </w:rPr>
      </w:pPr>
      <w:r>
        <w:rPr>
          <w:rFonts w:ascii="Cambria" w:hAnsi="Cambria"/>
        </w:rPr>
        <w:t xml:space="preserve">The annual Sharpe ratio of the Mean variance optimized portfolio is </w:t>
      </w:r>
      <w:r w:rsidRPr="0035201C">
        <w:rPr>
          <w:rFonts w:ascii="Cambria" w:hAnsi="Cambria"/>
          <w:b/>
        </w:rPr>
        <w:t>1.554</w:t>
      </w:r>
    </w:p>
    <w:p w:rsidR="0035201C" w:rsidRDefault="0035201C" w:rsidP="0035201C">
      <w:pPr>
        <w:pStyle w:val="Heading2"/>
      </w:pPr>
    </w:p>
    <w:p w:rsidR="0035201C" w:rsidRPr="0035201C" w:rsidRDefault="0035201C" w:rsidP="0035201C">
      <w:pPr>
        <w:pStyle w:val="Heading2"/>
      </w:pPr>
      <w:r w:rsidRPr="0035201C">
        <w:t>Weights calculation</w:t>
      </w:r>
    </w:p>
    <w:p w:rsidR="008F0CC3" w:rsidRDefault="0035201C" w:rsidP="00E503C2">
      <w:pPr>
        <w:rPr>
          <w:rFonts w:ascii="Cambria" w:hAnsi="Cambria"/>
        </w:rPr>
      </w:pPr>
      <w:r>
        <w:rPr>
          <w:rFonts w:ascii="Cambria" w:hAnsi="Cambria"/>
        </w:rPr>
        <w:t xml:space="preserve">To come up with the weights of the assets, </w:t>
      </w:r>
      <w:r w:rsidR="008F0CC3">
        <w:rPr>
          <w:rFonts w:ascii="Cambria" w:hAnsi="Cambria"/>
        </w:rPr>
        <w:t xml:space="preserve">an accepted </w:t>
      </w:r>
      <w:r w:rsidR="005E52A5">
        <w:rPr>
          <w:rFonts w:ascii="Cambria" w:hAnsi="Cambria"/>
        </w:rPr>
        <w:t>return</w:t>
      </w:r>
      <w:r w:rsidR="008F0CC3">
        <w:rPr>
          <w:rFonts w:ascii="Cambria" w:hAnsi="Cambria"/>
        </w:rPr>
        <w:t xml:space="preserve"> must be chosen. This will be based on client’s propensity for risk. At this point, </w:t>
      </w:r>
      <w:r w:rsidR="009A137B">
        <w:rPr>
          <w:rFonts w:ascii="Cambria" w:hAnsi="Cambria"/>
        </w:rPr>
        <w:t xml:space="preserve">we choose the return of the portfolio as </w:t>
      </w:r>
      <w:r w:rsidR="008F0CC3" w:rsidRPr="008F0CC3">
        <w:rPr>
          <w:rFonts w:ascii="Cambria" w:hAnsi="Cambria"/>
          <w:b/>
        </w:rPr>
        <w:t>23%</w:t>
      </w:r>
      <w:r w:rsidR="008F0CC3">
        <w:rPr>
          <w:rFonts w:ascii="Cambria" w:hAnsi="Cambria"/>
        </w:rPr>
        <w:t>.</w:t>
      </w:r>
      <w:r w:rsidR="00300726">
        <w:rPr>
          <w:rFonts w:ascii="Cambria" w:hAnsi="Cambria"/>
        </w:rPr>
        <w:t xml:space="preserve"> This would lead to an approximate standard deviation of </w:t>
      </w:r>
      <w:r w:rsidR="00300726" w:rsidRPr="00300726">
        <w:rPr>
          <w:rFonts w:ascii="Cambria" w:hAnsi="Cambria"/>
          <w:b/>
        </w:rPr>
        <w:t>15%</w:t>
      </w:r>
    </w:p>
    <w:p w:rsidR="008F0CC3" w:rsidRDefault="00F627CE" w:rsidP="00E503C2">
      <w:pPr>
        <w:rPr>
          <w:rFonts w:ascii="Cambria" w:hAnsi="Cambria"/>
        </w:rPr>
      </w:pPr>
      <w:r>
        <w:rPr>
          <w:rFonts w:ascii="Cambria" w:hAnsi="Cambria"/>
        </w:rPr>
        <w:t>For the calculating the weights(w),</w:t>
      </w:r>
      <w:r w:rsidR="008F0CC3">
        <w:rPr>
          <w:rFonts w:ascii="Cambria" w:hAnsi="Cambria"/>
        </w:rPr>
        <w:t xml:space="preserve"> we need to use </w:t>
      </w:r>
      <w:r w:rsidR="005E52A5">
        <w:rPr>
          <w:rFonts w:ascii="Cambria" w:hAnsi="Cambria"/>
        </w:rPr>
        <w:t>come up with</w:t>
      </w:r>
      <w:r w:rsidR="00C67825">
        <w:rPr>
          <w:rFonts w:ascii="Cambria" w:hAnsi="Cambria"/>
        </w:rPr>
        <w:t xml:space="preserve"> the objective function, which is to minimize variance, given the return</w:t>
      </w:r>
      <w:r>
        <w:rPr>
          <w:rFonts w:ascii="Cambria" w:hAnsi="Cambria"/>
        </w:rPr>
        <w:t xml:space="preserve"> (m)</w:t>
      </w:r>
      <w:r w:rsidR="00C67825">
        <w:rPr>
          <w:rFonts w:ascii="Cambria" w:hAnsi="Cambria"/>
        </w:rPr>
        <w:t>.</w:t>
      </w:r>
    </w:p>
    <w:p w:rsidR="00084011" w:rsidRPr="009A4145" w:rsidRDefault="009A4145" w:rsidP="009A4145">
      <w:pPr>
        <w:ind w:left="1440" w:firstLine="720"/>
        <w:rPr>
          <w:rFonts w:ascii="Cambria Math" w:hAnsi="Cambria Math"/>
          <w:i/>
          <w:iCs/>
        </w:rPr>
      </w:pPr>
      <w:r>
        <w:rPr>
          <w:rFonts w:ascii="Cambria Math" w:hAnsi="Cambria Math"/>
          <w:i/>
          <w:iCs/>
        </w:rPr>
        <w:t xml:space="preserve">             </w:t>
      </w:r>
      <w:r w:rsidR="00084011" w:rsidRPr="009A4145">
        <w:rPr>
          <w:rFonts w:ascii="Cambria Math" w:hAnsi="Cambria Math"/>
          <w:i/>
          <w:iCs/>
        </w:rPr>
        <w:t xml:space="preserve">min </w:t>
      </w:r>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w'Σ w-k(w'</m:t>
        </m:r>
        <m:sSup>
          <m:sSupPr>
            <m:ctrlPr>
              <w:rPr>
                <w:rFonts w:ascii="Cambria Math" w:hAnsi="Cambria Math"/>
                <w:i/>
                <w:iCs/>
              </w:rPr>
            </m:ctrlPr>
          </m:sSupPr>
          <m:e>
            <m:bar>
              <m:barPr>
                <m:pos m:val="top"/>
                <m:ctrlPr>
                  <w:rPr>
                    <w:rFonts w:ascii="Cambria Math" w:hAnsi="Cambria Math"/>
                    <w:i/>
                    <w:iCs/>
                  </w:rPr>
                </m:ctrlPr>
              </m:barPr>
              <m:e>
                <m:r>
                  <w:rPr>
                    <w:rFonts w:ascii="Cambria Math" w:hAnsi="Cambria Math"/>
                  </w:rPr>
                  <m:t>R</m:t>
                </m:r>
              </m:e>
            </m:bar>
          </m:e>
          <m:sup>
            <m:r>
              <w:rPr>
                <w:rFonts w:ascii="Cambria Math" w:hAnsi="Cambria Math"/>
              </w:rPr>
              <m:t>e</m:t>
            </m:r>
          </m:sup>
        </m:sSup>
        <m:r>
          <w:rPr>
            <w:rFonts w:ascii="Cambria Math" w:hAnsi="Cambria Math"/>
          </w:rPr>
          <m:t>-m)</m:t>
        </m:r>
      </m:oMath>
    </w:p>
    <w:p w:rsidR="00084011" w:rsidRPr="001A0C85" w:rsidRDefault="001A0C85" w:rsidP="001A0C85">
      <w:pPr>
        <w:rPr>
          <w:rFonts w:ascii="Cambria" w:hAnsi="Cambria"/>
        </w:rPr>
      </w:pPr>
      <w:r>
        <w:rPr>
          <w:rFonts w:ascii="Cambria" w:hAnsi="Cambria"/>
        </w:rPr>
        <w:t>If we f</w:t>
      </w:r>
      <w:r w:rsidR="00084011" w:rsidRPr="001A0C85">
        <w:rPr>
          <w:rFonts w:ascii="Cambria" w:hAnsi="Cambria"/>
        </w:rPr>
        <w:t>irst order differential w.r.t w and set it to 0 to minimize</w:t>
      </w:r>
    </w:p>
    <w:p w:rsidR="00084011" w:rsidRPr="001E433B" w:rsidRDefault="009A4145" w:rsidP="009A4145">
      <w:pPr>
        <w:ind w:left="1440" w:firstLine="720"/>
        <w:rPr>
          <w:rFonts w:ascii="Cambria" w:hAnsi="Cambria"/>
        </w:rPr>
      </w:pPr>
      <w:r>
        <w:rPr>
          <w:rFonts w:ascii="Cambria" w:eastAsiaTheme="minorEastAsia" w:hAnsi="Cambria"/>
          <w:iCs/>
        </w:rPr>
        <w:t xml:space="preserve">          </w:t>
      </w:r>
      <m:oMath>
        <m:r>
          <w:rPr>
            <w:rFonts w:ascii="Cambria Math" w:hAnsi="Cambria Math"/>
          </w:rPr>
          <m:t>Ωw</m:t>
        </m:r>
        <m:r>
          <m:rPr>
            <m:sty m:val="p"/>
          </m:rPr>
          <w:rPr>
            <w:rFonts w:ascii="Cambria Math" w:hAnsi="Cambria Math"/>
          </w:rPr>
          <m:t>-</m:t>
        </m:r>
        <m:r>
          <w:rPr>
            <w:rFonts w:ascii="Cambria Math" w:hAnsi="Cambria Math"/>
          </w:rPr>
          <m:t>k</m:t>
        </m:r>
        <m:sSup>
          <m:sSupPr>
            <m:ctrlPr>
              <w:rPr>
                <w:rFonts w:ascii="Cambria Math" w:hAnsi="Cambria Math"/>
              </w:rPr>
            </m:ctrlPr>
          </m:sSupPr>
          <m:e>
            <m:bar>
              <m:barPr>
                <m:pos m:val="top"/>
                <m:ctrlPr>
                  <w:rPr>
                    <w:rFonts w:ascii="Cambria Math" w:hAnsi="Cambria Math"/>
                  </w:rPr>
                </m:ctrlPr>
              </m:barPr>
              <m:e>
                <m:r>
                  <w:rPr>
                    <w:rFonts w:ascii="Cambria Math" w:hAnsi="Cambria Math"/>
                  </w:rPr>
                  <m:t>R</m:t>
                </m:r>
              </m:e>
            </m:bar>
          </m:e>
          <m:sup>
            <m:r>
              <w:rPr>
                <w:rFonts w:ascii="Cambria Math" w:hAnsi="Cambria Math"/>
              </w:rPr>
              <m:t>e</m:t>
            </m:r>
          </m:sup>
        </m:sSup>
      </m:oMath>
      <w:r w:rsidR="00084011" w:rsidRPr="001E433B">
        <w:rPr>
          <w:rFonts w:ascii="Cambria" w:hAnsi="Cambria"/>
        </w:rPr>
        <w:t xml:space="preserve"> = 0</w:t>
      </w:r>
      <w:r w:rsidR="001E433B">
        <w:rPr>
          <w:rFonts w:ascii="Cambria" w:hAnsi="Cambria"/>
        </w:rPr>
        <w:t xml:space="preserve"> =&gt;</w:t>
      </w:r>
      <w:r w:rsidR="00084011" w:rsidRPr="001E433B">
        <w:rPr>
          <w:rFonts w:ascii="Cambria" w:hAnsi="Cambria"/>
        </w:rPr>
        <w:t xml:space="preserve"> </w:t>
      </w:r>
      <m:oMath>
        <m:sSup>
          <m:sSupPr>
            <m:ctrlPr>
              <w:rPr>
                <w:rFonts w:ascii="Cambria Math" w:hAnsi="Cambria Math"/>
              </w:rPr>
            </m:ctrlPr>
          </m:sSupPr>
          <m:e>
            <m:r>
              <w:rPr>
                <w:rFonts w:ascii="Cambria Math" w:hAnsi="Cambria Math"/>
              </w:rPr>
              <m:t>w</m:t>
            </m:r>
          </m:e>
          <m:sup>
            <m:r>
              <w:rPr>
                <w:rFonts w:ascii="Cambria Math" w:hAnsi="Cambria Math"/>
              </w:rPr>
              <m:t>MVE</m:t>
            </m:r>
          </m:sup>
        </m:sSup>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Ω</m:t>
            </m:r>
          </m:e>
          <m:sup>
            <m:r>
              <m:rPr>
                <m:sty m:val="p"/>
              </m:rPr>
              <w:rPr>
                <w:rFonts w:ascii="Cambria Math" w:hAnsi="Cambria Math"/>
              </w:rPr>
              <m:t>-1</m:t>
            </m:r>
          </m:sup>
        </m:sSup>
        <m:sSup>
          <m:sSupPr>
            <m:ctrlPr>
              <w:rPr>
                <w:rFonts w:ascii="Cambria Math" w:hAnsi="Cambria Math"/>
              </w:rPr>
            </m:ctrlPr>
          </m:sSupPr>
          <m:e>
            <m:bar>
              <m:barPr>
                <m:pos m:val="top"/>
                <m:ctrlPr>
                  <w:rPr>
                    <w:rFonts w:ascii="Cambria Math" w:hAnsi="Cambria Math"/>
                  </w:rPr>
                </m:ctrlPr>
              </m:barPr>
              <m:e>
                <m:r>
                  <w:rPr>
                    <w:rFonts w:ascii="Cambria Math" w:hAnsi="Cambria Math"/>
                  </w:rPr>
                  <m:t>R</m:t>
                </m:r>
              </m:e>
            </m:bar>
          </m:e>
          <m:sup>
            <m:r>
              <w:rPr>
                <w:rFonts w:ascii="Cambria Math" w:hAnsi="Cambria Math"/>
              </w:rPr>
              <m:t>e</m:t>
            </m:r>
          </m:sup>
        </m:sSup>
      </m:oMath>
    </w:p>
    <w:p w:rsidR="00084011" w:rsidRDefault="009A4145" w:rsidP="00E503C2">
      <w:pPr>
        <w:rPr>
          <w:rFonts w:ascii="Cambria" w:hAnsi="Cambria"/>
        </w:rPr>
      </w:pPr>
      <w:r>
        <w:rPr>
          <w:rFonts w:ascii="Cambria" w:hAnsi="Cambria"/>
        </w:rPr>
        <w:t>If we calculate k using the assumed return, then the weights of the assets come out as:</w:t>
      </w:r>
    </w:p>
    <w:tbl>
      <w:tblPr>
        <w:tblStyle w:val="TableGridLight"/>
        <w:tblW w:w="0" w:type="pct"/>
        <w:tblLook w:val="07E0" w:firstRow="1" w:lastRow="1" w:firstColumn="1" w:lastColumn="1" w:noHBand="1" w:noVBand="1"/>
      </w:tblPr>
      <w:tblGrid>
        <w:gridCol w:w="884"/>
        <w:gridCol w:w="1018"/>
        <w:gridCol w:w="838"/>
        <w:gridCol w:w="627"/>
        <w:gridCol w:w="822"/>
      </w:tblGrid>
      <w:tr w:rsidR="009A4145" w:rsidTr="004669B8">
        <w:tc>
          <w:tcPr>
            <w:tcW w:w="0" w:type="auto"/>
            <w:hideMark/>
          </w:tcPr>
          <w:p w:rsidR="009A4145" w:rsidRPr="001A419A" w:rsidRDefault="009A4145" w:rsidP="001A419A">
            <w:pPr>
              <w:rPr>
                <w:rFonts w:ascii="Cambria" w:hAnsi="Cambria"/>
              </w:rPr>
            </w:pPr>
            <w:r w:rsidRPr="001A419A">
              <w:rPr>
                <w:rFonts w:ascii="Cambria" w:hAnsi="Cambria"/>
              </w:rPr>
              <w:t>Energy</w:t>
            </w:r>
          </w:p>
        </w:tc>
        <w:tc>
          <w:tcPr>
            <w:tcW w:w="0" w:type="auto"/>
            <w:hideMark/>
          </w:tcPr>
          <w:p w:rsidR="009A4145" w:rsidRPr="001A419A" w:rsidRDefault="009A4145" w:rsidP="001A419A">
            <w:pPr>
              <w:rPr>
                <w:rFonts w:ascii="Cambria" w:hAnsi="Cambria"/>
              </w:rPr>
            </w:pPr>
            <w:r w:rsidRPr="001A419A">
              <w:rPr>
                <w:rFonts w:ascii="Cambria" w:hAnsi="Cambria"/>
              </w:rPr>
              <w:t>Telecom</w:t>
            </w:r>
          </w:p>
        </w:tc>
        <w:tc>
          <w:tcPr>
            <w:tcW w:w="0" w:type="auto"/>
            <w:hideMark/>
          </w:tcPr>
          <w:p w:rsidR="009A4145" w:rsidRPr="001A419A" w:rsidRDefault="009A4145" w:rsidP="001A419A">
            <w:pPr>
              <w:rPr>
                <w:rFonts w:ascii="Cambria" w:hAnsi="Cambria"/>
              </w:rPr>
            </w:pPr>
            <w:r w:rsidRPr="001A419A">
              <w:rPr>
                <w:rFonts w:ascii="Cambria" w:hAnsi="Cambria"/>
              </w:rPr>
              <w:t>Health</w:t>
            </w:r>
          </w:p>
        </w:tc>
        <w:tc>
          <w:tcPr>
            <w:tcW w:w="0" w:type="auto"/>
            <w:hideMark/>
          </w:tcPr>
          <w:p w:rsidR="009A4145" w:rsidRPr="001A419A" w:rsidRDefault="009A4145" w:rsidP="001A419A">
            <w:pPr>
              <w:rPr>
                <w:rFonts w:ascii="Cambria" w:hAnsi="Cambria"/>
              </w:rPr>
            </w:pPr>
            <w:r w:rsidRPr="001A419A">
              <w:rPr>
                <w:rFonts w:ascii="Cambria" w:hAnsi="Cambria"/>
              </w:rPr>
              <w:t>Oil</w:t>
            </w:r>
          </w:p>
        </w:tc>
        <w:tc>
          <w:tcPr>
            <w:tcW w:w="0" w:type="auto"/>
            <w:hideMark/>
          </w:tcPr>
          <w:p w:rsidR="009A4145" w:rsidRPr="001A419A" w:rsidRDefault="009A4145" w:rsidP="001A419A">
            <w:pPr>
              <w:rPr>
                <w:rFonts w:ascii="Cambria" w:hAnsi="Cambria"/>
              </w:rPr>
            </w:pPr>
            <w:r w:rsidRPr="001A419A">
              <w:rPr>
                <w:rFonts w:ascii="Cambria" w:hAnsi="Cambria"/>
              </w:rPr>
              <w:t>Gold</w:t>
            </w:r>
          </w:p>
        </w:tc>
      </w:tr>
      <w:tr w:rsidR="009A4145" w:rsidTr="004669B8">
        <w:tc>
          <w:tcPr>
            <w:tcW w:w="0" w:type="auto"/>
            <w:hideMark/>
          </w:tcPr>
          <w:p w:rsidR="009A4145" w:rsidRPr="001A419A" w:rsidRDefault="00300726" w:rsidP="001A419A">
            <w:pPr>
              <w:rPr>
                <w:rFonts w:ascii="Cambria" w:hAnsi="Cambria"/>
              </w:rPr>
            </w:pPr>
            <w:r w:rsidRPr="001A419A">
              <w:rPr>
                <w:rFonts w:ascii="Cambria" w:hAnsi="Cambria"/>
              </w:rPr>
              <w:t>1.47</w:t>
            </w:r>
          </w:p>
        </w:tc>
        <w:tc>
          <w:tcPr>
            <w:tcW w:w="0" w:type="auto"/>
            <w:hideMark/>
          </w:tcPr>
          <w:p w:rsidR="009A4145" w:rsidRPr="001A419A" w:rsidRDefault="009A4145" w:rsidP="001A419A">
            <w:pPr>
              <w:rPr>
                <w:rFonts w:ascii="Cambria" w:hAnsi="Cambria"/>
              </w:rPr>
            </w:pPr>
            <w:r w:rsidRPr="001A419A">
              <w:rPr>
                <w:rFonts w:ascii="Cambria" w:hAnsi="Cambria"/>
              </w:rPr>
              <w:t>2.07</w:t>
            </w:r>
          </w:p>
        </w:tc>
        <w:tc>
          <w:tcPr>
            <w:tcW w:w="0" w:type="auto"/>
            <w:hideMark/>
          </w:tcPr>
          <w:p w:rsidR="009A4145" w:rsidRPr="001A419A" w:rsidRDefault="009A4145" w:rsidP="001A419A">
            <w:pPr>
              <w:rPr>
                <w:rFonts w:ascii="Cambria" w:hAnsi="Cambria"/>
              </w:rPr>
            </w:pPr>
            <w:r w:rsidRPr="001A419A">
              <w:rPr>
                <w:rFonts w:ascii="Cambria" w:hAnsi="Cambria"/>
              </w:rPr>
              <w:t>0.83</w:t>
            </w:r>
          </w:p>
        </w:tc>
        <w:tc>
          <w:tcPr>
            <w:tcW w:w="0" w:type="auto"/>
            <w:hideMark/>
          </w:tcPr>
          <w:p w:rsidR="009A4145" w:rsidRPr="001A419A" w:rsidRDefault="009A4145" w:rsidP="001A419A">
            <w:pPr>
              <w:rPr>
                <w:rFonts w:ascii="Cambria" w:hAnsi="Cambria"/>
              </w:rPr>
            </w:pPr>
            <w:r w:rsidRPr="001A419A">
              <w:rPr>
                <w:rFonts w:ascii="Cambria" w:hAnsi="Cambria"/>
              </w:rPr>
              <w:t>1.11</w:t>
            </w:r>
          </w:p>
        </w:tc>
        <w:tc>
          <w:tcPr>
            <w:tcW w:w="0" w:type="auto"/>
            <w:hideMark/>
          </w:tcPr>
          <w:p w:rsidR="009A4145" w:rsidRPr="001A419A" w:rsidRDefault="009A4145" w:rsidP="001A419A">
            <w:pPr>
              <w:rPr>
                <w:rFonts w:ascii="Cambria" w:hAnsi="Cambria"/>
              </w:rPr>
            </w:pPr>
            <w:r w:rsidRPr="001A419A">
              <w:rPr>
                <w:rFonts w:ascii="Cambria" w:hAnsi="Cambria"/>
              </w:rPr>
              <w:t>-0.01</w:t>
            </w:r>
            <w:r w:rsidR="00300726" w:rsidRPr="001A419A">
              <w:rPr>
                <w:rFonts w:ascii="Cambria" w:hAnsi="Cambria"/>
              </w:rPr>
              <w:t>8</w:t>
            </w:r>
          </w:p>
        </w:tc>
      </w:tr>
    </w:tbl>
    <w:p w:rsidR="00211559" w:rsidRDefault="00211559" w:rsidP="00E503C2">
      <w:pPr>
        <w:rPr>
          <w:rFonts w:ascii="Cambria" w:hAnsi="Cambria"/>
        </w:rPr>
      </w:pPr>
    </w:p>
    <w:p w:rsidR="004669B8" w:rsidRDefault="00211559" w:rsidP="00E503C2">
      <w:pPr>
        <w:rPr>
          <w:rFonts w:ascii="Cambria" w:hAnsi="Cambria"/>
        </w:rPr>
      </w:pPr>
      <w:r>
        <w:rPr>
          <w:rFonts w:ascii="Cambria" w:hAnsi="Cambria"/>
        </w:rPr>
        <w:t>To</w:t>
      </w:r>
      <w:r w:rsidR="004669B8">
        <w:rPr>
          <w:rFonts w:ascii="Cambria" w:hAnsi="Cambria"/>
        </w:rPr>
        <w:t xml:space="preserve"> make the sum of weights add up to 1, we can borrow at risk free rate accordingly.</w:t>
      </w:r>
    </w:p>
    <w:p w:rsidR="00552078" w:rsidRPr="00FF6045" w:rsidRDefault="00552078" w:rsidP="00552078">
      <w:pPr>
        <w:pStyle w:val="Heading1"/>
      </w:pPr>
      <w:r>
        <w:t>Short Term Strategies</w:t>
      </w:r>
    </w:p>
    <w:p w:rsidR="00552078" w:rsidRDefault="00552078" w:rsidP="00552078">
      <w:pPr>
        <w:rPr>
          <w:rFonts w:ascii="Cambria" w:hAnsi="Cambria"/>
          <w:b/>
        </w:rPr>
      </w:pPr>
    </w:p>
    <w:p w:rsidR="00552078" w:rsidRDefault="00552078" w:rsidP="00552078">
      <w:pPr>
        <w:rPr>
          <w:rFonts w:ascii="Cambria" w:hAnsi="Cambria"/>
        </w:rPr>
      </w:pPr>
      <w:r>
        <w:rPr>
          <w:rFonts w:ascii="Cambria" w:hAnsi="Cambria"/>
        </w:rPr>
        <w:t xml:space="preserve">Apart from the asset allocation which has been done using the various asset classes, short term strategies can be used to increase the alpha of the portfolio allocation.  </w:t>
      </w:r>
      <w:r w:rsidR="008C0983">
        <w:rPr>
          <w:rFonts w:ascii="Cambria" w:hAnsi="Cambria"/>
        </w:rPr>
        <w:t>Two</w:t>
      </w:r>
      <w:r>
        <w:rPr>
          <w:rFonts w:ascii="Cambria" w:hAnsi="Cambria"/>
        </w:rPr>
        <w:t xml:space="preserve"> short term strategies have been identified:</w:t>
      </w:r>
    </w:p>
    <w:p w:rsidR="00552078" w:rsidRDefault="00552078" w:rsidP="00552078">
      <w:pPr>
        <w:pStyle w:val="ListParagraph"/>
        <w:numPr>
          <w:ilvl w:val="0"/>
          <w:numId w:val="1"/>
        </w:numPr>
        <w:rPr>
          <w:rFonts w:ascii="Cambria" w:hAnsi="Cambria"/>
        </w:rPr>
      </w:pPr>
      <w:r>
        <w:rPr>
          <w:rFonts w:ascii="Cambria" w:hAnsi="Cambria"/>
        </w:rPr>
        <w:t xml:space="preserve">Volatility changes - Long 1-year Tbill, Short twice the 10-year treasury and Long 20-year treasury </w:t>
      </w:r>
    </w:p>
    <w:p w:rsidR="00552078" w:rsidRPr="00A9537C" w:rsidRDefault="00552078" w:rsidP="00552078">
      <w:pPr>
        <w:pStyle w:val="ListParagraph"/>
        <w:numPr>
          <w:ilvl w:val="0"/>
          <w:numId w:val="1"/>
        </w:numPr>
        <w:rPr>
          <w:rFonts w:ascii="Cambria" w:hAnsi="Cambria"/>
        </w:rPr>
      </w:pPr>
      <w:r>
        <w:rPr>
          <w:rFonts w:ascii="Cambria" w:hAnsi="Cambria"/>
        </w:rPr>
        <w:t>Credit changes – Long BBB rated corporate bonds and short AAA rated corporate bonds</w:t>
      </w:r>
    </w:p>
    <w:p w:rsidR="008C0983" w:rsidRDefault="008C0983">
      <w:pPr>
        <w:rPr>
          <w:rFonts w:ascii="Cambria" w:hAnsi="Cambria"/>
        </w:rPr>
      </w:pPr>
      <w:r>
        <w:rPr>
          <w:rFonts w:ascii="Cambria" w:hAnsi="Cambria"/>
        </w:rPr>
        <w:br w:type="page"/>
      </w:r>
    </w:p>
    <w:p w:rsidR="00552078" w:rsidRPr="00CF3FF7" w:rsidRDefault="00552078" w:rsidP="00552078">
      <w:pPr>
        <w:rPr>
          <w:rFonts w:ascii="Cambria" w:hAnsi="Cambria"/>
        </w:rPr>
      </w:pPr>
    </w:p>
    <w:p w:rsidR="00552078" w:rsidRDefault="00552078" w:rsidP="00552078">
      <w:pPr>
        <w:pStyle w:val="Heading2"/>
      </w:pPr>
      <w:r w:rsidRPr="00FF6045">
        <w:t>Historical Performance</w:t>
      </w:r>
    </w:p>
    <w:p w:rsidR="00552078" w:rsidRDefault="00552078" w:rsidP="00552078">
      <w:pPr>
        <w:pStyle w:val="Heading3"/>
      </w:pPr>
    </w:p>
    <w:p w:rsidR="00552078" w:rsidRPr="00323898" w:rsidRDefault="007124CB" w:rsidP="00552078">
      <w:pPr>
        <w:rPr>
          <w:rFonts w:ascii="Cambria" w:hAnsi="Cambria"/>
        </w:rPr>
      </w:pPr>
      <w:r>
        <w:rPr>
          <w:rFonts w:ascii="Cambria" w:hAnsi="Cambria"/>
        </w:rPr>
        <w:t>The Sharpe Ratios of the 2</w:t>
      </w:r>
      <w:r w:rsidR="00552078" w:rsidRPr="00323898">
        <w:rPr>
          <w:rFonts w:ascii="Cambria" w:hAnsi="Cambria"/>
        </w:rPr>
        <w:t xml:space="preserve"> strategies </w:t>
      </w:r>
      <w:r w:rsidR="00552078">
        <w:rPr>
          <w:rFonts w:ascii="Cambria" w:hAnsi="Cambria"/>
        </w:rPr>
        <w:t>in the various rate hike periods are as below:</w:t>
      </w:r>
    </w:p>
    <w:p w:rsidR="00552078" w:rsidRPr="00323898" w:rsidRDefault="00552078" w:rsidP="00552078"/>
    <w:tbl>
      <w:tblPr>
        <w:tblStyle w:val="TableGrid"/>
        <w:tblW w:w="0" w:type="auto"/>
        <w:tblLook w:val="04A0" w:firstRow="1" w:lastRow="0" w:firstColumn="1" w:lastColumn="0" w:noHBand="0" w:noVBand="1"/>
      </w:tblPr>
      <w:tblGrid>
        <w:gridCol w:w="2337"/>
        <w:gridCol w:w="2338"/>
        <w:gridCol w:w="2338"/>
      </w:tblGrid>
      <w:tr w:rsidR="008C0983" w:rsidTr="00B768E6">
        <w:tc>
          <w:tcPr>
            <w:tcW w:w="2337" w:type="dxa"/>
          </w:tcPr>
          <w:p w:rsidR="008C0983" w:rsidRPr="00354E63" w:rsidRDefault="008C0983" w:rsidP="00B768E6">
            <w:pPr>
              <w:spacing w:after="160" w:line="259" w:lineRule="auto"/>
              <w:rPr>
                <w:rFonts w:ascii="Cambria" w:hAnsi="Cambria"/>
                <w:b/>
              </w:rPr>
            </w:pPr>
            <w:r w:rsidRPr="00354E63">
              <w:rPr>
                <w:rFonts w:ascii="Cambria" w:hAnsi="Cambria"/>
                <w:b/>
              </w:rPr>
              <w:t>Period</w:t>
            </w:r>
          </w:p>
        </w:tc>
        <w:tc>
          <w:tcPr>
            <w:tcW w:w="2338" w:type="dxa"/>
          </w:tcPr>
          <w:p w:rsidR="008C0983" w:rsidRPr="00354E63" w:rsidRDefault="008C0983" w:rsidP="00B768E6">
            <w:pPr>
              <w:spacing w:after="160" w:line="259" w:lineRule="auto"/>
              <w:rPr>
                <w:rFonts w:ascii="Cambria" w:hAnsi="Cambria"/>
                <w:b/>
              </w:rPr>
            </w:pPr>
            <w:r w:rsidRPr="00354E63">
              <w:rPr>
                <w:rFonts w:ascii="Cambria" w:hAnsi="Cambria"/>
                <w:b/>
              </w:rPr>
              <w:t>Volatility Strategy</w:t>
            </w:r>
          </w:p>
        </w:tc>
        <w:tc>
          <w:tcPr>
            <w:tcW w:w="2338" w:type="dxa"/>
          </w:tcPr>
          <w:p w:rsidR="008C0983" w:rsidRPr="00354E63" w:rsidRDefault="008C0983" w:rsidP="00B768E6">
            <w:pPr>
              <w:spacing w:after="160" w:line="259" w:lineRule="auto"/>
              <w:rPr>
                <w:rFonts w:ascii="Cambria" w:hAnsi="Cambria"/>
                <w:b/>
              </w:rPr>
            </w:pPr>
            <w:r w:rsidRPr="00354E63">
              <w:rPr>
                <w:rFonts w:ascii="Cambria" w:hAnsi="Cambria"/>
                <w:b/>
              </w:rPr>
              <w:t>Credit Strategy</w:t>
            </w:r>
          </w:p>
        </w:tc>
      </w:tr>
      <w:tr w:rsidR="008433E5" w:rsidTr="00B768E6">
        <w:tc>
          <w:tcPr>
            <w:tcW w:w="2337" w:type="dxa"/>
          </w:tcPr>
          <w:p w:rsidR="008433E5" w:rsidRDefault="004A6660" w:rsidP="00B768E6">
            <w:pPr>
              <w:rPr>
                <w:rFonts w:ascii="Cambria" w:hAnsi="Cambria"/>
              </w:rPr>
            </w:pPr>
            <w:r>
              <w:rPr>
                <w:rFonts w:ascii="Cambria" w:hAnsi="Cambria"/>
              </w:rPr>
              <w:t>1994-1995</w:t>
            </w:r>
          </w:p>
        </w:tc>
        <w:tc>
          <w:tcPr>
            <w:tcW w:w="2338" w:type="dxa"/>
          </w:tcPr>
          <w:p w:rsidR="008433E5" w:rsidRDefault="008433E5" w:rsidP="00B768E6">
            <w:pPr>
              <w:rPr>
                <w:rFonts w:ascii="Cambria" w:hAnsi="Cambria"/>
              </w:rPr>
            </w:pPr>
            <w:r>
              <w:rPr>
                <w:rFonts w:ascii="Cambria" w:hAnsi="Cambria"/>
              </w:rPr>
              <w:t>0.592</w:t>
            </w:r>
          </w:p>
        </w:tc>
        <w:tc>
          <w:tcPr>
            <w:tcW w:w="2338" w:type="dxa"/>
          </w:tcPr>
          <w:p w:rsidR="008433E5" w:rsidRDefault="004A6660" w:rsidP="00B768E6">
            <w:pPr>
              <w:rPr>
                <w:rFonts w:ascii="Cambria" w:hAnsi="Cambria"/>
              </w:rPr>
            </w:pPr>
            <w:r>
              <w:rPr>
                <w:rFonts w:ascii="Cambria" w:hAnsi="Cambria"/>
              </w:rPr>
              <w:t>NA</w:t>
            </w:r>
          </w:p>
        </w:tc>
      </w:tr>
      <w:tr w:rsidR="008C0983" w:rsidTr="00B768E6">
        <w:tc>
          <w:tcPr>
            <w:tcW w:w="2337" w:type="dxa"/>
          </w:tcPr>
          <w:p w:rsidR="008C0983" w:rsidRPr="00663892" w:rsidRDefault="008C0983" w:rsidP="00B768E6">
            <w:pPr>
              <w:spacing w:after="160" w:line="259" w:lineRule="auto"/>
              <w:rPr>
                <w:rFonts w:ascii="Cambria" w:hAnsi="Cambria"/>
              </w:rPr>
            </w:pPr>
            <w:r>
              <w:rPr>
                <w:rFonts w:ascii="Cambria" w:hAnsi="Cambria"/>
              </w:rPr>
              <w:t>1999-2000</w:t>
            </w:r>
          </w:p>
        </w:tc>
        <w:tc>
          <w:tcPr>
            <w:tcW w:w="2338" w:type="dxa"/>
          </w:tcPr>
          <w:p w:rsidR="008C0983" w:rsidRPr="00663892" w:rsidRDefault="008C0983" w:rsidP="00B768E6">
            <w:pPr>
              <w:spacing w:after="160" w:line="259" w:lineRule="auto"/>
              <w:rPr>
                <w:rFonts w:ascii="Cambria" w:hAnsi="Cambria"/>
              </w:rPr>
            </w:pPr>
            <w:r>
              <w:rPr>
                <w:rFonts w:ascii="Cambria" w:hAnsi="Cambria"/>
              </w:rPr>
              <w:t>0.147</w:t>
            </w:r>
          </w:p>
        </w:tc>
        <w:tc>
          <w:tcPr>
            <w:tcW w:w="2338" w:type="dxa"/>
          </w:tcPr>
          <w:p w:rsidR="008C0983" w:rsidRPr="00663892" w:rsidRDefault="008C0983" w:rsidP="00B768E6">
            <w:pPr>
              <w:spacing w:after="160" w:line="259" w:lineRule="auto"/>
              <w:rPr>
                <w:rFonts w:ascii="Cambria" w:hAnsi="Cambria"/>
              </w:rPr>
            </w:pPr>
            <w:r>
              <w:rPr>
                <w:rFonts w:ascii="Cambria" w:hAnsi="Cambria"/>
              </w:rPr>
              <w:t>0.709</w:t>
            </w:r>
          </w:p>
        </w:tc>
      </w:tr>
      <w:tr w:rsidR="008C0983" w:rsidTr="00B768E6">
        <w:tc>
          <w:tcPr>
            <w:tcW w:w="2337" w:type="dxa"/>
          </w:tcPr>
          <w:p w:rsidR="008C0983" w:rsidRPr="00663892" w:rsidRDefault="008C0983" w:rsidP="00B768E6">
            <w:pPr>
              <w:spacing w:after="160" w:line="259" w:lineRule="auto"/>
              <w:rPr>
                <w:rFonts w:ascii="Cambria" w:hAnsi="Cambria"/>
              </w:rPr>
            </w:pPr>
            <w:r>
              <w:rPr>
                <w:rFonts w:ascii="Cambria" w:hAnsi="Cambria"/>
              </w:rPr>
              <w:t>2004-2006</w:t>
            </w:r>
          </w:p>
        </w:tc>
        <w:tc>
          <w:tcPr>
            <w:tcW w:w="2338" w:type="dxa"/>
          </w:tcPr>
          <w:p w:rsidR="008C0983" w:rsidRPr="00663892" w:rsidRDefault="008C0983" w:rsidP="00B768E6">
            <w:pPr>
              <w:spacing w:after="160" w:line="259" w:lineRule="auto"/>
              <w:rPr>
                <w:rFonts w:ascii="Cambria" w:hAnsi="Cambria"/>
              </w:rPr>
            </w:pPr>
            <w:r>
              <w:rPr>
                <w:rFonts w:ascii="Cambria" w:hAnsi="Cambria"/>
              </w:rPr>
              <w:t>0.737</w:t>
            </w:r>
          </w:p>
        </w:tc>
        <w:tc>
          <w:tcPr>
            <w:tcW w:w="2338" w:type="dxa"/>
          </w:tcPr>
          <w:p w:rsidR="008C0983" w:rsidRPr="00663892" w:rsidRDefault="008C0983" w:rsidP="00B768E6">
            <w:pPr>
              <w:spacing w:after="160" w:line="259" w:lineRule="auto"/>
              <w:rPr>
                <w:rFonts w:ascii="Cambria" w:hAnsi="Cambria"/>
              </w:rPr>
            </w:pPr>
            <w:r>
              <w:rPr>
                <w:rFonts w:ascii="Cambria" w:hAnsi="Cambria"/>
              </w:rPr>
              <w:t>-0.05</w:t>
            </w:r>
          </w:p>
        </w:tc>
      </w:tr>
      <w:tr w:rsidR="008C0983" w:rsidTr="00B768E6">
        <w:trPr>
          <w:trHeight w:val="413"/>
        </w:trPr>
        <w:tc>
          <w:tcPr>
            <w:tcW w:w="2337" w:type="dxa"/>
          </w:tcPr>
          <w:p w:rsidR="008C0983" w:rsidRDefault="008C0983" w:rsidP="00B768E6">
            <w:pPr>
              <w:rPr>
                <w:rFonts w:ascii="Cambria" w:hAnsi="Cambria"/>
              </w:rPr>
            </w:pPr>
            <w:r>
              <w:rPr>
                <w:rFonts w:ascii="Cambria" w:hAnsi="Cambria"/>
              </w:rPr>
              <w:t>Recession</w:t>
            </w:r>
          </w:p>
        </w:tc>
        <w:tc>
          <w:tcPr>
            <w:tcW w:w="2338" w:type="dxa"/>
          </w:tcPr>
          <w:p w:rsidR="008C0983" w:rsidRDefault="008C0983" w:rsidP="00B768E6">
            <w:pPr>
              <w:rPr>
                <w:rFonts w:ascii="Cambria" w:hAnsi="Cambria"/>
              </w:rPr>
            </w:pPr>
            <w:r>
              <w:rPr>
                <w:rFonts w:ascii="Cambria" w:hAnsi="Cambria"/>
              </w:rPr>
              <w:t>-0.46</w:t>
            </w:r>
          </w:p>
        </w:tc>
        <w:tc>
          <w:tcPr>
            <w:tcW w:w="2338" w:type="dxa"/>
          </w:tcPr>
          <w:p w:rsidR="008C0983" w:rsidRDefault="008C0983" w:rsidP="00B768E6">
            <w:pPr>
              <w:rPr>
                <w:rFonts w:ascii="Cambria" w:hAnsi="Cambria"/>
              </w:rPr>
            </w:pPr>
            <w:r>
              <w:rPr>
                <w:rFonts w:ascii="Cambria" w:hAnsi="Cambria"/>
              </w:rPr>
              <w:t>0.41</w:t>
            </w:r>
          </w:p>
        </w:tc>
      </w:tr>
      <w:tr w:rsidR="008C0983" w:rsidTr="00B768E6">
        <w:tc>
          <w:tcPr>
            <w:tcW w:w="2337" w:type="dxa"/>
          </w:tcPr>
          <w:p w:rsidR="008C0983" w:rsidRDefault="008C0983" w:rsidP="00B768E6">
            <w:pPr>
              <w:rPr>
                <w:rFonts w:ascii="Cambria" w:hAnsi="Cambria"/>
              </w:rPr>
            </w:pPr>
            <w:r>
              <w:rPr>
                <w:rFonts w:ascii="Cambria" w:hAnsi="Cambria"/>
              </w:rPr>
              <w:t>Current Period</w:t>
            </w:r>
          </w:p>
        </w:tc>
        <w:tc>
          <w:tcPr>
            <w:tcW w:w="2338" w:type="dxa"/>
          </w:tcPr>
          <w:p w:rsidR="008C0983" w:rsidRDefault="008C0983" w:rsidP="00B768E6">
            <w:pPr>
              <w:rPr>
                <w:rFonts w:ascii="Cambria" w:hAnsi="Cambria"/>
              </w:rPr>
            </w:pPr>
            <w:r>
              <w:rPr>
                <w:rFonts w:ascii="Cambria" w:hAnsi="Cambria"/>
              </w:rPr>
              <w:t>0.09</w:t>
            </w:r>
          </w:p>
        </w:tc>
        <w:tc>
          <w:tcPr>
            <w:tcW w:w="2338" w:type="dxa"/>
          </w:tcPr>
          <w:p w:rsidR="008C0983" w:rsidRDefault="008C0983" w:rsidP="00B768E6">
            <w:pPr>
              <w:rPr>
                <w:rFonts w:ascii="Cambria" w:hAnsi="Cambria"/>
              </w:rPr>
            </w:pPr>
            <w:r>
              <w:rPr>
                <w:rFonts w:ascii="Cambria" w:hAnsi="Cambria"/>
              </w:rPr>
              <w:t>-0.81</w:t>
            </w:r>
          </w:p>
        </w:tc>
      </w:tr>
    </w:tbl>
    <w:p w:rsidR="00552078" w:rsidRDefault="00552078" w:rsidP="00552078"/>
    <w:p w:rsidR="00552078" w:rsidRDefault="00552078" w:rsidP="00552078">
      <w:pPr>
        <w:rPr>
          <w:rFonts w:ascii="Cambria" w:hAnsi="Cambria"/>
        </w:rPr>
      </w:pPr>
      <w:r w:rsidRPr="00CA0679">
        <w:rPr>
          <w:rFonts w:ascii="Cambria" w:hAnsi="Cambria"/>
        </w:rPr>
        <w:t xml:space="preserve">As can be seen from the </w:t>
      </w:r>
      <w:r>
        <w:rPr>
          <w:rFonts w:ascii="Cambria" w:hAnsi="Cambria"/>
        </w:rPr>
        <w:t>historical data, the Volatility strategy has done the best consistently during the rate hike period</w:t>
      </w:r>
      <w:r w:rsidR="00C424F4">
        <w:rPr>
          <w:rFonts w:ascii="Cambria" w:hAnsi="Cambria"/>
        </w:rPr>
        <w:t>s</w:t>
      </w:r>
      <w:r>
        <w:rPr>
          <w:rFonts w:ascii="Cambria" w:hAnsi="Cambria"/>
        </w:rPr>
        <w:t>.</w:t>
      </w:r>
    </w:p>
    <w:p w:rsidR="00552078" w:rsidRDefault="00552078" w:rsidP="00552078">
      <w:pPr>
        <w:pStyle w:val="Heading2"/>
      </w:pPr>
      <w:r w:rsidRPr="00A96645">
        <w:t>Correlation</w:t>
      </w:r>
    </w:p>
    <w:p w:rsidR="0039044A" w:rsidRPr="0039044A" w:rsidRDefault="0039044A" w:rsidP="0039044A">
      <w:pPr>
        <w:rPr>
          <w:rFonts w:ascii="Cambria" w:hAnsi="Cambria"/>
        </w:rPr>
      </w:pPr>
    </w:p>
    <w:p w:rsidR="0039044A" w:rsidRPr="0039044A" w:rsidRDefault="00227ED7" w:rsidP="0039044A">
      <w:pPr>
        <w:rPr>
          <w:rFonts w:ascii="Cambria" w:hAnsi="Cambria"/>
        </w:rPr>
      </w:pPr>
      <w:r>
        <w:rPr>
          <w:rFonts w:ascii="Cambria" w:hAnsi="Cambria"/>
        </w:rPr>
        <w:t>The correlation further proves that this strategy does well during the rate hike periods.</w:t>
      </w:r>
      <w:bookmarkStart w:id="0" w:name="_GoBack"/>
      <w:bookmarkEnd w:id="0"/>
    </w:p>
    <w:p w:rsidR="004669B8" w:rsidRDefault="0039044A" w:rsidP="00E503C2">
      <w:pPr>
        <w:rPr>
          <w:rFonts w:ascii="Cambria" w:hAnsi="Cambria"/>
        </w:rPr>
      </w:pPr>
      <w:r>
        <w:rPr>
          <w:noProof/>
        </w:rPr>
        <w:drawing>
          <wp:inline distT="0" distB="0" distL="0" distR="0" wp14:anchorId="48199F9B" wp14:editId="7A3EF79E">
            <wp:extent cx="5168900" cy="3803650"/>
            <wp:effectExtent l="0" t="0" r="0" b="635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5"/>
                    <a:stretch>
                      <a:fillRect/>
                    </a:stretch>
                  </pic:blipFill>
                  <pic:spPr bwMode="auto">
                    <a:xfrm>
                      <a:off x="0" y="0"/>
                      <a:ext cx="5168900" cy="3803650"/>
                    </a:xfrm>
                    <a:prstGeom prst="rect">
                      <a:avLst/>
                    </a:prstGeom>
                    <a:noFill/>
                    <a:ln w="9525">
                      <a:noFill/>
                      <a:headEnd/>
                      <a:tailEnd/>
                    </a:ln>
                  </pic:spPr>
                </pic:pic>
              </a:graphicData>
            </a:graphic>
          </wp:inline>
        </w:drawing>
      </w:r>
    </w:p>
    <w:p w:rsidR="008433E5" w:rsidRPr="005D24C3" w:rsidRDefault="008433E5" w:rsidP="00E503C2">
      <w:pPr>
        <w:rPr>
          <w:rFonts w:ascii="Cambria" w:hAnsi="Cambria"/>
        </w:rPr>
      </w:pPr>
      <w:r>
        <w:rPr>
          <w:rFonts w:ascii="Cambria" w:hAnsi="Cambria"/>
        </w:rPr>
        <w:lastRenderedPageBreak/>
        <w:t xml:space="preserve">This is explained by the presence of </w:t>
      </w:r>
    </w:p>
    <w:sectPr w:rsidR="008433E5" w:rsidRPr="005D2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3466C0"/>
    <w:multiLevelType w:val="hybridMultilevel"/>
    <w:tmpl w:val="25A8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BD"/>
    <w:rsid w:val="000347A6"/>
    <w:rsid w:val="00084011"/>
    <w:rsid w:val="001709E3"/>
    <w:rsid w:val="001A0C85"/>
    <w:rsid w:val="001A419A"/>
    <w:rsid w:val="001C4C6E"/>
    <w:rsid w:val="001C6383"/>
    <w:rsid w:val="001E433B"/>
    <w:rsid w:val="00211559"/>
    <w:rsid w:val="0021282B"/>
    <w:rsid w:val="00227ED7"/>
    <w:rsid w:val="002720F1"/>
    <w:rsid w:val="00280F6A"/>
    <w:rsid w:val="0029206B"/>
    <w:rsid w:val="00300726"/>
    <w:rsid w:val="003217CB"/>
    <w:rsid w:val="0035201C"/>
    <w:rsid w:val="00386864"/>
    <w:rsid w:val="0039044A"/>
    <w:rsid w:val="003A4222"/>
    <w:rsid w:val="003A58CC"/>
    <w:rsid w:val="00404FC8"/>
    <w:rsid w:val="004128C7"/>
    <w:rsid w:val="0043478C"/>
    <w:rsid w:val="0044551B"/>
    <w:rsid w:val="004669B8"/>
    <w:rsid w:val="004A6660"/>
    <w:rsid w:val="004C34FC"/>
    <w:rsid w:val="00504D5F"/>
    <w:rsid w:val="005408AB"/>
    <w:rsid w:val="00552078"/>
    <w:rsid w:val="00555A19"/>
    <w:rsid w:val="00584AD8"/>
    <w:rsid w:val="005B3322"/>
    <w:rsid w:val="005C479B"/>
    <w:rsid w:val="005D24C3"/>
    <w:rsid w:val="005E52A5"/>
    <w:rsid w:val="006641F9"/>
    <w:rsid w:val="0067117A"/>
    <w:rsid w:val="007124CB"/>
    <w:rsid w:val="00745000"/>
    <w:rsid w:val="007D7CA2"/>
    <w:rsid w:val="008433E5"/>
    <w:rsid w:val="00851A17"/>
    <w:rsid w:val="008A2944"/>
    <w:rsid w:val="008C0983"/>
    <w:rsid w:val="008C2087"/>
    <w:rsid w:val="008F0CC3"/>
    <w:rsid w:val="008F6525"/>
    <w:rsid w:val="00900D6B"/>
    <w:rsid w:val="009445D4"/>
    <w:rsid w:val="00956CE2"/>
    <w:rsid w:val="009633F9"/>
    <w:rsid w:val="009908AA"/>
    <w:rsid w:val="009A137B"/>
    <w:rsid w:val="009A4145"/>
    <w:rsid w:val="009C5695"/>
    <w:rsid w:val="009E0311"/>
    <w:rsid w:val="00A47B38"/>
    <w:rsid w:val="00A759E5"/>
    <w:rsid w:val="00AD23AF"/>
    <w:rsid w:val="00AD2BA1"/>
    <w:rsid w:val="00AD2E92"/>
    <w:rsid w:val="00AF1751"/>
    <w:rsid w:val="00AF2A50"/>
    <w:rsid w:val="00AF6AB5"/>
    <w:rsid w:val="00B063EC"/>
    <w:rsid w:val="00B3516E"/>
    <w:rsid w:val="00B363C5"/>
    <w:rsid w:val="00B51998"/>
    <w:rsid w:val="00B62058"/>
    <w:rsid w:val="00BC7DA9"/>
    <w:rsid w:val="00BD1CFF"/>
    <w:rsid w:val="00BE264B"/>
    <w:rsid w:val="00BF3798"/>
    <w:rsid w:val="00C339EF"/>
    <w:rsid w:val="00C424F4"/>
    <w:rsid w:val="00C67825"/>
    <w:rsid w:val="00C72DF2"/>
    <w:rsid w:val="00C779C9"/>
    <w:rsid w:val="00CA0410"/>
    <w:rsid w:val="00CF41D1"/>
    <w:rsid w:val="00D81DB2"/>
    <w:rsid w:val="00DB26F7"/>
    <w:rsid w:val="00DC1A75"/>
    <w:rsid w:val="00E07745"/>
    <w:rsid w:val="00E503C2"/>
    <w:rsid w:val="00EB0596"/>
    <w:rsid w:val="00ED0E7F"/>
    <w:rsid w:val="00F00795"/>
    <w:rsid w:val="00F3202E"/>
    <w:rsid w:val="00F3636D"/>
    <w:rsid w:val="00F4437E"/>
    <w:rsid w:val="00F627CE"/>
    <w:rsid w:val="00F80F74"/>
    <w:rsid w:val="00F8251E"/>
    <w:rsid w:val="00FB01BD"/>
    <w:rsid w:val="00FD5319"/>
    <w:rsid w:val="00FD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DFED"/>
  <w15:chartTrackingRefBased/>
  <w15:docId w15:val="{91E8F7AE-60D4-4CD3-BE10-A574DF9A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01BD"/>
  </w:style>
  <w:style w:type="paragraph" w:styleId="Heading1">
    <w:name w:val="heading 1"/>
    <w:basedOn w:val="Normal"/>
    <w:next w:val="Normal"/>
    <w:link w:val="Heading1Char"/>
    <w:uiPriority w:val="9"/>
    <w:qFormat/>
    <w:rsid w:val="00FB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1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01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01B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B0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1BD"/>
    <w:pPr>
      <w:ind w:left="720"/>
      <w:contextualSpacing/>
    </w:pPr>
  </w:style>
  <w:style w:type="paragraph" w:styleId="HTMLPreformatted">
    <w:name w:val="HTML Preformatted"/>
    <w:basedOn w:val="Normal"/>
    <w:link w:val="HTMLPreformattedChar"/>
    <w:uiPriority w:val="99"/>
    <w:semiHidden/>
    <w:unhideWhenUsed/>
    <w:rsid w:val="009E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311"/>
    <w:rPr>
      <w:rFonts w:ascii="Courier New" w:eastAsia="Times New Roman" w:hAnsi="Courier New" w:cs="Courier New"/>
      <w:sz w:val="20"/>
      <w:szCs w:val="20"/>
    </w:rPr>
  </w:style>
  <w:style w:type="paragraph" w:customStyle="1" w:styleId="FirstParagraph">
    <w:name w:val="First Paragraph"/>
    <w:basedOn w:val="BodyText"/>
    <w:next w:val="BodyText"/>
    <w:qFormat/>
    <w:rsid w:val="00E503C2"/>
    <w:pPr>
      <w:spacing w:before="180" w:after="180" w:line="240" w:lineRule="auto"/>
    </w:pPr>
    <w:rPr>
      <w:sz w:val="24"/>
      <w:szCs w:val="24"/>
    </w:rPr>
  </w:style>
  <w:style w:type="paragraph" w:styleId="BodyText">
    <w:name w:val="Body Text"/>
    <w:basedOn w:val="Normal"/>
    <w:link w:val="BodyTextChar"/>
    <w:uiPriority w:val="99"/>
    <w:semiHidden/>
    <w:unhideWhenUsed/>
    <w:rsid w:val="00E503C2"/>
    <w:pPr>
      <w:spacing w:after="120"/>
    </w:pPr>
  </w:style>
  <w:style w:type="character" w:customStyle="1" w:styleId="BodyTextChar">
    <w:name w:val="Body Text Char"/>
    <w:basedOn w:val="DefaultParagraphFont"/>
    <w:link w:val="BodyText"/>
    <w:uiPriority w:val="99"/>
    <w:semiHidden/>
    <w:rsid w:val="00E503C2"/>
  </w:style>
  <w:style w:type="paragraph" w:customStyle="1" w:styleId="Compact">
    <w:name w:val="Compact"/>
    <w:basedOn w:val="BodyText"/>
    <w:qFormat/>
    <w:rsid w:val="009A4145"/>
    <w:pPr>
      <w:spacing w:before="36" w:after="36" w:line="240" w:lineRule="auto"/>
    </w:pPr>
    <w:rPr>
      <w:sz w:val="24"/>
      <w:szCs w:val="24"/>
    </w:rPr>
  </w:style>
  <w:style w:type="table" w:styleId="TableGridLight">
    <w:name w:val="Grid Table Light"/>
    <w:basedOn w:val="TableNormal"/>
    <w:uiPriority w:val="40"/>
    <w:rsid w:val="004669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20545">
      <w:bodyDiv w:val="1"/>
      <w:marLeft w:val="0"/>
      <w:marRight w:val="0"/>
      <w:marTop w:val="0"/>
      <w:marBottom w:val="0"/>
      <w:divBdr>
        <w:top w:val="none" w:sz="0" w:space="0" w:color="auto"/>
        <w:left w:val="none" w:sz="0" w:space="0" w:color="auto"/>
        <w:bottom w:val="none" w:sz="0" w:space="0" w:color="auto"/>
        <w:right w:val="none" w:sz="0" w:space="0" w:color="auto"/>
      </w:divBdr>
    </w:div>
    <w:div w:id="383063724">
      <w:bodyDiv w:val="1"/>
      <w:marLeft w:val="0"/>
      <w:marRight w:val="0"/>
      <w:marTop w:val="0"/>
      <w:marBottom w:val="0"/>
      <w:divBdr>
        <w:top w:val="none" w:sz="0" w:space="0" w:color="auto"/>
        <w:left w:val="none" w:sz="0" w:space="0" w:color="auto"/>
        <w:bottom w:val="none" w:sz="0" w:space="0" w:color="auto"/>
        <w:right w:val="none" w:sz="0" w:space="0" w:color="auto"/>
      </w:divBdr>
    </w:div>
    <w:div w:id="103928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Nitish</dc:creator>
  <cp:keywords/>
  <dc:description/>
  <cp:lastModifiedBy>Ramkumar, Nitish</cp:lastModifiedBy>
  <cp:revision>90</cp:revision>
  <dcterms:created xsi:type="dcterms:W3CDTF">2017-02-27T15:54:00Z</dcterms:created>
  <dcterms:modified xsi:type="dcterms:W3CDTF">2017-02-28T05:24:00Z</dcterms:modified>
</cp:coreProperties>
</file>