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7.png" ContentType="image/png"/>
  <Override PartName="/word/media/rId29.png" ContentType="image/png"/>
  <Override PartName="/word/media/rId30.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ROW_Momentum</w:t>
      </w:r>
    </w:p>
    <w:p>
      <w:pPr>
        <w:pStyle w:val="Author"/>
      </w:pPr>
      <w:r>
        <w:t xml:space="preserve">Nitish</w:t>
      </w:r>
      <w:r>
        <w:t xml:space="preserve"> </w:t>
      </w:r>
      <w:r>
        <w:t xml:space="preserve">Ramkumar</w:t>
      </w:r>
    </w:p>
    <w:p>
      <w:pPr>
        <w:pStyle w:val="Heading1"/>
      </w:pPr>
      <w:bookmarkStart w:id="21" w:name="trend-trade"/>
      <w:bookmarkEnd w:id="21"/>
      <w:r>
        <w:t xml:space="preserve">Trend trade</w:t>
      </w:r>
    </w:p>
    <w:p>
      <w:pPr>
        <w:pStyle w:val="Heading2"/>
      </w:pPr>
      <w:bookmarkStart w:id="22" w:name="data-collection"/>
      <w:bookmarkEnd w:id="22"/>
      <w:r>
        <w:t xml:space="preserve">1 Data Collection</w:t>
      </w:r>
    </w:p>
    <w:p>
      <w:pPr>
        <w:pStyle w:val="FirstParagraph"/>
      </w:pPr>
      <w:r>
        <w:t xml:space="preserve">Data can be collected using yahoo through quantmod. A plot of the monthly returns of the currency can be found below.</w:t>
      </w:r>
      <w:r>
        <w:t xml:space="preserve"> </w:t>
      </w:r>
      <w:r>
        <w:drawing>
          <wp:inline>
            <wp:extent cx="4610100" cy="3695700"/>
            <wp:effectExtent b="0" l="0" r="0" t="0"/>
            <wp:docPr descr="" id="1" name="Picture"/>
            <a:graphic>
              <a:graphicData uri="http://schemas.openxmlformats.org/drawingml/2006/picture">
                <pic:pic>
                  <pic:nvPicPr>
                    <pic:cNvPr descr="ROW_TrendCarry_files/figure-docx/unnamed-chunk-2-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As can be seen, most of the non-ndf currencies are wavering between the -5% and 5% range. The zloty had a big jump in returns during 2014. This was because of a major announcement by the finance minister about the possibility of joining the EURO.</w:t>
      </w:r>
    </w:p>
    <w:p>
      <w:pPr>
        <w:pStyle w:val="BodyText"/>
      </w:pPr>
      <w:r>
        <w:drawing>
          <wp:inline>
            <wp:extent cx="4610100" cy="3695700"/>
            <wp:effectExtent b="0" l="0" r="0" t="0"/>
            <wp:docPr descr="" id="1" name="Picture"/>
            <a:graphic>
              <a:graphicData uri="http://schemas.openxmlformats.org/drawingml/2006/picture">
                <pic:pic>
                  <pic:nvPicPr>
                    <pic:cNvPr descr="ROW_TrendCarry_files/figure-docx/unnamed-chunk-3-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Most of the NDFs have been returning hovering just around the 0% return mark. The Argentenian peso gave high returns in 2016 due to the political problems in the country, which brought the currency down a lot.</w:t>
      </w:r>
    </w:p>
    <w:p>
      <w:pPr>
        <w:pStyle w:val="Heading2"/>
      </w:pPr>
      <w:bookmarkStart w:id="25" w:name="directional-signal"/>
      <w:bookmarkEnd w:id="25"/>
      <w:r>
        <w:t xml:space="preserve">2 Directional Signal</w:t>
      </w:r>
    </w:p>
    <w:p>
      <w:pPr>
        <w:pStyle w:val="FirstParagraph"/>
      </w:pPr>
      <w:r>
        <w:t xml:space="preserve">Long the currencies which have gone up compared to the look back period and short the currencies which have gone down compared to the same period.</w:t>
      </w:r>
    </w:p>
    <w:p>
      <w:pPr>
        <w:pStyle w:val="TableCaption"/>
      </w:pPr>
      <w:r>
        <w:t xml:space="preserve">Direction Signal:2002-2007</w:t>
      </w:r>
    </w:p>
    <w:tbl>
      <w:tblPr>
        <w:tblStyle w:val="TableNormal"/>
        <w:tblW w:type="pct" w:w="0.0"/>
        <w:tblLook w:firstRow="1"/>
        <w:tblCaption w:val="Direction Signal:2002-2007"/>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12</w:t>
            </w:r>
          </w:p>
        </w:tc>
      </w:tr>
      <w:tr>
        <w:tc>
          <w:p>
            <w:pPr>
              <w:pStyle w:val="Compact"/>
              <w:jc w:val="left"/>
            </w:pPr>
            <w:r>
              <w:t xml:space="preserve">Annualized Mean</w:t>
            </w:r>
          </w:p>
        </w:tc>
        <w:tc>
          <w:p>
            <w:pPr>
              <w:pStyle w:val="Compact"/>
              <w:jc w:val="right"/>
            </w:pPr>
            <w:r>
              <w:t xml:space="preserve">0.21</w:t>
            </w:r>
          </w:p>
        </w:tc>
        <w:tc>
          <w:p>
            <w:pPr>
              <w:pStyle w:val="Compact"/>
              <w:jc w:val="right"/>
            </w:pPr>
            <w:r>
              <w:t xml:space="preserve">0.17</w:t>
            </w:r>
          </w:p>
        </w:tc>
        <w:tc>
          <w:p>
            <w:pPr>
              <w:pStyle w:val="Compact"/>
              <w:jc w:val="right"/>
            </w:pPr>
            <w:r>
              <w:t xml:space="preserve">0.17</w:t>
            </w:r>
          </w:p>
        </w:tc>
        <w:tc>
          <w:p>
            <w:pPr>
              <w:pStyle w:val="Compact"/>
              <w:jc w:val="right"/>
            </w:pPr>
            <w:r>
              <w:t xml:space="preserve">0.17</w:t>
            </w:r>
          </w:p>
        </w:tc>
        <w:tc>
          <w:p>
            <w:pPr>
              <w:pStyle w:val="Compact"/>
              <w:jc w:val="right"/>
            </w:pPr>
            <w:r>
              <w:t xml:space="preserve">0.18</w:t>
            </w:r>
          </w:p>
        </w:tc>
        <w:tc>
          <w:p>
            <w:pPr>
              <w:pStyle w:val="Compact"/>
              <w:jc w:val="right"/>
            </w:pPr>
            <w:r>
              <w:t xml:space="preserve">0.16</w:t>
            </w:r>
          </w:p>
        </w:tc>
        <w:tc>
          <w:p>
            <w:pPr>
              <w:pStyle w:val="Compact"/>
              <w:jc w:val="right"/>
            </w:pPr>
            <w:r>
              <w:t xml:space="preserve">0.17</w:t>
            </w:r>
          </w:p>
        </w:tc>
        <w:tc>
          <w:p>
            <w:pPr>
              <w:pStyle w:val="Compact"/>
              <w:jc w:val="right"/>
            </w:pPr>
            <w:r>
              <w:t xml:space="preserve">0.16</w:t>
            </w:r>
          </w:p>
        </w:tc>
        <w:tc>
          <w:p>
            <w:pPr>
              <w:pStyle w:val="Compact"/>
              <w:jc w:val="right"/>
            </w:pPr>
            <w:r>
              <w:t xml:space="preserve">0.14</w:t>
            </w:r>
          </w:p>
        </w:tc>
        <w:tc>
          <w:p>
            <w:pPr>
              <w:pStyle w:val="Compact"/>
              <w:jc w:val="right"/>
            </w:pPr>
            <w:r>
              <w:t xml:space="preserve">0.14</w:t>
            </w:r>
          </w:p>
        </w:tc>
        <w:tc>
          <w:p>
            <w:pPr>
              <w:pStyle w:val="Compact"/>
              <w:jc w:val="right"/>
            </w:pPr>
            <w:r>
              <w:t xml:space="preserve">0.13</w:t>
            </w:r>
          </w:p>
        </w:tc>
        <w:tc>
          <w:p>
            <w:pPr>
              <w:pStyle w:val="Compact"/>
              <w:jc w:val="right"/>
            </w:pPr>
            <w:r>
              <w:t xml:space="preserve">0.13</w:t>
            </w:r>
          </w:p>
        </w:tc>
      </w:tr>
      <w:tr>
        <w:tc>
          <w:p>
            <w:pPr>
              <w:pStyle w:val="Compact"/>
              <w:jc w:val="left"/>
            </w:pPr>
            <w:r>
              <w:t xml:space="preserve">SD</w:t>
            </w:r>
          </w:p>
        </w:tc>
        <w:tc>
          <w:p>
            <w:pPr>
              <w:pStyle w:val="Compact"/>
              <w:jc w:val="right"/>
            </w:pPr>
            <w:r>
              <w:t xml:space="preserve">0.20</w:t>
            </w:r>
          </w:p>
        </w:tc>
        <w:tc>
          <w:p>
            <w:pPr>
              <w:pStyle w:val="Compact"/>
              <w:jc w:val="right"/>
            </w:pPr>
            <w:r>
              <w:t xml:space="preserve">0.19</w:t>
            </w:r>
          </w:p>
        </w:tc>
        <w:tc>
          <w:p>
            <w:pPr>
              <w:pStyle w:val="Compact"/>
              <w:jc w:val="right"/>
            </w:pPr>
            <w:r>
              <w:t xml:space="preserve">0.12</w:t>
            </w:r>
          </w:p>
        </w:tc>
        <w:tc>
          <w:p>
            <w:pPr>
              <w:pStyle w:val="Compact"/>
              <w:jc w:val="right"/>
            </w:pPr>
            <w:r>
              <w:t xml:space="preserve">0.11</w:t>
            </w:r>
          </w:p>
        </w:tc>
        <w:tc>
          <w:p>
            <w:pPr>
              <w:pStyle w:val="Compact"/>
              <w:jc w:val="right"/>
            </w:pPr>
            <w:r>
              <w:t xml:space="preserve">0.13</w:t>
            </w:r>
          </w:p>
        </w:tc>
        <w:tc>
          <w:p>
            <w:pPr>
              <w:pStyle w:val="Compact"/>
              <w:jc w:val="right"/>
            </w:pPr>
            <w:r>
              <w:t xml:space="preserve">0.13</w:t>
            </w:r>
          </w:p>
        </w:tc>
        <w:tc>
          <w:p>
            <w:pPr>
              <w:pStyle w:val="Compact"/>
              <w:jc w:val="right"/>
            </w:pPr>
            <w:r>
              <w:t xml:space="preserve">0.14</w:t>
            </w:r>
          </w:p>
        </w:tc>
        <w:tc>
          <w:p>
            <w:pPr>
              <w:pStyle w:val="Compact"/>
              <w:jc w:val="right"/>
            </w:pPr>
            <w:r>
              <w:t xml:space="preserve">0.12</w:t>
            </w:r>
          </w:p>
        </w:tc>
        <w:tc>
          <w:p>
            <w:pPr>
              <w:pStyle w:val="Compact"/>
              <w:jc w:val="right"/>
            </w:pPr>
            <w:r>
              <w:t xml:space="preserve">0.13</w:t>
            </w:r>
          </w:p>
        </w:tc>
        <w:tc>
          <w:p>
            <w:pPr>
              <w:pStyle w:val="Compact"/>
              <w:jc w:val="right"/>
            </w:pPr>
            <w:r>
              <w:t xml:space="preserve">0.11</w:t>
            </w:r>
          </w:p>
        </w:tc>
        <w:tc>
          <w:p>
            <w:pPr>
              <w:pStyle w:val="Compact"/>
              <w:jc w:val="right"/>
            </w:pPr>
            <w:r>
              <w:t xml:space="preserve">0.11</w:t>
            </w:r>
          </w:p>
        </w:tc>
        <w:tc>
          <w:p>
            <w:pPr>
              <w:pStyle w:val="Compact"/>
              <w:jc w:val="right"/>
            </w:pPr>
            <w:r>
              <w:t xml:space="preserve">0.13</w:t>
            </w:r>
          </w:p>
        </w:tc>
      </w:tr>
      <w:tr>
        <w:tc>
          <w:p>
            <w:pPr>
              <w:pStyle w:val="Compact"/>
              <w:jc w:val="left"/>
            </w:pPr>
            <w:r>
              <w:t xml:space="preserve">Sharpe Ratio</w:t>
            </w:r>
          </w:p>
        </w:tc>
        <w:tc>
          <w:p>
            <w:pPr>
              <w:pStyle w:val="Compact"/>
              <w:jc w:val="right"/>
            </w:pPr>
            <w:r>
              <w:t xml:space="preserve">1.03</w:t>
            </w:r>
          </w:p>
        </w:tc>
        <w:tc>
          <w:p>
            <w:pPr>
              <w:pStyle w:val="Compact"/>
              <w:jc w:val="right"/>
            </w:pPr>
            <w:r>
              <w:t xml:space="preserve">0.90</w:t>
            </w:r>
          </w:p>
        </w:tc>
        <w:tc>
          <w:p>
            <w:pPr>
              <w:pStyle w:val="Compact"/>
              <w:jc w:val="right"/>
            </w:pPr>
            <w:r>
              <w:t xml:space="preserve">1.41</w:t>
            </w:r>
          </w:p>
        </w:tc>
        <w:tc>
          <w:p>
            <w:pPr>
              <w:pStyle w:val="Compact"/>
              <w:jc w:val="right"/>
            </w:pPr>
            <w:r>
              <w:t xml:space="preserve">1.61</w:t>
            </w:r>
          </w:p>
        </w:tc>
        <w:tc>
          <w:p>
            <w:pPr>
              <w:pStyle w:val="Compact"/>
              <w:jc w:val="right"/>
            </w:pPr>
            <w:r>
              <w:t xml:space="preserve">1.39</w:t>
            </w:r>
          </w:p>
        </w:tc>
        <w:tc>
          <w:p>
            <w:pPr>
              <w:pStyle w:val="Compact"/>
              <w:jc w:val="right"/>
            </w:pPr>
            <w:r>
              <w:t xml:space="preserve">1.24</w:t>
            </w:r>
          </w:p>
        </w:tc>
        <w:tc>
          <w:p>
            <w:pPr>
              <w:pStyle w:val="Compact"/>
              <w:jc w:val="right"/>
            </w:pPr>
            <w:r>
              <w:t xml:space="preserve">1.18</w:t>
            </w:r>
          </w:p>
        </w:tc>
        <w:tc>
          <w:p>
            <w:pPr>
              <w:pStyle w:val="Compact"/>
              <w:jc w:val="right"/>
            </w:pPr>
            <w:r>
              <w:t xml:space="preserve">1.27</w:t>
            </w:r>
          </w:p>
        </w:tc>
        <w:tc>
          <w:p>
            <w:pPr>
              <w:pStyle w:val="Compact"/>
              <w:jc w:val="right"/>
            </w:pPr>
            <w:r>
              <w:t xml:space="preserve">1.11</w:t>
            </w:r>
          </w:p>
        </w:tc>
        <w:tc>
          <w:p>
            <w:pPr>
              <w:pStyle w:val="Compact"/>
              <w:jc w:val="right"/>
            </w:pPr>
            <w:r>
              <w:t xml:space="preserve">1.23</w:t>
            </w:r>
          </w:p>
        </w:tc>
        <w:tc>
          <w:p>
            <w:pPr>
              <w:pStyle w:val="Compact"/>
              <w:jc w:val="right"/>
            </w:pPr>
            <w:r>
              <w:t xml:space="preserve">1.18</w:t>
            </w:r>
          </w:p>
        </w:tc>
        <w:tc>
          <w:p>
            <w:pPr>
              <w:pStyle w:val="Compact"/>
              <w:jc w:val="right"/>
            </w:pPr>
            <w:r>
              <w:t xml:space="preserve">1.05</w:t>
            </w:r>
          </w:p>
        </w:tc>
      </w:tr>
    </w:tbl>
    <w:p>
      <w:pPr>
        <w:pStyle w:val="TableCaption"/>
      </w:pPr>
      <w:r>
        <w:t xml:space="preserve">Direction Signal:2007-2011</w:t>
      </w:r>
    </w:p>
    <w:tbl>
      <w:tblPr>
        <w:tblStyle w:val="TableNormal"/>
        <w:tblW w:type="pct" w:w="0.0"/>
        <w:tblLook w:firstRow="1"/>
        <w:tblCaption w:val="Direction Signal:2007-201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12</w:t>
            </w:r>
          </w:p>
        </w:tc>
      </w:tr>
      <w:tr>
        <w:tc>
          <w:p>
            <w:pPr>
              <w:pStyle w:val="Compact"/>
              <w:jc w:val="left"/>
            </w:pPr>
            <w:r>
              <w:t xml:space="preserve">Annualized Mean</w:t>
            </w:r>
          </w:p>
        </w:tc>
        <w:tc>
          <w:p>
            <w:pPr>
              <w:pStyle w:val="Compact"/>
              <w:jc w:val="right"/>
            </w:pPr>
            <w:r>
              <w:t xml:space="preserve">0.28</w:t>
            </w:r>
          </w:p>
        </w:tc>
        <w:tc>
          <w:p>
            <w:pPr>
              <w:pStyle w:val="Compact"/>
              <w:jc w:val="right"/>
            </w:pPr>
            <w:r>
              <w:t xml:space="preserve">0.28</w:t>
            </w:r>
          </w:p>
        </w:tc>
        <w:tc>
          <w:p>
            <w:pPr>
              <w:pStyle w:val="Compact"/>
              <w:jc w:val="right"/>
            </w:pPr>
            <w:r>
              <w:t xml:space="preserve">0.28</w:t>
            </w:r>
          </w:p>
        </w:tc>
        <w:tc>
          <w:p>
            <w:pPr>
              <w:pStyle w:val="Compact"/>
              <w:jc w:val="right"/>
            </w:pPr>
            <w:r>
              <w:t xml:space="preserve">0.28</w:t>
            </w:r>
          </w:p>
        </w:tc>
        <w:tc>
          <w:p>
            <w:pPr>
              <w:pStyle w:val="Compact"/>
              <w:jc w:val="right"/>
            </w:pPr>
            <w:r>
              <w:t xml:space="preserve">0.29</w:t>
            </w:r>
          </w:p>
        </w:tc>
        <w:tc>
          <w:p>
            <w:pPr>
              <w:pStyle w:val="Compact"/>
              <w:jc w:val="right"/>
            </w:pPr>
            <w:r>
              <w:t xml:space="preserve">0.28</w:t>
            </w:r>
          </w:p>
        </w:tc>
        <w:tc>
          <w:p>
            <w:pPr>
              <w:pStyle w:val="Compact"/>
              <w:jc w:val="right"/>
            </w:pPr>
            <w:r>
              <w:t xml:space="preserve">0.29</w:t>
            </w:r>
          </w:p>
        </w:tc>
        <w:tc>
          <w:p>
            <w:pPr>
              <w:pStyle w:val="Compact"/>
              <w:jc w:val="right"/>
            </w:pPr>
            <w:r>
              <w:t xml:space="preserve">0.31</w:t>
            </w:r>
          </w:p>
        </w:tc>
        <w:tc>
          <w:p>
            <w:pPr>
              <w:pStyle w:val="Compact"/>
              <w:jc w:val="right"/>
            </w:pPr>
            <w:r>
              <w:t xml:space="preserve">0.29</w:t>
            </w:r>
          </w:p>
        </w:tc>
        <w:tc>
          <w:p>
            <w:pPr>
              <w:pStyle w:val="Compact"/>
              <w:jc w:val="right"/>
            </w:pPr>
            <w:r>
              <w:t xml:space="preserve">0.28</w:t>
            </w:r>
          </w:p>
        </w:tc>
        <w:tc>
          <w:p>
            <w:pPr>
              <w:pStyle w:val="Compact"/>
              <w:jc w:val="right"/>
            </w:pPr>
            <w:r>
              <w:t xml:space="preserve">0.29</w:t>
            </w:r>
          </w:p>
        </w:tc>
        <w:tc>
          <w:p>
            <w:pPr>
              <w:pStyle w:val="Compact"/>
              <w:jc w:val="right"/>
            </w:pPr>
            <w:r>
              <w:t xml:space="preserve">0.35</w:t>
            </w:r>
          </w:p>
        </w:tc>
      </w:tr>
      <w:tr>
        <w:tc>
          <w:p>
            <w:pPr>
              <w:pStyle w:val="Compact"/>
              <w:jc w:val="left"/>
            </w:pPr>
            <w:r>
              <w:t xml:space="preserve">SD</w:t>
            </w:r>
          </w:p>
        </w:tc>
        <w:tc>
          <w:p>
            <w:pPr>
              <w:pStyle w:val="Compact"/>
              <w:jc w:val="right"/>
            </w:pPr>
            <w:r>
              <w:t xml:space="preserve">0.19</w:t>
            </w:r>
          </w:p>
        </w:tc>
        <w:tc>
          <w:p>
            <w:pPr>
              <w:pStyle w:val="Compact"/>
              <w:jc w:val="right"/>
            </w:pPr>
            <w:r>
              <w:t xml:space="preserve">0.18</w:t>
            </w:r>
          </w:p>
        </w:tc>
        <w:tc>
          <w:p>
            <w:pPr>
              <w:pStyle w:val="Compact"/>
              <w:jc w:val="right"/>
            </w:pPr>
            <w:r>
              <w:t xml:space="preserve">0.20</w:t>
            </w:r>
          </w:p>
        </w:tc>
        <w:tc>
          <w:p>
            <w:pPr>
              <w:pStyle w:val="Compact"/>
              <w:jc w:val="right"/>
            </w:pPr>
            <w:r>
              <w:t xml:space="preserve">0.22</w:t>
            </w:r>
          </w:p>
        </w:tc>
        <w:tc>
          <w:p>
            <w:pPr>
              <w:pStyle w:val="Compact"/>
              <w:jc w:val="right"/>
            </w:pPr>
            <w:r>
              <w:t xml:space="preserve">0.20</w:t>
            </w:r>
          </w:p>
        </w:tc>
        <w:tc>
          <w:p>
            <w:pPr>
              <w:pStyle w:val="Compact"/>
              <w:jc w:val="right"/>
            </w:pPr>
            <w:r>
              <w:t xml:space="preserve">0.22</w:t>
            </w:r>
          </w:p>
        </w:tc>
        <w:tc>
          <w:p>
            <w:pPr>
              <w:pStyle w:val="Compact"/>
              <w:jc w:val="right"/>
            </w:pPr>
            <w:r>
              <w:t xml:space="preserve">0.22</w:t>
            </w:r>
          </w:p>
        </w:tc>
        <w:tc>
          <w:p>
            <w:pPr>
              <w:pStyle w:val="Compact"/>
              <w:jc w:val="right"/>
            </w:pPr>
            <w:r>
              <w:t xml:space="preserve">0.23</w:t>
            </w:r>
          </w:p>
        </w:tc>
        <w:tc>
          <w:p>
            <w:pPr>
              <w:pStyle w:val="Compact"/>
              <w:jc w:val="right"/>
            </w:pPr>
            <w:r>
              <w:t xml:space="preserve">0.24</w:t>
            </w:r>
          </w:p>
        </w:tc>
        <w:tc>
          <w:p>
            <w:pPr>
              <w:pStyle w:val="Compact"/>
              <w:jc w:val="right"/>
            </w:pPr>
            <w:r>
              <w:t xml:space="preserve">0.26</w:t>
            </w:r>
          </w:p>
        </w:tc>
        <w:tc>
          <w:p>
            <w:pPr>
              <w:pStyle w:val="Compact"/>
              <w:jc w:val="right"/>
            </w:pPr>
            <w:r>
              <w:t xml:space="preserve">0.26</w:t>
            </w:r>
          </w:p>
        </w:tc>
        <w:tc>
          <w:p>
            <w:pPr>
              <w:pStyle w:val="Compact"/>
              <w:jc w:val="right"/>
            </w:pPr>
            <w:r>
              <w:t xml:space="preserve">0.25</w:t>
            </w:r>
          </w:p>
        </w:tc>
      </w:tr>
      <w:tr>
        <w:tc>
          <w:p>
            <w:pPr>
              <w:pStyle w:val="Compact"/>
              <w:jc w:val="left"/>
            </w:pPr>
            <w:r>
              <w:t xml:space="preserve">Sharpe Ratio</w:t>
            </w:r>
          </w:p>
        </w:tc>
        <w:tc>
          <w:p>
            <w:pPr>
              <w:pStyle w:val="Compact"/>
              <w:jc w:val="right"/>
            </w:pPr>
            <w:r>
              <w:t xml:space="preserve">1.50</w:t>
            </w:r>
          </w:p>
        </w:tc>
        <w:tc>
          <w:p>
            <w:pPr>
              <w:pStyle w:val="Compact"/>
              <w:jc w:val="right"/>
            </w:pPr>
            <w:r>
              <w:t xml:space="preserve">1.54</w:t>
            </w:r>
          </w:p>
        </w:tc>
        <w:tc>
          <w:p>
            <w:pPr>
              <w:pStyle w:val="Compact"/>
              <w:jc w:val="right"/>
            </w:pPr>
            <w:r>
              <w:t xml:space="preserve">1.36</w:t>
            </w:r>
          </w:p>
        </w:tc>
        <w:tc>
          <w:p>
            <w:pPr>
              <w:pStyle w:val="Compact"/>
              <w:jc w:val="right"/>
            </w:pPr>
            <w:r>
              <w:t xml:space="preserve">1.28</w:t>
            </w:r>
          </w:p>
        </w:tc>
        <w:tc>
          <w:p>
            <w:pPr>
              <w:pStyle w:val="Compact"/>
              <w:jc w:val="right"/>
            </w:pPr>
            <w:r>
              <w:t xml:space="preserve">1.43</w:t>
            </w:r>
          </w:p>
        </w:tc>
        <w:tc>
          <w:p>
            <w:pPr>
              <w:pStyle w:val="Compact"/>
              <w:jc w:val="right"/>
            </w:pPr>
            <w:r>
              <w:t xml:space="preserve">1.31</w:t>
            </w:r>
          </w:p>
        </w:tc>
        <w:tc>
          <w:p>
            <w:pPr>
              <w:pStyle w:val="Compact"/>
              <w:jc w:val="right"/>
            </w:pPr>
            <w:r>
              <w:t xml:space="preserve">1.35</w:t>
            </w:r>
          </w:p>
        </w:tc>
        <w:tc>
          <w:p>
            <w:pPr>
              <w:pStyle w:val="Compact"/>
              <w:jc w:val="right"/>
            </w:pPr>
            <w:r>
              <w:t xml:space="preserve">1.38</w:t>
            </w:r>
          </w:p>
        </w:tc>
        <w:tc>
          <w:p>
            <w:pPr>
              <w:pStyle w:val="Compact"/>
              <w:jc w:val="right"/>
            </w:pPr>
            <w:r>
              <w:t xml:space="preserve">1.19</w:t>
            </w:r>
          </w:p>
        </w:tc>
        <w:tc>
          <w:p>
            <w:pPr>
              <w:pStyle w:val="Compact"/>
              <w:jc w:val="right"/>
            </w:pPr>
            <w:r>
              <w:t xml:space="preserve">1.10</w:t>
            </w:r>
          </w:p>
        </w:tc>
        <w:tc>
          <w:p>
            <w:pPr>
              <w:pStyle w:val="Compact"/>
              <w:jc w:val="right"/>
            </w:pPr>
            <w:r>
              <w:t xml:space="preserve">1.12</w:t>
            </w:r>
          </w:p>
        </w:tc>
        <w:tc>
          <w:p>
            <w:pPr>
              <w:pStyle w:val="Compact"/>
              <w:jc w:val="right"/>
            </w:pPr>
            <w:r>
              <w:t xml:space="preserve">1.39</w:t>
            </w:r>
          </w:p>
        </w:tc>
      </w:tr>
    </w:tbl>
    <w:p>
      <w:pPr>
        <w:pStyle w:val="TableCaption"/>
      </w:pPr>
      <w:r>
        <w:t xml:space="preserve">Direction Signal:2011-Present</w:t>
      </w:r>
    </w:p>
    <w:tbl>
      <w:tblPr>
        <w:tblStyle w:val="TableNormal"/>
        <w:tblW w:type="pct" w:w="0.0"/>
        <w:tblLook w:firstRow="1"/>
        <w:tblCaption w:val="Direction Signal:2011-Present"/>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12</w:t>
            </w:r>
          </w:p>
        </w:tc>
      </w:tr>
      <w:tr>
        <w:tc>
          <w:p>
            <w:pPr>
              <w:pStyle w:val="Compact"/>
              <w:jc w:val="left"/>
            </w:pPr>
            <w:r>
              <w:t xml:space="preserve">Annualized Mean</w:t>
            </w:r>
          </w:p>
        </w:tc>
        <w:tc>
          <w:p>
            <w:pPr>
              <w:pStyle w:val="Compact"/>
              <w:jc w:val="right"/>
            </w:pPr>
            <w:r>
              <w:t xml:space="preserve">0.23</w:t>
            </w:r>
          </w:p>
        </w:tc>
        <w:tc>
          <w:p>
            <w:pPr>
              <w:pStyle w:val="Compact"/>
              <w:jc w:val="right"/>
            </w:pPr>
            <w:r>
              <w:t xml:space="preserve">0.23</w:t>
            </w:r>
          </w:p>
        </w:tc>
        <w:tc>
          <w:p>
            <w:pPr>
              <w:pStyle w:val="Compact"/>
              <w:jc w:val="right"/>
            </w:pPr>
            <w:r>
              <w:t xml:space="preserve">0.21</w:t>
            </w:r>
          </w:p>
        </w:tc>
        <w:tc>
          <w:p>
            <w:pPr>
              <w:pStyle w:val="Compact"/>
              <w:jc w:val="right"/>
            </w:pPr>
            <w:r>
              <w:t xml:space="preserve">0.22</w:t>
            </w:r>
          </w:p>
        </w:tc>
        <w:tc>
          <w:p>
            <w:pPr>
              <w:pStyle w:val="Compact"/>
              <w:jc w:val="right"/>
            </w:pPr>
            <w:r>
              <w:t xml:space="preserve">0.21</w:t>
            </w:r>
          </w:p>
        </w:tc>
        <w:tc>
          <w:p>
            <w:pPr>
              <w:pStyle w:val="Compact"/>
              <w:jc w:val="right"/>
            </w:pPr>
            <w:r>
              <w:t xml:space="preserve">0.19</w:t>
            </w:r>
          </w:p>
        </w:tc>
        <w:tc>
          <w:p>
            <w:pPr>
              <w:pStyle w:val="Compact"/>
              <w:jc w:val="right"/>
            </w:pPr>
            <w:r>
              <w:t xml:space="preserve">0.22</w:t>
            </w:r>
          </w:p>
        </w:tc>
        <w:tc>
          <w:p>
            <w:pPr>
              <w:pStyle w:val="Compact"/>
              <w:jc w:val="right"/>
            </w:pPr>
            <w:r>
              <w:t xml:space="preserve">0.19</w:t>
            </w:r>
          </w:p>
        </w:tc>
        <w:tc>
          <w:p>
            <w:pPr>
              <w:pStyle w:val="Compact"/>
              <w:jc w:val="right"/>
            </w:pPr>
            <w:r>
              <w:t xml:space="preserve">0.20</w:t>
            </w:r>
          </w:p>
        </w:tc>
        <w:tc>
          <w:p>
            <w:pPr>
              <w:pStyle w:val="Compact"/>
              <w:jc w:val="right"/>
            </w:pPr>
            <w:r>
              <w:t xml:space="preserve">0.19</w:t>
            </w:r>
          </w:p>
        </w:tc>
        <w:tc>
          <w:p>
            <w:pPr>
              <w:pStyle w:val="Compact"/>
              <w:jc w:val="right"/>
            </w:pPr>
            <w:r>
              <w:t xml:space="preserve">0.18</w:t>
            </w:r>
          </w:p>
        </w:tc>
        <w:tc>
          <w:p>
            <w:pPr>
              <w:pStyle w:val="Compact"/>
              <w:jc w:val="right"/>
            </w:pPr>
            <w:r>
              <w:t xml:space="preserve">0.22</w:t>
            </w:r>
          </w:p>
        </w:tc>
      </w:tr>
      <w:tr>
        <w:tc>
          <w:p>
            <w:pPr>
              <w:pStyle w:val="Compact"/>
              <w:jc w:val="left"/>
            </w:pPr>
            <w:r>
              <w:t xml:space="preserve">SD</w:t>
            </w:r>
          </w:p>
        </w:tc>
        <w:tc>
          <w:p>
            <w:pPr>
              <w:pStyle w:val="Compact"/>
              <w:jc w:val="right"/>
            </w:pPr>
            <w:r>
              <w:t xml:space="preserve">0.18</w:t>
            </w:r>
          </w:p>
        </w:tc>
        <w:tc>
          <w:p>
            <w:pPr>
              <w:pStyle w:val="Compact"/>
              <w:jc w:val="right"/>
            </w:pPr>
            <w:r>
              <w:t xml:space="preserve">0.21</w:t>
            </w:r>
          </w:p>
        </w:tc>
        <w:tc>
          <w:p>
            <w:pPr>
              <w:pStyle w:val="Compact"/>
              <w:jc w:val="right"/>
            </w:pPr>
            <w:r>
              <w:t xml:space="preserve">0.19</w:t>
            </w:r>
          </w:p>
        </w:tc>
        <w:tc>
          <w:p>
            <w:pPr>
              <w:pStyle w:val="Compact"/>
              <w:jc w:val="right"/>
            </w:pPr>
            <w:r>
              <w:t xml:space="preserve">0.19</w:t>
            </w:r>
          </w:p>
        </w:tc>
        <w:tc>
          <w:p>
            <w:pPr>
              <w:pStyle w:val="Compact"/>
              <w:jc w:val="right"/>
            </w:pPr>
            <w:r>
              <w:t xml:space="preserve">0.18</w:t>
            </w:r>
          </w:p>
        </w:tc>
        <w:tc>
          <w:p>
            <w:pPr>
              <w:pStyle w:val="Compact"/>
              <w:jc w:val="right"/>
            </w:pPr>
            <w:r>
              <w:t xml:space="preserve">0.17</w:t>
            </w:r>
          </w:p>
        </w:tc>
        <w:tc>
          <w:p>
            <w:pPr>
              <w:pStyle w:val="Compact"/>
              <w:jc w:val="right"/>
            </w:pPr>
            <w:r>
              <w:t xml:space="preserve">0.19</w:t>
            </w:r>
          </w:p>
        </w:tc>
        <w:tc>
          <w:p>
            <w:pPr>
              <w:pStyle w:val="Compact"/>
              <w:jc w:val="right"/>
            </w:pPr>
            <w:r>
              <w:t xml:space="preserve">0.19</w:t>
            </w:r>
          </w:p>
        </w:tc>
        <w:tc>
          <w:p>
            <w:pPr>
              <w:pStyle w:val="Compact"/>
              <w:jc w:val="right"/>
            </w:pPr>
            <w:r>
              <w:t xml:space="preserve">0.18</w:t>
            </w:r>
          </w:p>
        </w:tc>
        <w:tc>
          <w:p>
            <w:pPr>
              <w:pStyle w:val="Compact"/>
              <w:jc w:val="right"/>
            </w:pPr>
            <w:r>
              <w:t xml:space="preserve">0.20</w:t>
            </w:r>
          </w:p>
        </w:tc>
        <w:tc>
          <w:p>
            <w:pPr>
              <w:pStyle w:val="Compact"/>
              <w:jc w:val="right"/>
            </w:pPr>
            <w:r>
              <w:t xml:space="preserve">0.20</w:t>
            </w:r>
          </w:p>
        </w:tc>
        <w:tc>
          <w:p>
            <w:pPr>
              <w:pStyle w:val="Compact"/>
              <w:jc w:val="right"/>
            </w:pPr>
            <w:r>
              <w:t xml:space="preserve">0.21</w:t>
            </w:r>
          </w:p>
        </w:tc>
      </w:tr>
      <w:tr>
        <w:tc>
          <w:p>
            <w:pPr>
              <w:pStyle w:val="Compact"/>
              <w:jc w:val="left"/>
            </w:pPr>
            <w:r>
              <w:t xml:space="preserve">Sharpe Ratio</w:t>
            </w:r>
          </w:p>
        </w:tc>
        <w:tc>
          <w:p>
            <w:pPr>
              <w:pStyle w:val="Compact"/>
              <w:jc w:val="right"/>
            </w:pPr>
            <w:r>
              <w:t xml:space="preserve">1.24</w:t>
            </w:r>
          </w:p>
        </w:tc>
        <w:tc>
          <w:p>
            <w:pPr>
              <w:pStyle w:val="Compact"/>
              <w:jc w:val="right"/>
            </w:pPr>
            <w:r>
              <w:t xml:space="preserve">1.06</w:t>
            </w:r>
          </w:p>
        </w:tc>
        <w:tc>
          <w:p>
            <w:pPr>
              <w:pStyle w:val="Compact"/>
              <w:jc w:val="right"/>
            </w:pPr>
            <w:r>
              <w:t xml:space="preserve">1.14</w:t>
            </w:r>
          </w:p>
        </w:tc>
        <w:tc>
          <w:p>
            <w:pPr>
              <w:pStyle w:val="Compact"/>
              <w:jc w:val="right"/>
            </w:pPr>
            <w:r>
              <w:t xml:space="preserve">1.15</w:t>
            </w:r>
          </w:p>
        </w:tc>
        <w:tc>
          <w:p>
            <w:pPr>
              <w:pStyle w:val="Compact"/>
              <w:jc w:val="right"/>
            </w:pPr>
            <w:r>
              <w:t xml:space="preserve">1.21</w:t>
            </w:r>
          </w:p>
        </w:tc>
        <w:tc>
          <w:p>
            <w:pPr>
              <w:pStyle w:val="Compact"/>
              <w:jc w:val="right"/>
            </w:pPr>
            <w:r>
              <w:t xml:space="preserve">1.16</w:t>
            </w:r>
          </w:p>
        </w:tc>
        <w:tc>
          <w:p>
            <w:pPr>
              <w:pStyle w:val="Compact"/>
              <w:jc w:val="right"/>
            </w:pPr>
            <w:r>
              <w:t xml:space="preserve">1.17</w:t>
            </w:r>
          </w:p>
        </w:tc>
        <w:tc>
          <w:p>
            <w:pPr>
              <w:pStyle w:val="Compact"/>
              <w:jc w:val="right"/>
            </w:pPr>
            <w:r>
              <w:t xml:space="preserve">1.02</w:t>
            </w:r>
          </w:p>
        </w:tc>
        <w:tc>
          <w:p>
            <w:pPr>
              <w:pStyle w:val="Compact"/>
              <w:jc w:val="right"/>
            </w:pPr>
            <w:r>
              <w:t xml:space="preserve">1.13</w:t>
            </w:r>
          </w:p>
        </w:tc>
        <w:tc>
          <w:p>
            <w:pPr>
              <w:pStyle w:val="Compact"/>
              <w:jc w:val="right"/>
            </w:pPr>
            <w:r>
              <w:t xml:space="preserve">0.97</w:t>
            </w:r>
          </w:p>
        </w:tc>
        <w:tc>
          <w:p>
            <w:pPr>
              <w:pStyle w:val="Compact"/>
              <w:jc w:val="right"/>
            </w:pPr>
            <w:r>
              <w:t xml:space="preserve">0.91</w:t>
            </w:r>
          </w:p>
        </w:tc>
        <w:tc>
          <w:p>
            <w:pPr>
              <w:pStyle w:val="Compact"/>
              <w:jc w:val="right"/>
            </w:pPr>
            <w:r>
              <w:t xml:space="preserve">1.04</w:t>
            </w:r>
          </w:p>
        </w:tc>
      </w:tr>
      <w:tr>
        <w:tc>
          <w:p>
            <w:pPr>
              <w:pStyle w:val="Compact"/>
              <w:jc w:val="left"/>
            </w:pPr>
            <w:r>
              <w:t xml:space="preserve">As can be seen, 2</w:t>
            </w:r>
          </w:p>
        </w:tc>
        <w:tc>
          <w:p>
            <w:pPr>
              <w:pStyle w:val="Compact"/>
              <w:jc w:val="right"/>
            </w:pPr>
            <w:r>
              <w:t xml:space="preserve">- 5 mon</w:t>
            </w:r>
          </w:p>
        </w:tc>
        <w:tc>
          <w:p>
            <w:pPr>
              <w:pStyle w:val="Compact"/>
              <w:jc w:val="right"/>
            </w:pPr>
            <w:r>
              <w:t xml:space="preserve">th look</w:t>
            </w:r>
          </w:p>
        </w:tc>
        <w:tc>
          <w:p>
            <w:pPr>
              <w:pStyle w:val="Compact"/>
              <w:jc w:val="right"/>
            </w:pPr>
            <w:r>
              <w:t xml:space="preserve">back s</w:t>
            </w:r>
          </w:p>
        </w:tc>
        <w:tc>
          <w:p>
            <w:pPr>
              <w:pStyle w:val="Compact"/>
              <w:jc w:val="right"/>
            </w:pPr>
            <w:r>
              <w:t xml:space="preserve">eems to</w:t>
            </w:r>
          </w:p>
        </w:tc>
        <w:tc>
          <w:p>
            <w:pPr>
              <w:pStyle w:val="Compact"/>
              <w:jc w:val="right"/>
            </w:pPr>
            <w:r>
              <w:t xml:space="preserve">be pro</w:t>
            </w:r>
          </w:p>
        </w:tc>
        <w:tc>
          <w:p>
            <w:pPr>
              <w:pStyle w:val="Compact"/>
              <w:jc w:val="right"/>
            </w:pPr>
            <w:r>
              <w:t xml:space="preserve">viding</w:t>
            </w:r>
          </w:p>
        </w:tc>
        <w:tc>
          <w:p>
            <w:pPr>
              <w:pStyle w:val="Compact"/>
              <w:jc w:val="right"/>
            </w:pPr>
            <w:r>
              <w:t xml:space="preserve">good sh</w:t>
            </w:r>
          </w:p>
        </w:tc>
        <w:tc>
          <w:p>
            <w:pPr>
              <w:pStyle w:val="Compact"/>
              <w:jc w:val="right"/>
            </w:pPr>
            <w:r>
              <w:t xml:space="preserve">arpe ra</w:t>
            </w:r>
          </w:p>
        </w:tc>
        <w:tc>
          <w:p>
            <w:pPr>
              <w:pStyle w:val="Compact"/>
              <w:jc w:val="right"/>
            </w:pPr>
            <w:r>
              <w:t xml:space="preserve">tio.</w:t>
            </w:r>
          </w:p>
        </w:tc>
        <w:tc>
          <w:p>
            <w:pStyle w:val="Compact"/>
          </w:p>
        </w:tc>
        <w:tc>
          <w:p>
            <w:pStyle w:val="Compact"/>
          </w:p>
        </w:tc>
        <w:tc>
          <w:p>
            <w:pStyle w:val="Compact"/>
          </w:p>
        </w:tc>
      </w:tr>
    </w:tbl>
    <w:p>
      <w:pPr>
        <w:pStyle w:val="Heading2"/>
      </w:pPr>
      <w:bookmarkStart w:id="26" w:name="consistency-filter"/>
      <w:bookmarkEnd w:id="26"/>
      <w:r>
        <w:t xml:space="preserve">3 Consistency Filter</w:t>
      </w:r>
    </w:p>
    <w:p>
      <w:pPr>
        <w:pStyle w:val="FirstParagraph"/>
      </w:pPr>
      <w:r>
        <w:t xml:space="preserve">We will consider a 3 month look back for the consistency filter.</w:t>
      </w:r>
    </w:p>
    <w:p>
      <w:pPr>
        <w:pStyle w:val="TableCaption"/>
      </w:pPr>
      <w:r>
        <w:t xml:space="preserve">Direction Signal With filter:2002-2007</w:t>
      </w:r>
    </w:p>
    <w:tbl>
      <w:tblPr>
        <w:tblStyle w:val="TableNormal"/>
        <w:tblW w:type="pct" w:w="0.0"/>
        <w:tblLook w:firstRow="1"/>
        <w:tblCaption w:val="Direction Signal With filter:2002-2007"/>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12</w:t>
            </w:r>
          </w:p>
        </w:tc>
      </w:tr>
      <w:tr>
        <w:tc>
          <w:p>
            <w:pPr>
              <w:pStyle w:val="Compact"/>
              <w:jc w:val="left"/>
            </w:pPr>
            <w:r>
              <w:t xml:space="preserve">Annualized Mean</w:t>
            </w:r>
          </w:p>
        </w:tc>
        <w:tc>
          <w:p>
            <w:pPr>
              <w:pStyle w:val="Compact"/>
              <w:jc w:val="right"/>
            </w:pPr>
            <w:r>
              <w:t xml:space="preserve">0.18</w:t>
            </w:r>
          </w:p>
        </w:tc>
        <w:tc>
          <w:p>
            <w:pPr>
              <w:pStyle w:val="Compact"/>
              <w:jc w:val="right"/>
            </w:pPr>
            <w:r>
              <w:t xml:space="preserve">0.13</w:t>
            </w:r>
          </w:p>
        </w:tc>
        <w:tc>
          <w:p>
            <w:pPr>
              <w:pStyle w:val="Compact"/>
              <w:jc w:val="right"/>
            </w:pPr>
            <w:r>
              <w:t xml:space="preserve">0.13</w:t>
            </w:r>
          </w:p>
        </w:tc>
        <w:tc>
          <w:p>
            <w:pPr>
              <w:pStyle w:val="Compact"/>
              <w:jc w:val="right"/>
            </w:pPr>
            <w:r>
              <w:t xml:space="preserve">0.12</w:t>
            </w:r>
          </w:p>
        </w:tc>
        <w:tc>
          <w:p>
            <w:pPr>
              <w:pStyle w:val="Compact"/>
              <w:jc w:val="right"/>
            </w:pPr>
            <w:r>
              <w:t xml:space="preserve">0.12</w:t>
            </w:r>
          </w:p>
        </w:tc>
        <w:tc>
          <w:p>
            <w:pPr>
              <w:pStyle w:val="Compact"/>
              <w:jc w:val="right"/>
            </w:pPr>
            <w:r>
              <w:t xml:space="preserve">0.11</w:t>
            </w:r>
          </w:p>
        </w:tc>
        <w:tc>
          <w:p>
            <w:pPr>
              <w:pStyle w:val="Compact"/>
              <w:jc w:val="right"/>
            </w:pPr>
            <w:r>
              <w:t xml:space="preserve">0.10</w:t>
            </w:r>
          </w:p>
        </w:tc>
        <w:tc>
          <w:p>
            <w:pPr>
              <w:pStyle w:val="Compact"/>
              <w:jc w:val="right"/>
            </w:pPr>
            <w:r>
              <w:t xml:space="preserve">0.10</w:t>
            </w:r>
          </w:p>
        </w:tc>
        <w:tc>
          <w:p>
            <w:pPr>
              <w:pStyle w:val="Compact"/>
              <w:jc w:val="right"/>
            </w:pPr>
            <w:r>
              <w:t xml:space="preserve">0.09</w:t>
            </w:r>
          </w:p>
        </w:tc>
        <w:tc>
          <w:p>
            <w:pPr>
              <w:pStyle w:val="Compact"/>
              <w:jc w:val="right"/>
            </w:pPr>
            <w:r>
              <w:t xml:space="preserve">0.09</w:t>
            </w:r>
          </w:p>
        </w:tc>
        <w:tc>
          <w:p>
            <w:pPr>
              <w:pStyle w:val="Compact"/>
              <w:jc w:val="right"/>
            </w:pPr>
            <w:r>
              <w:t xml:space="preserve">0.08</w:t>
            </w:r>
          </w:p>
        </w:tc>
        <w:tc>
          <w:p>
            <w:pPr>
              <w:pStyle w:val="Compact"/>
              <w:jc w:val="right"/>
            </w:pPr>
            <w:r>
              <w:t xml:space="preserve">0.08</w:t>
            </w:r>
          </w:p>
        </w:tc>
      </w:tr>
      <w:tr>
        <w:tc>
          <w:p>
            <w:pPr>
              <w:pStyle w:val="Compact"/>
              <w:jc w:val="left"/>
            </w:pPr>
            <w:r>
              <w:t xml:space="preserve">SD</w:t>
            </w:r>
          </w:p>
        </w:tc>
        <w:tc>
          <w:p>
            <w:pPr>
              <w:pStyle w:val="Compact"/>
              <w:jc w:val="right"/>
            </w:pPr>
            <w:r>
              <w:t xml:space="preserve">0.12</w:t>
            </w:r>
          </w:p>
        </w:tc>
        <w:tc>
          <w:p>
            <w:pPr>
              <w:pStyle w:val="Compact"/>
              <w:jc w:val="right"/>
            </w:pPr>
            <w:r>
              <w:t xml:space="preserve">0.17</w:t>
            </w:r>
          </w:p>
        </w:tc>
        <w:tc>
          <w:p>
            <w:pPr>
              <w:pStyle w:val="Compact"/>
              <w:jc w:val="right"/>
            </w:pPr>
            <w:r>
              <w:t xml:space="preserve">0.10</w:t>
            </w:r>
          </w:p>
        </w:tc>
        <w:tc>
          <w:p>
            <w:pPr>
              <w:pStyle w:val="Compact"/>
              <w:jc w:val="right"/>
            </w:pPr>
            <w:r>
              <w:t xml:space="preserve">0.09</w:t>
            </w:r>
          </w:p>
        </w:tc>
        <w:tc>
          <w:p>
            <w:pPr>
              <w:pStyle w:val="Compact"/>
              <w:jc w:val="right"/>
            </w:pPr>
            <w:r>
              <w:t xml:space="preserve">0.09</w:t>
            </w:r>
          </w:p>
        </w:tc>
        <w:tc>
          <w:p>
            <w:pPr>
              <w:pStyle w:val="Compact"/>
              <w:jc w:val="right"/>
            </w:pPr>
            <w:r>
              <w:t xml:space="preserve">0.09</w:t>
            </w:r>
          </w:p>
        </w:tc>
        <w:tc>
          <w:p>
            <w:pPr>
              <w:pStyle w:val="Compact"/>
              <w:jc w:val="right"/>
            </w:pPr>
            <w:r>
              <w:t xml:space="preserve">0.09</w:t>
            </w:r>
          </w:p>
        </w:tc>
        <w:tc>
          <w:p>
            <w:pPr>
              <w:pStyle w:val="Compact"/>
              <w:jc w:val="right"/>
            </w:pPr>
            <w:r>
              <w:t xml:space="preserve">0.08</w:t>
            </w:r>
          </w:p>
        </w:tc>
        <w:tc>
          <w:p>
            <w:pPr>
              <w:pStyle w:val="Compact"/>
              <w:jc w:val="right"/>
            </w:pPr>
            <w:r>
              <w:t xml:space="preserve">0.09</w:t>
            </w:r>
          </w:p>
        </w:tc>
        <w:tc>
          <w:p>
            <w:pPr>
              <w:pStyle w:val="Compact"/>
              <w:jc w:val="right"/>
            </w:pPr>
            <w:r>
              <w:t xml:space="preserve">0.07</w:t>
            </w:r>
          </w:p>
        </w:tc>
        <w:tc>
          <w:p>
            <w:pPr>
              <w:pStyle w:val="Compact"/>
              <w:jc w:val="right"/>
            </w:pPr>
            <w:r>
              <w:t xml:space="preserve">0.06</w:t>
            </w:r>
          </w:p>
        </w:tc>
        <w:tc>
          <w:p>
            <w:pPr>
              <w:pStyle w:val="Compact"/>
              <w:jc w:val="right"/>
            </w:pPr>
            <w:r>
              <w:t xml:space="preserve">0.07</w:t>
            </w:r>
          </w:p>
        </w:tc>
      </w:tr>
      <w:tr>
        <w:tc>
          <w:p>
            <w:pPr>
              <w:pStyle w:val="Compact"/>
              <w:jc w:val="left"/>
            </w:pPr>
            <w:r>
              <w:t xml:space="preserve">Sharpe Ratio</w:t>
            </w:r>
          </w:p>
        </w:tc>
        <w:tc>
          <w:p>
            <w:pPr>
              <w:pStyle w:val="Compact"/>
              <w:jc w:val="right"/>
            </w:pPr>
            <w:r>
              <w:t xml:space="preserve">1.54</w:t>
            </w:r>
          </w:p>
        </w:tc>
        <w:tc>
          <w:p>
            <w:pPr>
              <w:pStyle w:val="Compact"/>
              <w:jc w:val="right"/>
            </w:pPr>
            <w:r>
              <w:t xml:space="preserve">0.78</w:t>
            </w:r>
          </w:p>
        </w:tc>
        <w:tc>
          <w:p>
            <w:pPr>
              <w:pStyle w:val="Compact"/>
              <w:jc w:val="right"/>
            </w:pPr>
            <w:r>
              <w:t xml:space="preserve">1.27</w:t>
            </w:r>
          </w:p>
        </w:tc>
        <w:tc>
          <w:p>
            <w:pPr>
              <w:pStyle w:val="Compact"/>
              <w:jc w:val="right"/>
            </w:pPr>
            <w:r>
              <w:t xml:space="preserve">1.41</w:t>
            </w:r>
          </w:p>
        </w:tc>
        <w:tc>
          <w:p>
            <w:pPr>
              <w:pStyle w:val="Compact"/>
              <w:jc w:val="right"/>
            </w:pPr>
            <w:r>
              <w:t xml:space="preserve">1.27</w:t>
            </w:r>
          </w:p>
        </w:tc>
        <w:tc>
          <w:p>
            <w:pPr>
              <w:pStyle w:val="Compact"/>
              <w:jc w:val="right"/>
            </w:pPr>
            <w:r>
              <w:t xml:space="preserve">1.26</w:t>
            </w:r>
          </w:p>
        </w:tc>
        <w:tc>
          <w:p>
            <w:pPr>
              <w:pStyle w:val="Compact"/>
              <w:jc w:val="right"/>
            </w:pPr>
            <w:r>
              <w:t xml:space="preserve">1.10</w:t>
            </w:r>
          </w:p>
        </w:tc>
        <w:tc>
          <w:p>
            <w:pPr>
              <w:pStyle w:val="Compact"/>
              <w:jc w:val="right"/>
            </w:pPr>
            <w:r>
              <w:t xml:space="preserve">1.18</w:t>
            </w:r>
          </w:p>
        </w:tc>
        <w:tc>
          <w:p>
            <w:pPr>
              <w:pStyle w:val="Compact"/>
              <w:jc w:val="right"/>
            </w:pPr>
            <w:r>
              <w:t xml:space="preserve">0.99</w:t>
            </w:r>
          </w:p>
        </w:tc>
        <w:tc>
          <w:p>
            <w:pPr>
              <w:pStyle w:val="Compact"/>
              <w:jc w:val="right"/>
            </w:pPr>
            <w:r>
              <w:t xml:space="preserve">1.29</w:t>
            </w:r>
          </w:p>
        </w:tc>
        <w:tc>
          <w:p>
            <w:pPr>
              <w:pStyle w:val="Compact"/>
              <w:jc w:val="right"/>
            </w:pPr>
            <w:r>
              <w:t xml:space="preserve">1.43</w:t>
            </w:r>
          </w:p>
        </w:tc>
        <w:tc>
          <w:p>
            <w:pPr>
              <w:pStyle w:val="Compact"/>
              <w:jc w:val="right"/>
            </w:pPr>
            <w:r>
              <w:t xml:space="preserve">1.12</w:t>
            </w:r>
          </w:p>
        </w:tc>
      </w:tr>
    </w:tbl>
    <w:p>
      <w:pPr>
        <w:pStyle w:val="TableCaption"/>
      </w:pPr>
      <w:r>
        <w:t xml:space="preserve">Direction Signal With filter:2007-2011</w:t>
      </w:r>
    </w:p>
    <w:tbl>
      <w:tblPr>
        <w:tblStyle w:val="TableNormal"/>
        <w:tblW w:type="pct" w:w="0.0"/>
        <w:tblLook w:firstRow="1"/>
        <w:tblCaption w:val="Direction Signal With filter:2007-201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12</w:t>
            </w:r>
          </w:p>
        </w:tc>
      </w:tr>
      <w:tr>
        <w:tc>
          <w:p>
            <w:pPr>
              <w:pStyle w:val="Compact"/>
              <w:jc w:val="left"/>
            </w:pPr>
            <w:r>
              <w:t xml:space="preserve">Annualized Mean</w:t>
            </w:r>
          </w:p>
        </w:tc>
        <w:tc>
          <w:p>
            <w:pPr>
              <w:pStyle w:val="Compact"/>
              <w:jc w:val="right"/>
            </w:pPr>
            <w:r>
              <w:t xml:space="preserve">0.28</w:t>
            </w:r>
          </w:p>
        </w:tc>
        <w:tc>
          <w:p>
            <w:pPr>
              <w:pStyle w:val="Compact"/>
              <w:jc w:val="right"/>
            </w:pPr>
            <w:r>
              <w:t xml:space="preserve">0.25</w:t>
            </w:r>
          </w:p>
        </w:tc>
        <w:tc>
          <w:p>
            <w:pPr>
              <w:pStyle w:val="Compact"/>
              <w:jc w:val="right"/>
            </w:pPr>
            <w:r>
              <w:t xml:space="preserve">0.20</w:t>
            </w:r>
          </w:p>
        </w:tc>
        <w:tc>
          <w:p>
            <w:pPr>
              <w:pStyle w:val="Compact"/>
              <w:jc w:val="right"/>
            </w:pPr>
            <w:r>
              <w:t xml:space="preserve">0.21</w:t>
            </w:r>
          </w:p>
        </w:tc>
        <w:tc>
          <w:p>
            <w:pPr>
              <w:pStyle w:val="Compact"/>
              <w:jc w:val="right"/>
            </w:pPr>
            <w:r>
              <w:t xml:space="preserve">0.20</w:t>
            </w:r>
          </w:p>
        </w:tc>
        <w:tc>
          <w:p>
            <w:pPr>
              <w:pStyle w:val="Compact"/>
              <w:jc w:val="right"/>
            </w:pPr>
            <w:r>
              <w:t xml:space="preserve">0.18</w:t>
            </w:r>
          </w:p>
        </w:tc>
        <w:tc>
          <w:p>
            <w:pPr>
              <w:pStyle w:val="Compact"/>
              <w:jc w:val="right"/>
            </w:pPr>
            <w:r>
              <w:t xml:space="preserve">0.18</w:t>
            </w:r>
          </w:p>
        </w:tc>
        <w:tc>
          <w:p>
            <w:pPr>
              <w:pStyle w:val="Compact"/>
              <w:jc w:val="right"/>
            </w:pPr>
            <w:r>
              <w:t xml:space="preserve">0.18</w:t>
            </w:r>
          </w:p>
        </w:tc>
        <w:tc>
          <w:p>
            <w:pPr>
              <w:pStyle w:val="Compact"/>
              <w:jc w:val="right"/>
            </w:pPr>
            <w:r>
              <w:t xml:space="preserve">0.15</w:t>
            </w:r>
          </w:p>
        </w:tc>
        <w:tc>
          <w:p>
            <w:pPr>
              <w:pStyle w:val="Compact"/>
              <w:jc w:val="right"/>
            </w:pPr>
            <w:r>
              <w:t xml:space="preserve">0.14</w:t>
            </w:r>
          </w:p>
        </w:tc>
        <w:tc>
          <w:p>
            <w:pPr>
              <w:pStyle w:val="Compact"/>
              <w:jc w:val="right"/>
            </w:pPr>
            <w:r>
              <w:t xml:space="preserve">0.15</w:t>
            </w:r>
          </w:p>
        </w:tc>
        <w:tc>
          <w:p>
            <w:pPr>
              <w:pStyle w:val="Compact"/>
              <w:jc w:val="right"/>
            </w:pPr>
            <w:r>
              <w:t xml:space="preserve">0.16</w:t>
            </w:r>
          </w:p>
        </w:tc>
      </w:tr>
      <w:tr>
        <w:tc>
          <w:p>
            <w:pPr>
              <w:pStyle w:val="Compact"/>
              <w:jc w:val="left"/>
            </w:pPr>
            <w:r>
              <w:t xml:space="preserve">SD</w:t>
            </w:r>
          </w:p>
        </w:tc>
        <w:tc>
          <w:p>
            <w:pPr>
              <w:pStyle w:val="Compact"/>
              <w:jc w:val="right"/>
            </w:pPr>
            <w:r>
              <w:t xml:space="preserve">0.19</w:t>
            </w:r>
          </w:p>
        </w:tc>
        <w:tc>
          <w:p>
            <w:pPr>
              <w:pStyle w:val="Compact"/>
              <w:jc w:val="right"/>
            </w:pPr>
            <w:r>
              <w:t xml:space="preserve">0.17</w:t>
            </w:r>
          </w:p>
        </w:tc>
        <w:tc>
          <w:p>
            <w:pPr>
              <w:pStyle w:val="Compact"/>
              <w:jc w:val="right"/>
            </w:pPr>
            <w:r>
              <w:t xml:space="preserve">0.16</w:t>
            </w:r>
          </w:p>
        </w:tc>
        <w:tc>
          <w:p>
            <w:pPr>
              <w:pStyle w:val="Compact"/>
              <w:jc w:val="right"/>
            </w:pPr>
            <w:r>
              <w:t xml:space="preserve">0.16</w:t>
            </w:r>
          </w:p>
        </w:tc>
        <w:tc>
          <w:p>
            <w:pPr>
              <w:pStyle w:val="Compact"/>
              <w:jc w:val="right"/>
            </w:pPr>
            <w:r>
              <w:t xml:space="preserve">0.15</w:t>
            </w:r>
          </w:p>
        </w:tc>
        <w:tc>
          <w:p>
            <w:pPr>
              <w:pStyle w:val="Compact"/>
              <w:jc w:val="right"/>
            </w:pPr>
            <w:r>
              <w:t xml:space="preserve">0.15</w:t>
            </w:r>
          </w:p>
        </w:tc>
        <w:tc>
          <w:p>
            <w:pPr>
              <w:pStyle w:val="Compact"/>
              <w:jc w:val="right"/>
            </w:pPr>
            <w:r>
              <w:t xml:space="preserve">0.14</w:t>
            </w:r>
          </w:p>
        </w:tc>
        <w:tc>
          <w:p>
            <w:pPr>
              <w:pStyle w:val="Compact"/>
              <w:jc w:val="right"/>
            </w:pPr>
            <w:r>
              <w:t xml:space="preserve">0.14</w:t>
            </w:r>
          </w:p>
        </w:tc>
        <w:tc>
          <w:p>
            <w:pPr>
              <w:pStyle w:val="Compact"/>
              <w:jc w:val="right"/>
            </w:pPr>
            <w:r>
              <w:t xml:space="preserve">0.14</w:t>
            </w:r>
          </w:p>
        </w:tc>
        <w:tc>
          <w:p>
            <w:pPr>
              <w:pStyle w:val="Compact"/>
              <w:jc w:val="right"/>
            </w:pPr>
            <w:r>
              <w:t xml:space="preserve">0.14</w:t>
            </w:r>
          </w:p>
        </w:tc>
        <w:tc>
          <w:p>
            <w:pPr>
              <w:pStyle w:val="Compact"/>
              <w:jc w:val="right"/>
            </w:pPr>
            <w:r>
              <w:t xml:space="preserve">0.14</w:t>
            </w:r>
          </w:p>
        </w:tc>
        <w:tc>
          <w:p>
            <w:pPr>
              <w:pStyle w:val="Compact"/>
              <w:jc w:val="right"/>
            </w:pPr>
            <w:r>
              <w:t xml:space="preserve">0.13</w:t>
            </w:r>
          </w:p>
        </w:tc>
      </w:tr>
      <w:tr>
        <w:tc>
          <w:p>
            <w:pPr>
              <w:pStyle w:val="Compact"/>
              <w:jc w:val="left"/>
            </w:pPr>
            <w:r>
              <w:t xml:space="preserve">Sharpe Ratio</w:t>
            </w:r>
          </w:p>
        </w:tc>
        <w:tc>
          <w:p>
            <w:pPr>
              <w:pStyle w:val="Compact"/>
              <w:jc w:val="right"/>
            </w:pPr>
            <w:r>
              <w:t xml:space="preserve">1.54</w:t>
            </w:r>
          </w:p>
        </w:tc>
        <w:tc>
          <w:p>
            <w:pPr>
              <w:pStyle w:val="Compact"/>
              <w:jc w:val="right"/>
            </w:pPr>
            <w:r>
              <w:t xml:space="preserve">1.42</w:t>
            </w:r>
          </w:p>
        </w:tc>
        <w:tc>
          <w:p>
            <w:pPr>
              <w:pStyle w:val="Compact"/>
              <w:jc w:val="right"/>
            </w:pPr>
            <w:r>
              <w:t xml:space="preserve">1.30</w:t>
            </w:r>
          </w:p>
        </w:tc>
        <w:tc>
          <w:p>
            <w:pPr>
              <w:pStyle w:val="Compact"/>
              <w:jc w:val="right"/>
            </w:pPr>
            <w:r>
              <w:t xml:space="preserve">1.30</w:t>
            </w:r>
          </w:p>
        </w:tc>
        <w:tc>
          <w:p>
            <w:pPr>
              <w:pStyle w:val="Compact"/>
              <w:jc w:val="right"/>
            </w:pPr>
            <w:r>
              <w:t xml:space="preserve">1.34</w:t>
            </w:r>
          </w:p>
        </w:tc>
        <w:tc>
          <w:p>
            <w:pPr>
              <w:pStyle w:val="Compact"/>
              <w:jc w:val="right"/>
            </w:pPr>
            <w:r>
              <w:t xml:space="preserve">1.23</w:t>
            </w:r>
          </w:p>
        </w:tc>
        <w:tc>
          <w:p>
            <w:pPr>
              <w:pStyle w:val="Compact"/>
              <w:jc w:val="right"/>
            </w:pPr>
            <w:r>
              <w:t xml:space="preserve">1.29</w:t>
            </w:r>
          </w:p>
        </w:tc>
        <w:tc>
          <w:p>
            <w:pPr>
              <w:pStyle w:val="Compact"/>
              <w:jc w:val="right"/>
            </w:pPr>
            <w:r>
              <w:t xml:space="preserve">1.23</w:t>
            </w:r>
          </w:p>
        </w:tc>
        <w:tc>
          <w:p>
            <w:pPr>
              <w:pStyle w:val="Compact"/>
              <w:jc w:val="right"/>
            </w:pPr>
            <w:r>
              <w:t xml:space="preserve">1.14</w:t>
            </w:r>
          </w:p>
        </w:tc>
        <w:tc>
          <w:p>
            <w:pPr>
              <w:pStyle w:val="Compact"/>
              <w:jc w:val="right"/>
            </w:pPr>
            <w:r>
              <w:t xml:space="preserve">1.03</w:t>
            </w:r>
          </w:p>
        </w:tc>
        <w:tc>
          <w:p>
            <w:pPr>
              <w:pStyle w:val="Compact"/>
              <w:jc w:val="right"/>
            </w:pPr>
            <w:r>
              <w:t xml:space="preserve">1.07</w:t>
            </w:r>
          </w:p>
        </w:tc>
        <w:tc>
          <w:p>
            <w:pPr>
              <w:pStyle w:val="Compact"/>
              <w:jc w:val="right"/>
            </w:pPr>
            <w:r>
              <w:t xml:space="preserve">1.29</w:t>
            </w:r>
          </w:p>
        </w:tc>
      </w:tr>
    </w:tbl>
    <w:p>
      <w:pPr>
        <w:pStyle w:val="TableCaption"/>
      </w:pPr>
      <w:r>
        <w:t xml:space="preserve">Direction Signal With filter:2011-Present</w:t>
      </w:r>
    </w:p>
    <w:tbl>
      <w:tblPr>
        <w:tblStyle w:val="TableNormal"/>
        <w:tblW w:type="pct" w:w="0.0"/>
        <w:tblLook w:firstRow="1"/>
        <w:tblCaption w:val="Direction Signal With filter:2011-Present"/>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12</w:t>
            </w:r>
          </w:p>
        </w:tc>
      </w:tr>
      <w:tr>
        <w:tc>
          <w:p>
            <w:pPr>
              <w:pStyle w:val="Compact"/>
              <w:jc w:val="left"/>
            </w:pPr>
            <w:r>
              <w:t xml:space="preserve">Annualized Mean</w:t>
            </w:r>
          </w:p>
        </w:tc>
        <w:tc>
          <w:p>
            <w:pPr>
              <w:pStyle w:val="Compact"/>
              <w:jc w:val="right"/>
            </w:pPr>
            <w:r>
              <w:t xml:space="preserve">0.22</w:t>
            </w:r>
          </w:p>
        </w:tc>
        <w:tc>
          <w:p>
            <w:pPr>
              <w:pStyle w:val="Compact"/>
              <w:jc w:val="right"/>
            </w:pPr>
            <w:r>
              <w:t xml:space="preserve">0.19</w:t>
            </w:r>
          </w:p>
        </w:tc>
        <w:tc>
          <w:p>
            <w:pPr>
              <w:pStyle w:val="Compact"/>
              <w:jc w:val="right"/>
            </w:pPr>
            <w:r>
              <w:t xml:space="preserve">0.17</w:t>
            </w:r>
          </w:p>
        </w:tc>
        <w:tc>
          <w:p>
            <w:pPr>
              <w:pStyle w:val="Compact"/>
              <w:jc w:val="right"/>
            </w:pPr>
            <w:r>
              <w:t xml:space="preserve">0.16</w:t>
            </w:r>
          </w:p>
        </w:tc>
        <w:tc>
          <w:p>
            <w:pPr>
              <w:pStyle w:val="Compact"/>
              <w:jc w:val="right"/>
            </w:pPr>
            <w:r>
              <w:t xml:space="preserve">0.15</w:t>
            </w:r>
          </w:p>
        </w:tc>
        <w:tc>
          <w:p>
            <w:pPr>
              <w:pStyle w:val="Compact"/>
              <w:jc w:val="right"/>
            </w:pPr>
            <w:r>
              <w:t xml:space="preserve">0.13</w:t>
            </w:r>
          </w:p>
        </w:tc>
        <w:tc>
          <w:p>
            <w:pPr>
              <w:pStyle w:val="Compact"/>
              <w:jc w:val="right"/>
            </w:pPr>
            <w:r>
              <w:t xml:space="preserve">0.14</w:t>
            </w:r>
          </w:p>
        </w:tc>
        <w:tc>
          <w:p>
            <w:pPr>
              <w:pStyle w:val="Compact"/>
              <w:jc w:val="right"/>
            </w:pPr>
            <w:r>
              <w:t xml:space="preserve">0.13</w:t>
            </w:r>
          </w:p>
        </w:tc>
        <w:tc>
          <w:p>
            <w:pPr>
              <w:pStyle w:val="Compact"/>
              <w:jc w:val="right"/>
            </w:pPr>
            <w:r>
              <w:t xml:space="preserve">0.14</w:t>
            </w:r>
          </w:p>
        </w:tc>
        <w:tc>
          <w:p>
            <w:pPr>
              <w:pStyle w:val="Compact"/>
              <w:jc w:val="right"/>
            </w:pPr>
            <w:r>
              <w:t xml:space="preserve">0.13</w:t>
            </w:r>
          </w:p>
        </w:tc>
        <w:tc>
          <w:p>
            <w:pPr>
              <w:pStyle w:val="Compact"/>
              <w:jc w:val="right"/>
            </w:pPr>
            <w:r>
              <w:t xml:space="preserve">0.14</w:t>
            </w:r>
          </w:p>
        </w:tc>
        <w:tc>
          <w:p>
            <w:pPr>
              <w:pStyle w:val="Compact"/>
              <w:jc w:val="right"/>
            </w:pPr>
            <w:r>
              <w:t xml:space="preserve">0.14</w:t>
            </w:r>
          </w:p>
        </w:tc>
      </w:tr>
      <w:tr>
        <w:tc>
          <w:p>
            <w:pPr>
              <w:pStyle w:val="Compact"/>
              <w:jc w:val="left"/>
            </w:pPr>
            <w:r>
              <w:t xml:space="preserve">SD</w:t>
            </w:r>
          </w:p>
        </w:tc>
        <w:tc>
          <w:p>
            <w:pPr>
              <w:pStyle w:val="Compact"/>
              <w:jc w:val="right"/>
            </w:pPr>
            <w:r>
              <w:t xml:space="preserve">0.17</w:t>
            </w:r>
          </w:p>
        </w:tc>
        <w:tc>
          <w:p>
            <w:pPr>
              <w:pStyle w:val="Compact"/>
              <w:jc w:val="right"/>
            </w:pPr>
            <w:r>
              <w:t xml:space="preserve">0.16</w:t>
            </w:r>
          </w:p>
        </w:tc>
        <w:tc>
          <w:p>
            <w:pPr>
              <w:pStyle w:val="Compact"/>
              <w:jc w:val="right"/>
            </w:pPr>
            <w:r>
              <w:t xml:space="preserve">0.15</w:t>
            </w:r>
          </w:p>
        </w:tc>
        <w:tc>
          <w:p>
            <w:pPr>
              <w:pStyle w:val="Compact"/>
              <w:jc w:val="right"/>
            </w:pPr>
            <w:r>
              <w:t xml:space="preserve">0.15</w:t>
            </w:r>
          </w:p>
        </w:tc>
        <w:tc>
          <w:p>
            <w:pPr>
              <w:pStyle w:val="Compact"/>
              <w:jc w:val="right"/>
            </w:pPr>
            <w:r>
              <w:t xml:space="preserve">0.14</w:t>
            </w:r>
          </w:p>
        </w:tc>
        <w:tc>
          <w:p>
            <w:pPr>
              <w:pStyle w:val="Compact"/>
              <w:jc w:val="right"/>
            </w:pPr>
            <w:r>
              <w:t xml:space="preserve">0.13</w:t>
            </w:r>
          </w:p>
        </w:tc>
        <w:tc>
          <w:p>
            <w:pPr>
              <w:pStyle w:val="Compact"/>
              <w:jc w:val="right"/>
            </w:pPr>
            <w:r>
              <w:t xml:space="preserve">0.14</w:t>
            </w:r>
          </w:p>
        </w:tc>
        <w:tc>
          <w:p>
            <w:pPr>
              <w:pStyle w:val="Compact"/>
              <w:jc w:val="right"/>
            </w:pPr>
            <w:r>
              <w:t xml:space="preserve">0.14</w:t>
            </w:r>
          </w:p>
        </w:tc>
        <w:tc>
          <w:p>
            <w:pPr>
              <w:pStyle w:val="Compact"/>
              <w:jc w:val="right"/>
            </w:pPr>
            <w:r>
              <w:t xml:space="preserve">0.14</w:t>
            </w:r>
          </w:p>
        </w:tc>
        <w:tc>
          <w:p>
            <w:pPr>
              <w:pStyle w:val="Compact"/>
              <w:jc w:val="right"/>
            </w:pPr>
            <w:r>
              <w:t xml:space="preserve">0.15</w:t>
            </w:r>
          </w:p>
        </w:tc>
        <w:tc>
          <w:p>
            <w:pPr>
              <w:pStyle w:val="Compact"/>
              <w:jc w:val="right"/>
            </w:pPr>
            <w:r>
              <w:t xml:space="preserve">0.16</w:t>
            </w:r>
          </w:p>
        </w:tc>
        <w:tc>
          <w:p>
            <w:pPr>
              <w:pStyle w:val="Compact"/>
              <w:jc w:val="right"/>
            </w:pPr>
            <w:r>
              <w:t xml:space="preserve">0.16</w:t>
            </w:r>
          </w:p>
        </w:tc>
      </w:tr>
      <w:tr>
        <w:tc>
          <w:p>
            <w:pPr>
              <w:pStyle w:val="Compact"/>
              <w:jc w:val="left"/>
            </w:pPr>
            <w:r>
              <w:t xml:space="preserve">Sharpe Ratio</w:t>
            </w:r>
          </w:p>
        </w:tc>
        <w:tc>
          <w:p>
            <w:pPr>
              <w:pStyle w:val="Compact"/>
              <w:jc w:val="right"/>
            </w:pPr>
            <w:r>
              <w:t xml:space="preserve">1.35</w:t>
            </w:r>
          </w:p>
        </w:tc>
        <w:tc>
          <w:p>
            <w:pPr>
              <w:pStyle w:val="Compact"/>
              <w:jc w:val="right"/>
            </w:pPr>
            <w:r>
              <w:t xml:space="preserve">1.15</w:t>
            </w:r>
          </w:p>
        </w:tc>
        <w:tc>
          <w:p>
            <w:pPr>
              <w:pStyle w:val="Compact"/>
              <w:jc w:val="right"/>
            </w:pPr>
            <w:r>
              <w:t xml:space="preserve">1.12</w:t>
            </w:r>
          </w:p>
        </w:tc>
        <w:tc>
          <w:p>
            <w:pPr>
              <w:pStyle w:val="Compact"/>
              <w:jc w:val="right"/>
            </w:pPr>
            <w:r>
              <w:t xml:space="preserve">1.11</w:t>
            </w:r>
          </w:p>
        </w:tc>
        <w:tc>
          <w:p>
            <w:pPr>
              <w:pStyle w:val="Compact"/>
              <w:jc w:val="right"/>
            </w:pPr>
            <w:r>
              <w:t xml:space="preserve">1.06</w:t>
            </w:r>
          </w:p>
        </w:tc>
        <w:tc>
          <w:p>
            <w:pPr>
              <w:pStyle w:val="Compact"/>
              <w:jc w:val="right"/>
            </w:pPr>
            <w:r>
              <w:t xml:space="preserve">0.95</w:t>
            </w:r>
          </w:p>
        </w:tc>
        <w:tc>
          <w:p>
            <w:pPr>
              <w:pStyle w:val="Compact"/>
              <w:jc w:val="right"/>
            </w:pPr>
            <w:r>
              <w:t xml:space="preserve">1.00</w:t>
            </w:r>
          </w:p>
        </w:tc>
        <w:tc>
          <w:p>
            <w:pPr>
              <w:pStyle w:val="Compact"/>
              <w:jc w:val="right"/>
            </w:pPr>
            <w:r>
              <w:t xml:space="preserve">0.89</w:t>
            </w:r>
          </w:p>
        </w:tc>
        <w:tc>
          <w:p>
            <w:pPr>
              <w:pStyle w:val="Compact"/>
              <w:jc w:val="right"/>
            </w:pPr>
            <w:r>
              <w:t xml:space="preserve">0.96</w:t>
            </w:r>
          </w:p>
        </w:tc>
        <w:tc>
          <w:p>
            <w:pPr>
              <w:pStyle w:val="Compact"/>
              <w:jc w:val="right"/>
            </w:pPr>
            <w:r>
              <w:t xml:space="preserve">0.88</w:t>
            </w:r>
          </w:p>
        </w:tc>
        <w:tc>
          <w:p>
            <w:pPr>
              <w:pStyle w:val="Compact"/>
              <w:jc w:val="right"/>
            </w:pPr>
            <w:r>
              <w:t xml:space="preserve">0.87</w:t>
            </w:r>
          </w:p>
        </w:tc>
        <w:tc>
          <w:p>
            <w:pPr>
              <w:pStyle w:val="Compact"/>
              <w:jc w:val="right"/>
            </w:pPr>
            <w:r>
              <w:t xml:space="preserve">0.87</w:t>
            </w:r>
          </w:p>
        </w:tc>
      </w:tr>
    </w:tbl>
    <w:p>
      <w:pPr>
        <w:pStyle w:val="BodyText"/>
      </w:pPr>
      <w:r>
        <w:drawing>
          <wp:inline>
            <wp:extent cx="4610100" cy="3695700"/>
            <wp:effectExtent b="0" l="0" r="0" t="0"/>
            <wp:docPr descr="" id="1" name="Picture"/>
            <a:graphic>
              <a:graphicData uri="http://schemas.openxmlformats.org/drawingml/2006/picture">
                <pic:pic>
                  <pic:nvPicPr>
                    <pic:cNvPr descr="ROW_TrendCarry_files/figure-docx/unnamed-chunk-5-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28" w:name="carry-trade"/>
      <w:bookmarkEnd w:id="28"/>
      <w:r>
        <w:t xml:space="preserve">Carry trade</w:t>
      </w:r>
    </w:p>
    <w:p>
      <w:pPr>
        <w:pStyle w:val="FirstParagraph"/>
      </w:pPr>
      <w:r>
        <w:t xml:space="preserve">Carry trade can be replicated using the Barclays GEMS index. This data can be retrieved out of Bloomberg. We can observe the correlation between the GEMS return and the SP500 return during non-recession and recession periods.</w:t>
      </w:r>
    </w:p>
    <w:p>
      <w:pPr>
        <w:pStyle w:val="BodyText"/>
      </w:pPr>
      <w:r>
        <w:drawing>
          <wp:inline>
            <wp:extent cx="4610100" cy="3695700"/>
            <wp:effectExtent b="0" l="0" r="0" t="0"/>
            <wp:docPr descr="" id="1" name="Picture"/>
            <a:graphic>
              <a:graphicData uri="http://schemas.openxmlformats.org/drawingml/2006/picture">
                <pic:pic>
                  <pic:nvPicPr>
                    <pic:cNvPr descr="ROW_TrendCarry_files/figure-docx/unnamed-chunk-6-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We can observe a low correlation between the SP500 and the Barclays GEMS during non-recession period. This will assist in diversification of a traditional portfolio.</w:t>
      </w:r>
    </w:p>
    <w:p>
      <w:pPr>
        <w:pStyle w:val="BodyText"/>
      </w:pPr>
      <w:r>
        <w:drawing>
          <wp:inline>
            <wp:extent cx="4610100" cy="3695700"/>
            <wp:effectExtent b="0" l="0" r="0" t="0"/>
            <wp:docPr descr="" id="1" name="Picture"/>
            <a:graphic>
              <a:graphicData uri="http://schemas.openxmlformats.org/drawingml/2006/picture">
                <pic:pic>
                  <pic:nvPicPr>
                    <pic:cNvPr descr="ROW_TrendCarry_files/figure-docx/unnamed-chunk-7-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During recession environment, the correlation increases. This needs to be considered while investing in the carry trade, especially because of the very high maximum draw down value.</w:t>
      </w:r>
    </w:p>
    <w:p>
      <w:pPr>
        <w:pStyle w:val="BodyText"/>
      </w:pPr>
      <w:r>
        <w:t xml:space="preserve">The GEMS index is expected to have a risk aversion index embedded in it, to make sure that the risk of market stress is taken into consideration. We can double check this, by finding its correlation with the Financial Stress Index (FSI).</w:t>
      </w:r>
    </w:p>
    <w:p>
      <w:pPr>
        <w:pStyle w:val="BodyText"/>
      </w:pPr>
      <w:r>
        <w:drawing>
          <wp:inline>
            <wp:extent cx="4610100" cy="3695700"/>
            <wp:effectExtent b="0" l="0" r="0" t="0"/>
            <wp:docPr descr="" id="1" name="Picture"/>
            <a:graphic>
              <a:graphicData uri="http://schemas.openxmlformats.org/drawingml/2006/picture">
                <pic:pic>
                  <pic:nvPicPr>
                    <pic:cNvPr descr="ROW_TrendCarry_files/figure-docx/unnamed-chunk-8-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As you can see, in 2008-2009, the FSI value goes up exponentially and the GEMS return falls in an equally drastic fashion. Such a trend can be noticed in other periods as well. This shows that the GEMS risk aversion component doesnt do a good job of predicting the possible recessions.</w:t>
      </w:r>
    </w:p>
    <w:p>
      <w:pPr>
        <w:pStyle w:val="Heading1"/>
      </w:pPr>
      <w:bookmarkStart w:id="32" w:name="backwardation-indices"/>
      <w:bookmarkEnd w:id="32"/>
      <w:r>
        <w:t xml:space="preserve">Backwardation Indices</w:t>
      </w:r>
    </w:p>
    <w:p>
      <w:pPr>
        <w:pStyle w:val="FirstParagraph"/>
      </w:pPr>
      <w:r>
        <w:drawing>
          <wp:inline>
            <wp:extent cx="4610100" cy="3695700"/>
            <wp:effectExtent b="0" l="0" r="0" t="0"/>
            <wp:docPr descr="" id="1" name="Picture"/>
            <a:graphic>
              <a:graphicData uri="http://schemas.openxmlformats.org/drawingml/2006/picture">
                <pic:pic>
                  <pic:nvPicPr>
                    <pic:cNvPr descr="ROW_TrendCarry_files/figure-docx/unnamed-chunk-9-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monthly.returns</w:t>
      </w:r>
      <w:r>
        <w:br w:type="textWrapping"/>
      </w:r>
      <w:r>
        <w:rPr>
          <w:rStyle w:val="VerbatimChar"/>
        </w:rPr>
        <w:t xml:space="preserve">## monthly.returns       0.9611211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738b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ROW_Momentum</dc:title>
  <dc:creator>Nitish Ramkumar</dc:creator>
</cp:coreProperties>
</file>