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52"/>
        </w:rPr>
        <w:t>SPARC</w:t>
      </w:r>
    </w:p>
    <w:p>
      <w:pPr>
        <w:jc w:val="center"/>
      </w:pPr>
      <w:r>
        <w:rPr>
          <w:rFonts w:ascii="Arial" w:hAnsi="Arial"/>
          <w:color w:val="4A5568"/>
          <w:sz w:val="26"/>
        </w:rPr>
        <w:t>Complete Backend Architecture &amp; System Design Walkthrough</w:t>
        <w:br/>
        <w:t>Smart India Hackathon (SIH)</w:t>
      </w:r>
    </w:p>
    <w:p>
      <w:pPr>
        <w:spacing w:after="240"/>
      </w:pPr>
    </w:p>
    <w:p>
      <w:pPr>
        <w:pStyle w:val="Heading1"/>
      </w:pPr>
      <w:r>
        <w:t>1. Core Design Philosophy &amp; Operational Context</w:t>
      </w:r>
    </w:p>
    <w:p>
      <w:r>
        <w:t>Satellite thermal monitoring across India faces a major operational dilemma: at 375-meter resolution, a raw thermal anomaly looks virtually identical whether it is a wildfire in an Uttarakhand forest, crop stubble burning in Punjab, a continuous petrochemical flare in Jamnagar, or an underground coal fire in Jharia. Standard backends fail because they treat satellite hotspots as simple isolated points. SPARC's backend was specifically architected to resolve this through four fundamental design tenets:</w:t>
      </w:r>
    </w:p>
    <w:p>
      <w:pPr>
        <w:ind w:left="288"/>
      </w:pPr>
      <w:r>
        <w:rPr>
          <w:b/>
          <w:color w:val="1A365D"/>
        </w:rPr>
        <w:t xml:space="preserve">• Multimodal Feature Fusion: </w:t>
      </w:r>
      <w:r>
        <w:t>Combines raw thermal pixels with 141 scientific features spanning terrain, meteorology, land cover, industrial facility proximity, and radar backscatter.</w:t>
      </w:r>
    </w:p>
    <w:p>
      <w:pPr>
        <w:ind w:left="288"/>
      </w:pPr>
      <w:r>
        <w:rPr>
          <w:b/>
          <w:color w:val="1A365D"/>
        </w:rPr>
        <w:t xml:space="preserve">• Deterministic 6-Class Taxonomy: </w:t>
      </w:r>
      <w:r>
        <w:t>Classifies thermal events transparently into wildfire, agricultural_burning, gas_flare, industrial, mining, and unknown using defensible heuristic rules.</w:t>
      </w:r>
    </w:p>
    <w:p>
      <w:pPr>
        <w:ind w:left="288"/>
      </w:pPr>
      <w:r>
        <w:rPr>
          <w:b/>
          <w:color w:val="1A365D"/>
        </w:rPr>
        <w:t xml:space="preserve">• Instant Explainable AI (XAI): </w:t>
      </w:r>
      <w:r>
        <w:t>Precomputes TreeSHAP feature attributions at event ingestion time, delivering sub-5ms explainability lookups without dashboard latency.</w:t>
      </w:r>
    </w:p>
    <w:p>
      <w:pPr>
        <w:ind w:left="288"/>
      </w:pPr>
      <w:r>
        <w:rPr>
          <w:b/>
          <w:color w:val="1A365D"/>
        </w:rPr>
        <w:t xml:space="preserve">• Sub-15ms Operational Speed: </w:t>
      </w:r>
      <w:r>
        <w:t>Utilizes in-process LRU caching (TTLCache) and optimized database querying, eliminating external message broker dependencies during live presentations.</w:t>
      </w:r>
    </w:p>
    <w:p>
      <w:pPr>
        <w:spacing w:after="240"/>
      </w:pPr>
    </w:p>
    <w:p>
      <w:pPr>
        <w:pStyle w:val="Heading1"/>
      </w:pPr>
      <w:r>
        <w:t>2. Backend Directory Structure &amp; Organization</w:t>
      </w:r>
    </w:p>
    <w:p>
      <w:r>
        <w:t>The backend is modularized under the backend/app/ directory, cleanly separating database configuration, data models, API schemas, heuristic services, and REST routing:</w:t>
      </w:r>
    </w:p>
    <w:tbl>
      <w:tblPr>
        <w:tblW w:type="auto" w:w="0"/>
        <w:jc w:val="center"/>
        <w:tblLook w:firstColumn="1" w:firstRow="1" w:lastColumn="0" w:lastRow="0" w:noHBand="0" w:noVBand="1" w:val="04A0"/>
      </w:tblPr>
      <w:tblGrid>
        <w:gridCol w:w="3120"/>
        <w:gridCol w:w="3120"/>
        <w:gridCol w:w="3120"/>
      </w:tblGrid>
      <w:tr>
        <w:tc>
          <w:tcPr>
            <w:tcW w:type="dxa" w:w="3120"/>
            <w:tcMar>
              <w:top w:w="70" w:type="dxa"/>
              <w:bottom w:w="70" w:type="dxa"/>
              <w:left w:w="100" w:type="dxa"/>
              <w:right w:w="100" w:type="dxa"/>
            </w:tcMar>
            <w:shd w:fill="1A365D"/>
          </w:tcPr>
          <w:p>
            <w:r>
              <w:rPr>
                <w:rFonts w:ascii="Calibri" w:hAnsi="Calibri"/>
                <w:b/>
                <w:color w:val="FFFFFF"/>
                <w:sz w:val="19"/>
              </w:rPr>
              <w:t>Directory / File</w:t>
            </w:r>
          </w:p>
        </w:tc>
        <w:tc>
          <w:tcPr>
            <w:tcW w:type="dxa" w:w="3120"/>
            <w:tcMar>
              <w:top w:w="70" w:type="dxa"/>
              <w:bottom w:w="70" w:type="dxa"/>
              <w:left w:w="100" w:type="dxa"/>
              <w:right w:w="100" w:type="dxa"/>
            </w:tcMar>
            <w:shd w:fill="1A365D"/>
          </w:tcPr>
          <w:p>
            <w:r>
              <w:rPr>
                <w:rFonts w:ascii="Calibri" w:hAnsi="Calibri"/>
                <w:b/>
                <w:color w:val="FFFFFF"/>
                <w:sz w:val="19"/>
              </w:rPr>
              <w:t>Architectural Role</w:t>
            </w:r>
          </w:p>
        </w:tc>
        <w:tc>
          <w:tcPr>
            <w:tcW w:type="dxa" w:w="3120"/>
            <w:tcMar>
              <w:top w:w="70" w:type="dxa"/>
              <w:bottom w:w="70" w:type="dxa"/>
              <w:left w:w="100" w:type="dxa"/>
              <w:right w:w="100" w:type="dxa"/>
            </w:tcMar>
            <w:shd w:fill="1A365D"/>
          </w:tcPr>
          <w:p>
            <w:r>
              <w:rPr>
                <w:rFonts w:ascii="Calibri" w:hAnsi="Calibri"/>
                <w:b/>
                <w:color w:val="FFFFFF"/>
                <w:sz w:val="19"/>
              </w:rPr>
              <w:t>Key Responsibilities</w:t>
            </w:r>
          </w:p>
        </w:tc>
      </w:tr>
      <w:tr>
        <w:tc>
          <w:tcPr>
            <w:tcW w:type="dxa" w:w="3120"/>
            <w:tcMar>
              <w:top w:w="70" w:type="dxa"/>
              <w:bottom w:w="70" w:type="dxa"/>
              <w:left w:w="100" w:type="dxa"/>
              <w:right w:w="100" w:type="dxa"/>
            </w:tcMar>
            <w:shd w:fill="F7FAFC"/>
          </w:tcPr>
          <w:p>
            <w:r>
              <w:rPr>
                <w:rFonts w:ascii="Calibri" w:hAnsi="Calibri"/>
                <w:sz w:val="19"/>
              </w:rPr>
              <w:t>backend/app/core/config.py</w:t>
            </w:r>
          </w:p>
        </w:tc>
        <w:tc>
          <w:tcPr>
            <w:tcW w:type="dxa" w:w="3120"/>
            <w:tcMar>
              <w:top w:w="70" w:type="dxa"/>
              <w:bottom w:w="70" w:type="dxa"/>
              <w:left w:w="100" w:type="dxa"/>
              <w:right w:w="100" w:type="dxa"/>
            </w:tcMar>
            <w:shd w:fill="F7FAFC"/>
          </w:tcPr>
          <w:p>
            <w:r>
              <w:rPr>
                <w:rFonts w:ascii="Calibri" w:hAnsi="Calibri"/>
                <w:sz w:val="19"/>
              </w:rPr>
              <w:t>Configuration</w:t>
            </w:r>
          </w:p>
        </w:tc>
        <w:tc>
          <w:tcPr>
            <w:tcW w:type="dxa" w:w="3120"/>
            <w:tcMar>
              <w:top w:w="70" w:type="dxa"/>
              <w:bottom w:w="70" w:type="dxa"/>
              <w:left w:w="100" w:type="dxa"/>
              <w:right w:w="100" w:type="dxa"/>
            </w:tcMar>
            <w:shd w:fill="F7FAFC"/>
          </w:tcPr>
          <w:p>
            <w:r>
              <w:rPr>
                <w:rFonts w:ascii="Calibri" w:hAnsi="Calibri"/>
                <w:sz w:val="19"/>
              </w:rPr>
              <w:t>Loads .env variables, defines CORS origins, schema versioning, and polling intervals.</w:t>
            </w:r>
          </w:p>
        </w:tc>
      </w:tr>
      <w:tr>
        <w:tc>
          <w:tcPr>
            <w:tcW w:type="dxa" w:w="3120"/>
            <w:tcMar>
              <w:top w:w="70" w:type="dxa"/>
              <w:bottom w:w="70" w:type="dxa"/>
              <w:left w:w="100" w:type="dxa"/>
              <w:right w:w="100" w:type="dxa"/>
            </w:tcMar>
          </w:tcPr>
          <w:p>
            <w:r>
              <w:rPr>
                <w:rFonts w:ascii="Calibri" w:hAnsi="Calibri"/>
                <w:sz w:val="19"/>
              </w:rPr>
              <w:t>backend/app/core/database.py</w:t>
            </w:r>
          </w:p>
        </w:tc>
        <w:tc>
          <w:tcPr>
            <w:tcW w:type="dxa" w:w="3120"/>
            <w:tcMar>
              <w:top w:w="70" w:type="dxa"/>
              <w:bottom w:w="70" w:type="dxa"/>
              <w:left w:w="100" w:type="dxa"/>
              <w:right w:w="100" w:type="dxa"/>
            </w:tcMar>
          </w:tcPr>
          <w:p>
            <w:r>
              <w:rPr>
                <w:rFonts w:ascii="Calibri" w:hAnsi="Calibri"/>
                <w:sz w:val="19"/>
              </w:rPr>
              <w:t>Database Engine</w:t>
            </w:r>
          </w:p>
        </w:tc>
        <w:tc>
          <w:tcPr>
            <w:tcW w:type="dxa" w:w="3120"/>
            <w:tcMar>
              <w:top w:w="70" w:type="dxa"/>
              <w:bottom w:w="70" w:type="dxa"/>
              <w:left w:w="100" w:type="dxa"/>
              <w:right w:w="100" w:type="dxa"/>
            </w:tcMar>
          </w:tcPr>
          <w:p>
            <w:r>
              <w:rPr>
                <w:rFonts w:ascii="Calibri" w:hAnsi="Calibri"/>
                <w:sz w:val="19"/>
              </w:rPr>
              <w:t>SQLAlchemy connection manager with auto-dialect normalization (postgresql+psycopg2) and SQLite fallback.</w:t>
            </w:r>
          </w:p>
        </w:tc>
      </w:tr>
      <w:tr>
        <w:tc>
          <w:tcPr>
            <w:tcW w:type="dxa" w:w="3120"/>
            <w:tcMar>
              <w:top w:w="70" w:type="dxa"/>
              <w:bottom w:w="70" w:type="dxa"/>
              <w:left w:w="100" w:type="dxa"/>
              <w:right w:w="100" w:type="dxa"/>
            </w:tcMar>
            <w:shd w:fill="F7FAFC"/>
          </w:tcPr>
          <w:p>
            <w:r>
              <w:rPr>
                <w:rFonts w:ascii="Calibri" w:hAnsi="Calibri"/>
                <w:sz w:val="19"/>
              </w:rPr>
              <w:t>backend/app/models/models.py</w:t>
            </w:r>
          </w:p>
        </w:tc>
        <w:tc>
          <w:tcPr>
            <w:tcW w:type="dxa" w:w="3120"/>
            <w:tcMar>
              <w:top w:w="70" w:type="dxa"/>
              <w:bottom w:w="70" w:type="dxa"/>
              <w:left w:w="100" w:type="dxa"/>
              <w:right w:w="100" w:type="dxa"/>
            </w:tcMar>
            <w:shd w:fill="F7FAFC"/>
          </w:tcPr>
          <w:p>
            <w:r>
              <w:rPr>
                <w:rFonts w:ascii="Calibri" w:hAnsi="Calibri"/>
                <w:sz w:val="19"/>
              </w:rPr>
              <w:t>ORM Schema</w:t>
            </w:r>
          </w:p>
        </w:tc>
        <w:tc>
          <w:tcPr>
            <w:tcW w:type="dxa" w:w="3120"/>
            <w:tcMar>
              <w:top w:w="70" w:type="dxa"/>
              <w:bottom w:w="70" w:type="dxa"/>
              <w:left w:w="100" w:type="dxa"/>
              <w:right w:w="100" w:type="dxa"/>
            </w:tcMar>
            <w:shd w:fill="F7FAFC"/>
          </w:tcPr>
          <w:p>
            <w:r>
              <w:rPr>
                <w:rFonts w:ascii="Calibri" w:hAnsi="Calibri"/>
                <w:sz w:val="19"/>
              </w:rPr>
              <w:t>5 core relational models: Place, Event, EventFeatures, EventGeometry, AnalystReview.</w:t>
            </w:r>
          </w:p>
        </w:tc>
      </w:tr>
      <w:tr>
        <w:tc>
          <w:tcPr>
            <w:tcW w:type="dxa" w:w="3120"/>
            <w:tcMar>
              <w:top w:w="70" w:type="dxa"/>
              <w:bottom w:w="70" w:type="dxa"/>
              <w:left w:w="100" w:type="dxa"/>
              <w:right w:w="100" w:type="dxa"/>
            </w:tcMar>
          </w:tcPr>
          <w:p>
            <w:r>
              <w:rPr>
                <w:rFonts w:ascii="Calibri" w:hAnsi="Calibri"/>
                <w:sz w:val="19"/>
              </w:rPr>
              <w:t>backend/app/schemas/schemas.py</w:t>
            </w:r>
          </w:p>
        </w:tc>
        <w:tc>
          <w:tcPr>
            <w:tcW w:type="dxa" w:w="3120"/>
            <w:tcMar>
              <w:top w:w="70" w:type="dxa"/>
              <w:bottom w:w="70" w:type="dxa"/>
              <w:left w:w="100" w:type="dxa"/>
              <w:right w:w="100" w:type="dxa"/>
            </w:tcMar>
          </w:tcPr>
          <w:p>
            <w:r>
              <w:rPr>
                <w:rFonts w:ascii="Calibri" w:hAnsi="Calibri"/>
                <w:sz w:val="19"/>
              </w:rPr>
              <w:t>Validation</w:t>
            </w:r>
          </w:p>
        </w:tc>
        <w:tc>
          <w:tcPr>
            <w:tcW w:type="dxa" w:w="3120"/>
            <w:tcMar>
              <w:top w:w="70" w:type="dxa"/>
              <w:bottom w:w="70" w:type="dxa"/>
              <w:left w:w="100" w:type="dxa"/>
              <w:right w:w="100" w:type="dxa"/>
            </w:tcMar>
          </w:tcPr>
          <w:p>
            <w:r>
              <w:rPr>
                <w:rFonts w:ascii="Calibri" w:hAnsi="Calibri"/>
                <w:sz w:val="19"/>
              </w:rPr>
              <w:t>Pydantic models enforcing strict contract compliance with docs/api-contract.md.</w:t>
            </w:r>
          </w:p>
        </w:tc>
      </w:tr>
      <w:tr>
        <w:tc>
          <w:tcPr>
            <w:tcW w:type="dxa" w:w="3120"/>
            <w:tcMar>
              <w:top w:w="70" w:type="dxa"/>
              <w:bottom w:w="70" w:type="dxa"/>
              <w:left w:w="100" w:type="dxa"/>
              <w:right w:w="100" w:type="dxa"/>
            </w:tcMar>
            <w:shd w:fill="F7FAFC"/>
          </w:tcPr>
          <w:p>
            <w:r>
              <w:rPr>
                <w:rFonts w:ascii="Calibri" w:hAnsi="Calibri"/>
                <w:sz w:val="19"/>
              </w:rPr>
              <w:t>backend/app/services/heuristic_rules.py</w:t>
            </w:r>
          </w:p>
        </w:tc>
        <w:tc>
          <w:tcPr>
            <w:tcW w:type="dxa" w:w="3120"/>
            <w:tcMar>
              <w:top w:w="70" w:type="dxa"/>
              <w:bottom w:w="70" w:type="dxa"/>
              <w:left w:w="100" w:type="dxa"/>
              <w:right w:w="100" w:type="dxa"/>
            </w:tcMar>
            <w:shd w:fill="F7FAFC"/>
          </w:tcPr>
          <w:p>
            <w:r>
              <w:rPr>
                <w:rFonts w:ascii="Calibri" w:hAnsi="Calibri"/>
                <w:sz w:val="19"/>
              </w:rPr>
              <w:t>Rules Engine</w:t>
            </w:r>
          </w:p>
        </w:tc>
        <w:tc>
          <w:tcPr>
            <w:tcW w:type="dxa" w:w="3120"/>
            <w:tcMar>
              <w:top w:w="70" w:type="dxa"/>
              <w:bottom w:w="70" w:type="dxa"/>
              <w:left w:w="100" w:type="dxa"/>
              <w:right w:w="100" w:type="dxa"/>
            </w:tcMar>
            <w:shd w:fill="F7FAFC"/>
          </w:tcPr>
          <w:p>
            <w:r>
              <w:rPr>
                <w:rFonts w:ascii="Calibri" w:hAnsi="Calibri"/>
                <w:sz w:val="19"/>
              </w:rPr>
              <w:t>Deterministic spatial &amp; seasonal rules mapping hotspots to the 6-class taxonomy.</w:t>
            </w:r>
          </w:p>
        </w:tc>
      </w:tr>
      <w:tr>
        <w:tc>
          <w:tcPr>
            <w:tcW w:type="dxa" w:w="3120"/>
            <w:tcMar>
              <w:top w:w="70" w:type="dxa"/>
              <w:bottom w:w="70" w:type="dxa"/>
              <w:left w:w="100" w:type="dxa"/>
              <w:right w:w="100" w:type="dxa"/>
            </w:tcMar>
          </w:tcPr>
          <w:p>
            <w:r>
              <w:rPr>
                <w:rFonts w:ascii="Calibri" w:hAnsi="Calibri"/>
                <w:sz w:val="19"/>
              </w:rPr>
              <w:t>backend/app/services/ml_engine.py</w:t>
            </w:r>
          </w:p>
        </w:tc>
        <w:tc>
          <w:tcPr>
            <w:tcW w:type="dxa" w:w="3120"/>
            <w:tcMar>
              <w:top w:w="70" w:type="dxa"/>
              <w:bottom w:w="70" w:type="dxa"/>
              <w:left w:w="100" w:type="dxa"/>
              <w:right w:w="100" w:type="dxa"/>
            </w:tcMar>
          </w:tcPr>
          <w:p>
            <w:r>
              <w:rPr>
                <w:rFonts w:ascii="Calibri" w:hAnsi="Calibri"/>
                <w:sz w:val="19"/>
              </w:rPr>
              <w:t>AI &amp; Embeddings</w:t>
            </w:r>
          </w:p>
        </w:tc>
        <w:tc>
          <w:tcPr>
            <w:tcW w:type="dxa" w:w="3120"/>
            <w:tcMar>
              <w:top w:w="70" w:type="dxa"/>
              <w:bottom w:w="70" w:type="dxa"/>
              <w:left w:w="100" w:type="dxa"/>
              <w:right w:w="100" w:type="dxa"/>
            </w:tcMar>
          </w:tcPr>
          <w:p>
            <w:r>
              <w:rPr>
                <w:rFonts w:ascii="Calibri" w:hAnsi="Calibri"/>
                <w:sz w:val="19"/>
              </w:rPr>
              <w:t>Precomputes TreeSHAP feature attributions and generates normalized 141-D vectors for pgvector.</w:t>
            </w:r>
          </w:p>
        </w:tc>
      </w:tr>
      <w:tr>
        <w:tc>
          <w:tcPr>
            <w:tcW w:type="dxa" w:w="3120"/>
            <w:tcMar>
              <w:top w:w="70" w:type="dxa"/>
              <w:bottom w:w="70" w:type="dxa"/>
              <w:left w:w="100" w:type="dxa"/>
              <w:right w:w="100" w:type="dxa"/>
            </w:tcMar>
            <w:shd w:fill="F7FAFC"/>
          </w:tcPr>
          <w:p>
            <w:r>
              <w:rPr>
                <w:rFonts w:ascii="Calibri" w:hAnsi="Calibri"/>
                <w:sz w:val="19"/>
              </w:rPr>
              <w:t>backend/app/services/weather_cache.py</w:t>
            </w:r>
          </w:p>
        </w:tc>
        <w:tc>
          <w:tcPr>
            <w:tcW w:type="dxa" w:w="3120"/>
            <w:tcMar>
              <w:top w:w="70" w:type="dxa"/>
              <w:bottom w:w="70" w:type="dxa"/>
              <w:left w:w="100" w:type="dxa"/>
              <w:right w:w="100" w:type="dxa"/>
            </w:tcMar>
            <w:shd w:fill="F7FAFC"/>
          </w:tcPr>
          <w:p>
            <w:r>
              <w:rPr>
                <w:rFonts w:ascii="Calibri" w:hAnsi="Calibri"/>
                <w:sz w:val="19"/>
              </w:rPr>
              <w:t>In-Process Cache</w:t>
            </w:r>
          </w:p>
        </w:tc>
        <w:tc>
          <w:tcPr>
            <w:tcW w:type="dxa" w:w="3120"/>
            <w:tcMar>
              <w:top w:w="70" w:type="dxa"/>
              <w:bottom w:w="70" w:type="dxa"/>
              <w:left w:w="100" w:type="dxa"/>
              <w:right w:w="100" w:type="dxa"/>
            </w:tcMar>
            <w:shd w:fill="F7FAFC"/>
          </w:tcPr>
          <w:p>
            <w:r>
              <w:rPr>
                <w:rFonts w:ascii="Calibri" w:hAnsi="Calibri"/>
                <w:sz w:val="19"/>
              </w:rPr>
              <w:t>TTLCache storing 45x45 gridded wind vectors and 73-hour weather forecasts in RAM (no Redis needed).</w:t>
            </w:r>
          </w:p>
        </w:tc>
      </w:tr>
      <w:tr>
        <w:tc>
          <w:tcPr>
            <w:tcW w:type="dxa" w:w="3120"/>
            <w:tcMar>
              <w:top w:w="70" w:type="dxa"/>
              <w:bottom w:w="70" w:type="dxa"/>
              <w:left w:w="100" w:type="dxa"/>
              <w:right w:w="100" w:type="dxa"/>
            </w:tcMar>
          </w:tcPr>
          <w:p>
            <w:r>
              <w:rPr>
                <w:rFonts w:ascii="Calibri" w:hAnsi="Calibri"/>
                <w:sz w:val="19"/>
              </w:rPr>
              <w:t>backend/app/services/scheduler.py</w:t>
            </w:r>
          </w:p>
        </w:tc>
        <w:tc>
          <w:tcPr>
            <w:tcW w:type="dxa" w:w="3120"/>
            <w:tcMar>
              <w:top w:w="70" w:type="dxa"/>
              <w:bottom w:w="70" w:type="dxa"/>
              <w:left w:w="100" w:type="dxa"/>
              <w:right w:w="100" w:type="dxa"/>
            </w:tcMar>
          </w:tcPr>
          <w:p>
            <w:r>
              <w:rPr>
                <w:rFonts w:ascii="Calibri" w:hAnsi="Calibri"/>
                <w:sz w:val="19"/>
              </w:rPr>
              <w:t>Task Scheduler</w:t>
            </w:r>
          </w:p>
        </w:tc>
        <w:tc>
          <w:tcPr>
            <w:tcW w:type="dxa" w:w="3120"/>
            <w:tcMar>
              <w:top w:w="70" w:type="dxa"/>
              <w:bottom w:w="70" w:type="dxa"/>
              <w:left w:w="100" w:type="dxa"/>
              <w:right w:w="100" w:type="dxa"/>
            </w:tcMar>
          </w:tcPr>
          <w:p>
            <w:r>
              <w:rPr>
                <w:rFonts w:ascii="Calibri" w:hAnsi="Calibri"/>
                <w:sz w:val="19"/>
              </w:rPr>
              <w:t>APScheduler background runner polling NASA FIRMS NRT feeds every 15 mins with DB advisory locking.</w:t>
            </w:r>
          </w:p>
        </w:tc>
      </w:tr>
      <w:tr>
        <w:tc>
          <w:tcPr>
            <w:tcW w:type="dxa" w:w="3120"/>
            <w:tcMar>
              <w:top w:w="70" w:type="dxa"/>
              <w:bottom w:w="70" w:type="dxa"/>
              <w:left w:w="100" w:type="dxa"/>
              <w:right w:w="100" w:type="dxa"/>
            </w:tcMar>
            <w:shd w:fill="F7FAFC"/>
          </w:tcPr>
          <w:p>
            <w:r>
              <w:rPr>
                <w:rFonts w:ascii="Calibri" w:hAnsi="Calibri"/>
                <w:sz w:val="19"/>
              </w:rPr>
              <w:t>backend/app/api/routes.py</w:t>
            </w:r>
          </w:p>
        </w:tc>
        <w:tc>
          <w:tcPr>
            <w:tcW w:type="dxa" w:w="3120"/>
            <w:tcMar>
              <w:top w:w="70" w:type="dxa"/>
              <w:bottom w:w="70" w:type="dxa"/>
              <w:left w:w="100" w:type="dxa"/>
              <w:right w:w="100" w:type="dxa"/>
            </w:tcMar>
            <w:shd w:fill="F7FAFC"/>
          </w:tcPr>
          <w:p>
            <w:r>
              <w:rPr>
                <w:rFonts w:ascii="Calibri" w:hAnsi="Calibri"/>
                <w:sz w:val="19"/>
              </w:rPr>
              <w:t>REST Routing</w:t>
            </w:r>
          </w:p>
        </w:tc>
        <w:tc>
          <w:tcPr>
            <w:tcW w:type="dxa" w:w="3120"/>
            <w:tcMar>
              <w:top w:w="70" w:type="dxa"/>
              <w:bottom w:w="70" w:type="dxa"/>
              <w:left w:w="100" w:type="dxa"/>
              <w:right w:w="100" w:type="dxa"/>
            </w:tcMar>
            <w:shd w:fill="F7FAFC"/>
          </w:tcPr>
          <w:p>
            <w:r>
              <w:rPr>
                <w:rFonts w:ascii="Calibri" w:hAnsi="Calibri"/>
                <w:sz w:val="19"/>
              </w:rPr>
              <w:t>Implements all 10 endpoints matching the frontend dashboard contract.</w:t>
            </w:r>
          </w:p>
        </w:tc>
      </w:tr>
      <w:tr>
        <w:tc>
          <w:tcPr>
            <w:tcW w:type="dxa" w:w="3120"/>
            <w:tcMar>
              <w:top w:w="70" w:type="dxa"/>
              <w:bottom w:w="70" w:type="dxa"/>
              <w:left w:w="100" w:type="dxa"/>
              <w:right w:w="100" w:type="dxa"/>
            </w:tcMar>
          </w:tcPr>
          <w:p>
            <w:r>
              <w:rPr>
                <w:rFonts w:ascii="Calibri" w:hAnsi="Calibri"/>
                <w:sz w:val="19"/>
              </w:rPr>
              <w:t>backend/app/main.py</w:t>
            </w:r>
          </w:p>
        </w:tc>
        <w:tc>
          <w:tcPr>
            <w:tcW w:type="dxa" w:w="3120"/>
            <w:tcMar>
              <w:top w:w="70" w:type="dxa"/>
              <w:bottom w:w="70" w:type="dxa"/>
              <w:left w:w="100" w:type="dxa"/>
              <w:right w:w="100" w:type="dxa"/>
            </w:tcMar>
          </w:tcPr>
          <w:p>
            <w:r>
              <w:rPr>
                <w:rFonts w:ascii="Calibri" w:hAnsi="Calibri"/>
                <w:sz w:val="19"/>
              </w:rPr>
              <w:t>Application Entry</w:t>
            </w:r>
          </w:p>
        </w:tc>
        <w:tc>
          <w:tcPr>
            <w:tcW w:type="dxa" w:w="3120"/>
            <w:tcMar>
              <w:top w:w="70" w:type="dxa"/>
              <w:bottom w:w="70" w:type="dxa"/>
              <w:left w:w="100" w:type="dxa"/>
              <w:right w:w="100" w:type="dxa"/>
            </w:tcMar>
          </w:tcPr>
          <w:p>
            <w:r>
              <w:rPr>
                <w:rFonts w:ascii="Calibri" w:hAnsi="Calibri"/>
                <w:sz w:val="19"/>
              </w:rPr>
              <w:t>FastAPI app instance, lifespan startup/shutdown management, and CORS middleware.</w:t>
            </w:r>
          </w:p>
        </w:tc>
      </w:tr>
      <w:tr>
        <w:tc>
          <w:tcPr>
            <w:tcW w:type="dxa" w:w="3120"/>
            <w:tcMar>
              <w:top w:w="70" w:type="dxa"/>
              <w:bottom w:w="70" w:type="dxa"/>
              <w:left w:w="100" w:type="dxa"/>
              <w:right w:w="100" w:type="dxa"/>
            </w:tcMar>
            <w:shd w:fill="F7FAFC"/>
          </w:tcPr>
          <w:p>
            <w:r>
              <w:rPr>
                <w:rFonts w:ascii="Calibri" w:hAnsi="Calibri"/>
                <w:sz w:val="19"/>
              </w:rPr>
              <w:t>backend/app/seed.py</w:t>
            </w:r>
          </w:p>
        </w:tc>
        <w:tc>
          <w:tcPr>
            <w:tcW w:type="dxa" w:w="3120"/>
            <w:tcMar>
              <w:top w:w="70" w:type="dxa"/>
              <w:bottom w:w="70" w:type="dxa"/>
              <w:left w:w="100" w:type="dxa"/>
              <w:right w:w="100" w:type="dxa"/>
            </w:tcMar>
            <w:shd w:fill="F7FAFC"/>
          </w:tcPr>
          <w:p>
            <w:r>
              <w:rPr>
                <w:rFonts w:ascii="Calibri" w:hAnsi="Calibri"/>
                <w:sz w:val="19"/>
              </w:rPr>
              <w:t>Database Seeder</w:t>
            </w:r>
          </w:p>
        </w:tc>
        <w:tc>
          <w:tcPr>
            <w:tcW w:type="dxa" w:w="3120"/>
            <w:tcMar>
              <w:top w:w="70" w:type="dxa"/>
              <w:bottom w:w="70" w:type="dxa"/>
              <w:left w:w="100" w:type="dxa"/>
              <w:right w:w="100" w:type="dxa"/>
            </w:tcMar>
            <w:shd w:fill="F7FAFC"/>
          </w:tcPr>
          <w:p>
            <w:r>
              <w:rPr>
                <w:rFonts w:ascii="Calibri" w:hAnsi="Calibri"/>
                <w:sz w:val="19"/>
              </w:rPr>
              <w:t>Connects to PostgreSQL SIH database and populates persistent places and active thermal events.</w:t>
            </w:r>
          </w:p>
        </w:tc>
      </w:tr>
    </w:tbl>
    <w:p>
      <w:pPr>
        <w:spacing w:after="240"/>
      </w:pPr>
    </w:p>
    <w:p>
      <w:pPr>
        <w:pStyle w:val="Heading1"/>
      </w:pPr>
      <w:r>
        <w:t>3. Detailed Module-by-Module Technical Breakdown</w:t>
      </w:r>
    </w:p>
    <w:p>
      <w:pPr>
        <w:pStyle w:val="Heading2"/>
      </w:pPr>
      <w:r>
        <w:t>Module 1: Dual-Dialect Database Manager (database.py)</w:t>
      </w:r>
    </w:p>
    <w:p>
      <w:r>
        <w:t>Configured with SQLAlchemy 2.0. If a standard 'postgresql://' URL is provided, the engine automatically normalizes it to 'postgresql+psycopg2://' to prevent dialect mismatches. Configures connection pre-pinging (pool_pre_ping=True) to prevent stale connection errors during long-running server sessions.</w:t>
      </w:r>
    </w:p>
    <w:p>
      <w:pPr>
        <w:pStyle w:val="Heading2"/>
      </w:pPr>
      <w:r>
        <w:t>Module 2: 5 Relational &amp; Geospatial ORM Tables (models.py)</w:t>
      </w:r>
    </w:p>
    <w:p>
      <w:r>
        <w:t>Defines 5 core tables:</w:t>
        <w:br/>
        <w:t>1. places: Catalogues monitored industrial sites, refineries, power plants, and coal basins.</w:t>
        <w:br/>
        <w:t>2. events: Stores satellite detections, linking coordinates, FRP heat intensity, 6-class taxonomy, baseline_status, and analyst status.</w:t>
        <w:br/>
        <w:t>3. event_features: Stores 141 features in JSONB, precomputed SHAP attribution, and 141-D vector embeddings.</w:t>
        <w:br/>
        <w:t>4. event_geometries: Stores vector coordinates for 6-hour smoke plume cones and 1h/3h/6h fire spread ellipses.</w:t>
        <w:br/>
        <w:t>5. analyst_reviews: Stores human operator triage calls, creating a persistent ground-truth training set.</w:t>
      </w:r>
    </w:p>
    <w:p>
      <w:pPr>
        <w:pStyle w:val="Heading2"/>
      </w:pPr>
      <w:r>
        <w:t>Module 3: Deterministic Heuristic Labeling Engine (heuristic_rules.py)</w:t>
      </w:r>
    </w:p>
    <w:p>
      <w:r>
        <w:t>Rather than relying on unverified synthetic labels, the system evaluates transparent rules based on spatial proximity, season, and land cover:</w:t>
        <w:br/>
        <w:t>• gas_flare: Inside refinery or &lt;1km distance with stationarity &gt;= 0.85 (baseline: 'routine' if recurrent, confidence: 0.84 - 0.92).</w:t>
        <w:br/>
        <w:t>• industrial: Inside GEM industrial boundary with stationarity &gt;= 0.75 (confidence: 0.86).</w:t>
        <w:br/>
        <w:t>• agricultural_burning: Cropland fraction &gt;= 40% during harvest window (Oct-Nov / Apr-May) with spread speed &gt;= 0.1 km/h (confidence: 0.80 - 0.88).</w:t>
        <w:br/>
        <w:t>• wildfire: Forest fraction &gt;= 35% or elevated Fire Weather Index (FWI &gt;= 20) (confidence: 0.81 - 0.89).</w:t>
        <w:br/>
        <w:t>• mining: Distance to active mine &lt;= 1.5km or bare ground &gt;= 50% (confidence: 0.82).</w:t>
      </w:r>
    </w:p>
    <w:p>
      <w:pPr>
        <w:pStyle w:val="Heading2"/>
      </w:pPr>
      <w:r>
        <w:t>Module 4: Precomputed TreeSHAP &amp; Vector Embeddings (ml_engine.py)</w:t>
      </w:r>
    </w:p>
    <w:p>
      <w:r>
        <w:t>Computing TreeSHAP over 141 features on every live GET request causes 20-50ms CPU latency. To ensure rock-solid demo performance, the ML engine calculates SHAP family contributions and top-5 drivers once upon event ingestion and persists them into event_features.shap_json. Serving /api/events/{id}/shap becomes an instantaneous O(1) lookup under 5 milliseconds. Also normalizes all 141 features into a standardized 141-D vector for pgvector cosine similarity searches.</w:t>
      </w:r>
    </w:p>
    <w:p>
      <w:pPr>
        <w:pStyle w:val="Heading2"/>
      </w:pPr>
      <w:r>
        <w:t>Module 5: In-Process LRU Weather &amp; Wind Cache (weather_cache.py)</w:t>
      </w:r>
    </w:p>
    <w:p>
      <w:r>
        <w:t>Uses cachetools.TTLCache (30-minute expiration) directly inside application memory. Caches 45x45 gridded u/v wind components and 73-hour Canadian Fire Weather Index forecasts (FFMC, DMC, DC, ISI, BUI, FWI). Eliminates the need to install and manage a separate Redis instance for hackathon deployments.</w:t>
      </w:r>
    </w:p>
    <w:p>
      <w:pPr>
        <w:pStyle w:val="Heading2"/>
      </w:pPr>
      <w:r>
        <w:t>Module 6: Concurrency-Guarded Task Scheduler (scheduler.py)</w:t>
      </w:r>
    </w:p>
    <w:p>
      <w:r>
        <w:t>Runs an in-process APScheduler background job polling NASA FIRMS VIIRS 375m active fires every 15 minutes. Guarded by a PostgreSQL session advisory lock (pg_try_advisory_lock(849201)): even if multiple workers are deployed, only one process polls NASA FIRMS, preventing duplicate database writes and API quota exhaustion.</w:t>
      </w:r>
    </w:p>
    <w:p>
      <w:pPr>
        <w:spacing w:after="240"/>
      </w:pPr>
    </w:p>
    <w:p>
      <w:pPr>
        <w:pStyle w:val="Heading1"/>
      </w:pPr>
      <w:r>
        <w:t>4. Complete REST API Specifications</w:t>
      </w:r>
    </w:p>
    <w:p>
      <w:r>
        <w:t>All 10 endpoints implemented in backend/app/api/routes.py strictly conform to docs/api-contract.md:</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70" w:type="dxa"/>
              <w:bottom w:w="70" w:type="dxa"/>
              <w:left w:w="100" w:type="dxa"/>
              <w:right w:w="100" w:type="dxa"/>
            </w:tcMar>
            <w:shd w:fill="1A365D"/>
          </w:tcPr>
          <w:p>
            <w:r>
              <w:rPr>
                <w:rFonts w:ascii="Calibri" w:hAnsi="Calibri"/>
                <w:b/>
                <w:color w:val="FFFFFF"/>
                <w:sz w:val="19"/>
              </w:rPr>
              <w:t>Endpoint Route</w:t>
            </w:r>
          </w:p>
        </w:tc>
        <w:tc>
          <w:tcPr>
            <w:tcW w:type="dxa" w:w="2340"/>
            <w:tcMar>
              <w:top w:w="70" w:type="dxa"/>
              <w:bottom w:w="70" w:type="dxa"/>
              <w:left w:w="100" w:type="dxa"/>
              <w:right w:w="100" w:type="dxa"/>
            </w:tcMar>
            <w:shd w:fill="1A365D"/>
          </w:tcPr>
          <w:p>
            <w:r>
              <w:rPr>
                <w:rFonts w:ascii="Calibri" w:hAnsi="Calibri"/>
                <w:b/>
                <w:color w:val="FFFFFF"/>
                <w:sz w:val="19"/>
              </w:rPr>
              <w:t>HTTP</w:t>
            </w:r>
          </w:p>
        </w:tc>
        <w:tc>
          <w:tcPr>
            <w:tcW w:type="dxa" w:w="2340"/>
            <w:tcMar>
              <w:top w:w="70" w:type="dxa"/>
              <w:bottom w:w="70" w:type="dxa"/>
              <w:left w:w="100" w:type="dxa"/>
              <w:right w:w="100" w:type="dxa"/>
            </w:tcMar>
            <w:shd w:fill="1A365D"/>
          </w:tcPr>
          <w:p>
            <w:r>
              <w:rPr>
                <w:rFonts w:ascii="Calibri" w:hAnsi="Calibri"/>
                <w:b/>
                <w:color w:val="FFFFFF"/>
                <w:sz w:val="19"/>
              </w:rPr>
              <w:t>Source &amp; Logic</w:t>
            </w:r>
          </w:p>
        </w:tc>
        <w:tc>
          <w:tcPr>
            <w:tcW w:type="dxa" w:w="2340"/>
            <w:tcMar>
              <w:top w:w="70" w:type="dxa"/>
              <w:bottom w:w="70" w:type="dxa"/>
              <w:left w:w="100" w:type="dxa"/>
              <w:right w:w="100" w:type="dxa"/>
            </w:tcMar>
            <w:shd w:fill="1A365D"/>
          </w:tcPr>
          <w:p>
            <w:r>
              <w:rPr>
                <w:rFonts w:ascii="Calibri" w:hAnsi="Calibri"/>
                <w:b/>
                <w:color w:val="FFFFFF"/>
                <w:sz w:val="19"/>
              </w:rPr>
              <w:t>Latency Budget</w:t>
            </w:r>
          </w:p>
        </w:tc>
      </w:tr>
      <w:tr>
        <w:tc>
          <w:tcPr>
            <w:tcW w:type="dxa" w:w="2340"/>
            <w:tcMar>
              <w:top w:w="70" w:type="dxa"/>
              <w:bottom w:w="70" w:type="dxa"/>
              <w:left w:w="100" w:type="dxa"/>
              <w:right w:w="100" w:type="dxa"/>
            </w:tcMar>
            <w:shd w:fill="F7FAFC"/>
          </w:tcPr>
          <w:p>
            <w:r>
              <w:rPr>
                <w:rFonts w:ascii="Calibri" w:hAnsi="Calibri"/>
                <w:sz w:val="19"/>
              </w:rPr>
              <w:t>/api/events</w:t>
            </w:r>
          </w:p>
        </w:tc>
        <w:tc>
          <w:tcPr>
            <w:tcW w:type="dxa" w:w="2340"/>
            <w:tcMar>
              <w:top w:w="70" w:type="dxa"/>
              <w:bottom w:w="70" w:type="dxa"/>
              <w:left w:w="100" w:type="dxa"/>
              <w:right w:w="100" w:type="dxa"/>
            </w:tcMar>
            <w:shd w:fill="F7FAFC"/>
          </w:tcPr>
          <w:p>
            <w:r>
              <w:rPr>
                <w:rFonts w:ascii="Calibri" w:hAnsi="Calibri"/>
                <w:sz w:val="19"/>
              </w:rPr>
              <w:t>GET</w:t>
            </w:r>
          </w:p>
        </w:tc>
        <w:tc>
          <w:tcPr>
            <w:tcW w:type="dxa" w:w="2340"/>
            <w:tcMar>
              <w:top w:w="70" w:type="dxa"/>
              <w:bottom w:w="70" w:type="dxa"/>
              <w:left w:w="100" w:type="dxa"/>
              <w:right w:w="100" w:type="dxa"/>
            </w:tcMar>
            <w:shd w:fill="F7FAFC"/>
          </w:tcPr>
          <w:p>
            <w:r>
              <w:rPr>
                <w:rFonts w:ascii="Calibri" w:hAnsi="Calibri"/>
                <w:sz w:val="19"/>
              </w:rPr>
              <w:t>List satellite events with 6-class taxonomy, baseline_status, and status.</w:t>
            </w:r>
          </w:p>
        </w:tc>
        <w:tc>
          <w:tcPr>
            <w:tcW w:type="dxa" w:w="2340"/>
            <w:tcMar>
              <w:top w:w="70" w:type="dxa"/>
              <w:bottom w:w="70" w:type="dxa"/>
              <w:left w:w="100" w:type="dxa"/>
              <w:right w:w="100" w:type="dxa"/>
            </w:tcMar>
            <w:shd w:fill="F7FAFC"/>
          </w:tcPr>
          <w:p>
            <w:r>
              <w:rPr>
                <w:rFonts w:ascii="Calibri" w:hAnsi="Calibri"/>
                <w:sz w:val="19"/>
              </w:rPr>
              <w:t>&lt; 15 ms</w:t>
            </w:r>
          </w:p>
        </w:tc>
      </w:tr>
      <w:tr>
        <w:tc>
          <w:tcPr>
            <w:tcW w:type="dxa" w:w="2340"/>
            <w:tcMar>
              <w:top w:w="70" w:type="dxa"/>
              <w:bottom w:w="70" w:type="dxa"/>
              <w:left w:w="100" w:type="dxa"/>
              <w:right w:w="100" w:type="dxa"/>
            </w:tcMar>
          </w:tcPr>
          <w:p>
            <w:r>
              <w:rPr>
                <w:rFonts w:ascii="Calibri" w:hAnsi="Calibri"/>
                <w:sz w:val="19"/>
              </w:rPr>
              <w:t>/api/events/{id}</w:t>
            </w:r>
          </w:p>
        </w:tc>
        <w:tc>
          <w:tcPr>
            <w:tcW w:type="dxa" w:w="2340"/>
            <w:tcMar>
              <w:top w:w="70" w:type="dxa"/>
              <w:bottom w:w="70" w:type="dxa"/>
              <w:left w:w="100" w:type="dxa"/>
              <w:right w:w="100" w:type="dxa"/>
            </w:tcMar>
          </w:tcPr>
          <w:p>
            <w:r>
              <w:rPr>
                <w:rFonts w:ascii="Calibri" w:hAnsi="Calibri"/>
                <w:sz w:val="19"/>
              </w:rPr>
              <w:t>GET</w:t>
            </w:r>
          </w:p>
        </w:tc>
        <w:tc>
          <w:tcPr>
            <w:tcW w:type="dxa" w:w="2340"/>
            <w:tcMar>
              <w:top w:w="70" w:type="dxa"/>
              <w:bottom w:w="70" w:type="dxa"/>
              <w:left w:w="100" w:type="dxa"/>
              <w:right w:w="100" w:type="dxa"/>
            </w:tcMar>
          </w:tcPr>
          <w:p>
            <w:r>
              <w:rPr>
                <w:rFonts w:ascii="Calibri" w:hAnsi="Calibri"/>
                <w:sz w:val="19"/>
              </w:rPr>
              <w:t>Fetch single event telemetry and classification.</w:t>
            </w:r>
          </w:p>
        </w:tc>
        <w:tc>
          <w:tcPr>
            <w:tcW w:type="dxa" w:w="2340"/>
            <w:tcMar>
              <w:top w:w="70" w:type="dxa"/>
              <w:bottom w:w="70" w:type="dxa"/>
              <w:left w:w="100" w:type="dxa"/>
              <w:right w:w="100" w:type="dxa"/>
            </w:tcMar>
          </w:tcPr>
          <w:p>
            <w:r>
              <w:rPr>
                <w:rFonts w:ascii="Calibri" w:hAnsi="Calibri"/>
                <w:sz w:val="19"/>
              </w:rPr>
              <w:t>&lt; 10 ms</w:t>
            </w:r>
          </w:p>
        </w:tc>
      </w:tr>
      <w:tr>
        <w:tc>
          <w:tcPr>
            <w:tcW w:type="dxa" w:w="2340"/>
            <w:tcMar>
              <w:top w:w="70" w:type="dxa"/>
              <w:bottom w:w="70" w:type="dxa"/>
              <w:left w:w="100" w:type="dxa"/>
              <w:right w:w="100" w:type="dxa"/>
            </w:tcMar>
            <w:shd w:fill="F7FAFC"/>
          </w:tcPr>
          <w:p>
            <w:r>
              <w:rPr>
                <w:rFonts w:ascii="Calibri" w:hAnsi="Calibri"/>
                <w:sz w:val="19"/>
              </w:rPr>
              <w:t>/api/events/{id}/features</w:t>
            </w:r>
          </w:p>
        </w:tc>
        <w:tc>
          <w:tcPr>
            <w:tcW w:type="dxa" w:w="2340"/>
            <w:tcMar>
              <w:top w:w="70" w:type="dxa"/>
              <w:bottom w:w="70" w:type="dxa"/>
              <w:left w:w="100" w:type="dxa"/>
              <w:right w:w="100" w:type="dxa"/>
            </w:tcMar>
            <w:shd w:fill="F7FAFC"/>
          </w:tcPr>
          <w:p>
            <w:r>
              <w:rPr>
                <w:rFonts w:ascii="Calibri" w:hAnsi="Calibri"/>
                <w:sz w:val="19"/>
              </w:rPr>
              <w:t>GET</w:t>
            </w:r>
          </w:p>
        </w:tc>
        <w:tc>
          <w:tcPr>
            <w:tcW w:type="dxa" w:w="2340"/>
            <w:tcMar>
              <w:top w:w="70" w:type="dxa"/>
              <w:bottom w:w="70" w:type="dxa"/>
              <w:left w:w="100" w:type="dxa"/>
              <w:right w:w="100" w:type="dxa"/>
            </w:tcMar>
            <w:shd w:fill="F7FAFC"/>
          </w:tcPr>
          <w:p>
            <w:r>
              <w:rPr>
                <w:rFonts w:ascii="Calibri" w:hAnsi="Calibri"/>
                <w:sz w:val="19"/>
              </w:rPr>
              <w:t>Returns 141-feature dictionary with real values, percentiles, and missing flags.</w:t>
            </w:r>
          </w:p>
        </w:tc>
        <w:tc>
          <w:tcPr>
            <w:tcW w:type="dxa" w:w="2340"/>
            <w:tcMar>
              <w:top w:w="70" w:type="dxa"/>
              <w:bottom w:w="70" w:type="dxa"/>
              <w:left w:w="100" w:type="dxa"/>
              <w:right w:w="100" w:type="dxa"/>
            </w:tcMar>
            <w:shd w:fill="F7FAFC"/>
          </w:tcPr>
          <w:p>
            <w:r>
              <w:rPr>
                <w:rFonts w:ascii="Calibri" w:hAnsi="Calibri"/>
                <w:sz w:val="19"/>
              </w:rPr>
              <w:t>&lt; 10 ms</w:t>
            </w:r>
          </w:p>
        </w:tc>
      </w:tr>
      <w:tr>
        <w:tc>
          <w:tcPr>
            <w:tcW w:type="dxa" w:w="2340"/>
            <w:tcMar>
              <w:top w:w="70" w:type="dxa"/>
              <w:bottom w:w="70" w:type="dxa"/>
              <w:left w:w="100" w:type="dxa"/>
              <w:right w:w="100" w:type="dxa"/>
            </w:tcMar>
          </w:tcPr>
          <w:p>
            <w:r>
              <w:rPr>
                <w:rFonts w:ascii="Calibri" w:hAnsi="Calibri"/>
                <w:sz w:val="19"/>
              </w:rPr>
              <w:t>/api/events/{id}/shap</w:t>
            </w:r>
          </w:p>
        </w:tc>
        <w:tc>
          <w:tcPr>
            <w:tcW w:type="dxa" w:w="2340"/>
            <w:tcMar>
              <w:top w:w="70" w:type="dxa"/>
              <w:bottom w:w="70" w:type="dxa"/>
              <w:left w:w="100" w:type="dxa"/>
              <w:right w:w="100" w:type="dxa"/>
            </w:tcMar>
          </w:tcPr>
          <w:p>
            <w:r>
              <w:rPr>
                <w:rFonts w:ascii="Calibri" w:hAnsi="Calibri"/>
                <w:sz w:val="19"/>
              </w:rPr>
              <w:t>GET</w:t>
            </w:r>
          </w:p>
        </w:tc>
        <w:tc>
          <w:tcPr>
            <w:tcW w:type="dxa" w:w="2340"/>
            <w:tcMar>
              <w:top w:w="70" w:type="dxa"/>
              <w:bottom w:w="70" w:type="dxa"/>
              <w:left w:w="100" w:type="dxa"/>
              <w:right w:w="100" w:type="dxa"/>
            </w:tcMar>
          </w:tcPr>
          <w:p>
            <w:r>
              <w:rPr>
                <w:rFonts w:ascii="Calibri" w:hAnsi="Calibri"/>
                <w:sz w:val="19"/>
              </w:rPr>
              <w:t>Instant lookup from precomputed event_features.shap_json.</w:t>
            </w:r>
          </w:p>
        </w:tc>
        <w:tc>
          <w:tcPr>
            <w:tcW w:type="dxa" w:w="2340"/>
            <w:tcMar>
              <w:top w:w="70" w:type="dxa"/>
              <w:bottom w:w="70" w:type="dxa"/>
              <w:left w:w="100" w:type="dxa"/>
              <w:right w:w="100" w:type="dxa"/>
            </w:tcMar>
          </w:tcPr>
          <w:p>
            <w:r>
              <w:rPr>
                <w:rFonts w:ascii="Calibri" w:hAnsi="Calibri"/>
                <w:sz w:val="19"/>
              </w:rPr>
              <w:t>&lt; 5 ms</w:t>
            </w:r>
          </w:p>
        </w:tc>
      </w:tr>
      <w:tr>
        <w:tc>
          <w:tcPr>
            <w:tcW w:type="dxa" w:w="2340"/>
            <w:tcMar>
              <w:top w:w="70" w:type="dxa"/>
              <w:bottom w:w="70" w:type="dxa"/>
              <w:left w:w="100" w:type="dxa"/>
              <w:right w:w="100" w:type="dxa"/>
            </w:tcMar>
            <w:shd w:fill="F7FAFC"/>
          </w:tcPr>
          <w:p>
            <w:r>
              <w:rPr>
                <w:rFonts w:ascii="Calibri" w:hAnsi="Calibri"/>
                <w:sz w:val="19"/>
              </w:rPr>
              <w:t>/api/events/{id}/forecast</w:t>
            </w:r>
          </w:p>
        </w:tc>
        <w:tc>
          <w:tcPr>
            <w:tcW w:type="dxa" w:w="2340"/>
            <w:tcMar>
              <w:top w:w="70" w:type="dxa"/>
              <w:bottom w:w="70" w:type="dxa"/>
              <w:left w:w="100" w:type="dxa"/>
              <w:right w:w="100" w:type="dxa"/>
            </w:tcMar>
            <w:shd w:fill="F7FAFC"/>
          </w:tcPr>
          <w:p>
            <w:r>
              <w:rPr>
                <w:rFonts w:ascii="Calibri" w:hAnsi="Calibri"/>
                <w:sz w:val="19"/>
              </w:rPr>
              <w:t>GET</w:t>
            </w:r>
          </w:p>
        </w:tc>
        <w:tc>
          <w:tcPr>
            <w:tcW w:type="dxa" w:w="2340"/>
            <w:tcMar>
              <w:top w:w="70" w:type="dxa"/>
              <w:bottom w:w="70" w:type="dxa"/>
              <w:left w:w="100" w:type="dxa"/>
              <w:right w:w="100" w:type="dxa"/>
            </w:tcMar>
            <w:shd w:fill="F7FAFC"/>
          </w:tcPr>
          <w:p>
            <w:r>
              <w:rPr>
                <w:rFonts w:ascii="Calibri" w:hAnsi="Calibri"/>
                <w:sz w:val="19"/>
              </w:rPr>
              <w:t>73-hour hourly weather and Canadian FWI forecast timeline.</w:t>
            </w:r>
          </w:p>
        </w:tc>
        <w:tc>
          <w:tcPr>
            <w:tcW w:type="dxa" w:w="2340"/>
            <w:tcMar>
              <w:top w:w="70" w:type="dxa"/>
              <w:bottom w:w="70" w:type="dxa"/>
              <w:left w:w="100" w:type="dxa"/>
              <w:right w:w="100" w:type="dxa"/>
            </w:tcMar>
            <w:shd w:fill="F7FAFC"/>
          </w:tcPr>
          <w:p>
            <w:r>
              <w:rPr>
                <w:rFonts w:ascii="Calibri" w:hAnsi="Calibri"/>
                <w:sz w:val="19"/>
              </w:rPr>
              <w:t>&lt; 5 ms</w:t>
            </w:r>
          </w:p>
        </w:tc>
      </w:tr>
      <w:tr>
        <w:tc>
          <w:tcPr>
            <w:tcW w:type="dxa" w:w="2340"/>
            <w:tcMar>
              <w:top w:w="70" w:type="dxa"/>
              <w:bottom w:w="70" w:type="dxa"/>
              <w:left w:w="100" w:type="dxa"/>
              <w:right w:w="100" w:type="dxa"/>
            </w:tcMar>
          </w:tcPr>
          <w:p>
            <w:r>
              <w:rPr>
                <w:rFonts w:ascii="Calibri" w:hAnsi="Calibri"/>
                <w:sz w:val="19"/>
              </w:rPr>
              <w:t>/api/wind</w:t>
            </w:r>
          </w:p>
        </w:tc>
        <w:tc>
          <w:tcPr>
            <w:tcW w:type="dxa" w:w="2340"/>
            <w:tcMar>
              <w:top w:w="70" w:type="dxa"/>
              <w:bottom w:w="70" w:type="dxa"/>
              <w:left w:w="100" w:type="dxa"/>
              <w:right w:w="100" w:type="dxa"/>
            </w:tcMar>
          </w:tcPr>
          <w:p>
            <w:r>
              <w:rPr>
                <w:rFonts w:ascii="Calibri" w:hAnsi="Calibri"/>
                <w:sz w:val="19"/>
              </w:rPr>
              <w:t>GET</w:t>
            </w:r>
          </w:p>
        </w:tc>
        <w:tc>
          <w:tcPr>
            <w:tcW w:type="dxa" w:w="2340"/>
            <w:tcMar>
              <w:top w:w="70" w:type="dxa"/>
              <w:bottom w:w="70" w:type="dxa"/>
              <w:left w:w="100" w:type="dxa"/>
              <w:right w:w="100" w:type="dxa"/>
            </w:tcMar>
          </w:tcPr>
          <w:p>
            <w:r>
              <w:rPr>
                <w:rFonts w:ascii="Calibri" w:hAnsi="Calibri"/>
                <w:sz w:val="19"/>
              </w:rPr>
              <w:t>Gridded u and v wind velocity vectors for Leaflet particle animation.</w:t>
            </w:r>
          </w:p>
        </w:tc>
        <w:tc>
          <w:tcPr>
            <w:tcW w:type="dxa" w:w="2340"/>
            <w:tcMar>
              <w:top w:w="70" w:type="dxa"/>
              <w:bottom w:w="70" w:type="dxa"/>
              <w:left w:w="100" w:type="dxa"/>
              <w:right w:w="100" w:type="dxa"/>
            </w:tcMar>
          </w:tcPr>
          <w:p>
            <w:r>
              <w:rPr>
                <w:rFonts w:ascii="Calibri" w:hAnsi="Calibri"/>
                <w:sz w:val="19"/>
              </w:rPr>
              <w:t>&lt; 10 ms</w:t>
            </w:r>
          </w:p>
        </w:tc>
      </w:tr>
      <w:tr>
        <w:tc>
          <w:tcPr>
            <w:tcW w:type="dxa" w:w="2340"/>
            <w:tcMar>
              <w:top w:w="70" w:type="dxa"/>
              <w:bottom w:w="70" w:type="dxa"/>
              <w:left w:w="100" w:type="dxa"/>
              <w:right w:w="100" w:type="dxa"/>
            </w:tcMar>
            <w:shd w:fill="F7FAFC"/>
          </w:tcPr>
          <w:p>
            <w:r>
              <w:rPr>
                <w:rFonts w:ascii="Calibri" w:hAnsi="Calibri"/>
                <w:sz w:val="19"/>
              </w:rPr>
              <w:t>/api/events/{id}/plume</w:t>
            </w:r>
          </w:p>
        </w:tc>
        <w:tc>
          <w:tcPr>
            <w:tcW w:type="dxa" w:w="2340"/>
            <w:tcMar>
              <w:top w:w="70" w:type="dxa"/>
              <w:bottom w:w="70" w:type="dxa"/>
              <w:left w:w="100" w:type="dxa"/>
              <w:right w:w="100" w:type="dxa"/>
            </w:tcMar>
            <w:shd w:fill="F7FAFC"/>
          </w:tcPr>
          <w:p>
            <w:r>
              <w:rPr>
                <w:rFonts w:ascii="Calibri" w:hAnsi="Calibri"/>
                <w:sz w:val="19"/>
              </w:rPr>
              <w:t>GET</w:t>
            </w:r>
          </w:p>
        </w:tc>
        <w:tc>
          <w:tcPr>
            <w:tcW w:type="dxa" w:w="2340"/>
            <w:tcMar>
              <w:top w:w="70" w:type="dxa"/>
              <w:bottom w:w="70" w:type="dxa"/>
              <w:left w:w="100" w:type="dxa"/>
              <w:right w:w="100" w:type="dxa"/>
            </w:tcMar>
            <w:shd w:fill="F7FAFC"/>
          </w:tcPr>
          <w:p>
            <w:r>
              <w:rPr>
                <w:rFonts w:ascii="Calibri" w:hAnsi="Calibri"/>
                <w:sz w:val="19"/>
              </w:rPr>
              <w:t>6-hour Gaussian smoke dispersion trajectory and polygon.</w:t>
            </w:r>
          </w:p>
        </w:tc>
        <w:tc>
          <w:tcPr>
            <w:tcW w:type="dxa" w:w="2340"/>
            <w:tcMar>
              <w:top w:w="70" w:type="dxa"/>
              <w:bottom w:w="70" w:type="dxa"/>
              <w:left w:w="100" w:type="dxa"/>
              <w:right w:w="100" w:type="dxa"/>
            </w:tcMar>
            <w:shd w:fill="F7FAFC"/>
          </w:tcPr>
          <w:p>
            <w:r>
              <w:rPr>
                <w:rFonts w:ascii="Calibri" w:hAnsi="Calibri"/>
                <w:sz w:val="19"/>
              </w:rPr>
              <w:t>&lt; 15 ms</w:t>
            </w:r>
          </w:p>
        </w:tc>
      </w:tr>
      <w:tr>
        <w:tc>
          <w:tcPr>
            <w:tcW w:type="dxa" w:w="2340"/>
            <w:tcMar>
              <w:top w:w="70" w:type="dxa"/>
              <w:bottom w:w="70" w:type="dxa"/>
              <w:left w:w="100" w:type="dxa"/>
              <w:right w:w="100" w:type="dxa"/>
            </w:tcMar>
          </w:tcPr>
          <w:p>
            <w:r>
              <w:rPr>
                <w:rFonts w:ascii="Calibri" w:hAnsi="Calibri"/>
                <w:sz w:val="19"/>
              </w:rPr>
              <w:t>/api/events/{id}/spread</w:t>
            </w:r>
          </w:p>
        </w:tc>
        <w:tc>
          <w:tcPr>
            <w:tcW w:type="dxa" w:w="2340"/>
            <w:tcMar>
              <w:top w:w="70" w:type="dxa"/>
              <w:bottom w:w="70" w:type="dxa"/>
              <w:left w:w="100" w:type="dxa"/>
              <w:right w:w="100" w:type="dxa"/>
            </w:tcMar>
          </w:tcPr>
          <w:p>
            <w:r>
              <w:rPr>
                <w:rFonts w:ascii="Calibri" w:hAnsi="Calibri"/>
                <w:sz w:val="19"/>
              </w:rPr>
              <w:t>GET</w:t>
            </w:r>
          </w:p>
        </w:tc>
        <w:tc>
          <w:tcPr>
            <w:tcW w:type="dxa" w:w="2340"/>
            <w:tcMar>
              <w:top w:w="70" w:type="dxa"/>
              <w:bottom w:w="70" w:type="dxa"/>
              <w:left w:w="100" w:type="dxa"/>
              <w:right w:w="100" w:type="dxa"/>
            </w:tcMar>
          </w:tcPr>
          <w:p>
            <w:r>
              <w:rPr>
                <w:rFonts w:ascii="Calibri" w:hAnsi="Calibri"/>
                <w:sz w:val="19"/>
              </w:rPr>
              <w:t>1h, 3h, 6h Huygens elliptical fire spread outlook for wildfire/stubble.</w:t>
            </w:r>
          </w:p>
        </w:tc>
        <w:tc>
          <w:tcPr>
            <w:tcW w:type="dxa" w:w="2340"/>
            <w:tcMar>
              <w:top w:w="70" w:type="dxa"/>
              <w:bottom w:w="70" w:type="dxa"/>
              <w:left w:w="100" w:type="dxa"/>
              <w:right w:w="100" w:type="dxa"/>
            </w:tcMar>
          </w:tcPr>
          <w:p>
            <w:r>
              <w:rPr>
                <w:rFonts w:ascii="Calibri" w:hAnsi="Calibri"/>
                <w:sz w:val="19"/>
              </w:rPr>
              <w:t>&lt; 20 ms</w:t>
            </w:r>
          </w:p>
        </w:tc>
      </w:tr>
      <w:tr>
        <w:tc>
          <w:tcPr>
            <w:tcW w:type="dxa" w:w="2340"/>
            <w:tcMar>
              <w:top w:w="70" w:type="dxa"/>
              <w:bottom w:w="70" w:type="dxa"/>
              <w:left w:w="100" w:type="dxa"/>
              <w:right w:w="100" w:type="dxa"/>
            </w:tcMar>
            <w:shd w:fill="F7FAFC"/>
          </w:tcPr>
          <w:p>
            <w:r>
              <w:rPr>
                <w:rFonts w:ascii="Calibri" w:hAnsi="Calibri"/>
                <w:sz w:val="19"/>
              </w:rPr>
              <w:t>/api/events/{id}/exposure</w:t>
            </w:r>
          </w:p>
        </w:tc>
        <w:tc>
          <w:tcPr>
            <w:tcW w:type="dxa" w:w="2340"/>
            <w:tcMar>
              <w:top w:w="70" w:type="dxa"/>
              <w:bottom w:w="70" w:type="dxa"/>
              <w:left w:w="100" w:type="dxa"/>
              <w:right w:w="100" w:type="dxa"/>
            </w:tcMar>
            <w:shd w:fill="F7FAFC"/>
          </w:tcPr>
          <w:p>
            <w:r>
              <w:rPr>
                <w:rFonts w:ascii="Calibri" w:hAnsi="Calibri"/>
                <w:sz w:val="19"/>
              </w:rPr>
              <w:t>GET</w:t>
            </w:r>
          </w:p>
        </w:tc>
        <w:tc>
          <w:tcPr>
            <w:tcW w:type="dxa" w:w="2340"/>
            <w:tcMar>
              <w:top w:w="70" w:type="dxa"/>
              <w:bottom w:w="70" w:type="dxa"/>
              <w:left w:w="100" w:type="dxa"/>
              <w:right w:w="100" w:type="dxa"/>
            </w:tcMar>
            <w:shd w:fill="F7FAFC"/>
          </w:tcPr>
          <w:p>
            <w:r>
              <w:rPr>
                <w:rFonts w:ascii="Calibri" w:hAnsi="Calibri"/>
                <w:sz w:val="19"/>
              </w:rPr>
              <w:t>PostGIS spatial intersection counting schools, clinics, settlements in plume.</w:t>
            </w:r>
          </w:p>
        </w:tc>
        <w:tc>
          <w:tcPr>
            <w:tcW w:type="dxa" w:w="2340"/>
            <w:tcMar>
              <w:top w:w="70" w:type="dxa"/>
              <w:bottom w:w="70" w:type="dxa"/>
              <w:left w:w="100" w:type="dxa"/>
              <w:right w:w="100" w:type="dxa"/>
            </w:tcMar>
            <w:shd w:fill="F7FAFC"/>
          </w:tcPr>
          <w:p>
            <w:r>
              <w:rPr>
                <w:rFonts w:ascii="Calibri" w:hAnsi="Calibri"/>
                <w:sz w:val="19"/>
              </w:rPr>
              <w:t>&lt; 25 ms</w:t>
            </w:r>
          </w:p>
        </w:tc>
      </w:tr>
      <w:tr>
        <w:tc>
          <w:tcPr>
            <w:tcW w:type="dxa" w:w="2340"/>
            <w:tcMar>
              <w:top w:w="70" w:type="dxa"/>
              <w:bottom w:w="70" w:type="dxa"/>
              <w:left w:w="100" w:type="dxa"/>
              <w:right w:w="100" w:type="dxa"/>
            </w:tcMar>
          </w:tcPr>
          <w:p>
            <w:r>
              <w:rPr>
                <w:rFonts w:ascii="Calibri" w:hAnsi="Calibri"/>
                <w:sz w:val="19"/>
              </w:rPr>
              <w:t>/api/events/{id}/similar</w:t>
            </w:r>
          </w:p>
        </w:tc>
        <w:tc>
          <w:tcPr>
            <w:tcW w:type="dxa" w:w="2340"/>
            <w:tcMar>
              <w:top w:w="70" w:type="dxa"/>
              <w:bottom w:w="70" w:type="dxa"/>
              <w:left w:w="100" w:type="dxa"/>
              <w:right w:w="100" w:type="dxa"/>
            </w:tcMar>
          </w:tcPr>
          <w:p>
            <w:r>
              <w:rPr>
                <w:rFonts w:ascii="Calibri" w:hAnsi="Calibri"/>
                <w:sz w:val="19"/>
              </w:rPr>
              <w:t>GET</w:t>
            </w:r>
          </w:p>
        </w:tc>
        <w:tc>
          <w:tcPr>
            <w:tcW w:type="dxa" w:w="2340"/>
            <w:tcMar>
              <w:top w:w="70" w:type="dxa"/>
              <w:bottom w:w="70" w:type="dxa"/>
              <w:left w:w="100" w:type="dxa"/>
              <w:right w:w="100" w:type="dxa"/>
            </w:tcMar>
          </w:tcPr>
          <w:p>
            <w:r>
              <w:rPr>
                <w:rFonts w:ascii="Calibri" w:hAnsi="Calibri"/>
                <w:sz w:val="19"/>
              </w:rPr>
              <w:t>Exact pgvector cosine similarity (&lt;=&gt;) ranking past analog fires.</w:t>
            </w:r>
          </w:p>
        </w:tc>
        <w:tc>
          <w:tcPr>
            <w:tcW w:type="dxa" w:w="2340"/>
            <w:tcMar>
              <w:top w:w="70" w:type="dxa"/>
              <w:bottom w:w="70" w:type="dxa"/>
              <w:left w:w="100" w:type="dxa"/>
              <w:right w:w="100" w:type="dxa"/>
            </w:tcMar>
          </w:tcPr>
          <w:p>
            <w:r>
              <w:rPr>
                <w:rFonts w:ascii="Calibri" w:hAnsi="Calibri"/>
                <w:sz w:val="19"/>
              </w:rPr>
              <w:t>&lt; 10 ms</w:t>
            </w:r>
          </w:p>
        </w:tc>
      </w:tr>
      <w:tr>
        <w:tc>
          <w:tcPr>
            <w:tcW w:type="dxa" w:w="2340"/>
            <w:tcMar>
              <w:top w:w="70" w:type="dxa"/>
              <w:bottom w:w="70" w:type="dxa"/>
              <w:left w:w="100" w:type="dxa"/>
              <w:right w:w="100" w:type="dxa"/>
            </w:tcMar>
            <w:shd w:fill="F7FAFC"/>
          </w:tcPr>
          <w:p>
            <w:r>
              <w:rPr>
                <w:rFonts w:ascii="Calibri" w:hAnsi="Calibri"/>
                <w:sz w:val="19"/>
              </w:rPr>
              <w:t>/api/events/{id}/reviews</w:t>
            </w:r>
          </w:p>
        </w:tc>
        <w:tc>
          <w:tcPr>
            <w:tcW w:type="dxa" w:w="2340"/>
            <w:tcMar>
              <w:top w:w="70" w:type="dxa"/>
              <w:bottom w:w="70" w:type="dxa"/>
              <w:left w:w="100" w:type="dxa"/>
              <w:right w:w="100" w:type="dxa"/>
            </w:tcMar>
            <w:shd w:fill="F7FAFC"/>
          </w:tcPr>
          <w:p>
            <w:r>
              <w:rPr>
                <w:rFonts w:ascii="Calibri" w:hAnsi="Calibri"/>
                <w:sz w:val="19"/>
              </w:rPr>
              <w:t>POST</w:t>
            </w:r>
          </w:p>
        </w:tc>
        <w:tc>
          <w:tcPr>
            <w:tcW w:type="dxa" w:w="2340"/>
            <w:tcMar>
              <w:top w:w="70" w:type="dxa"/>
              <w:bottom w:w="70" w:type="dxa"/>
              <w:left w:w="100" w:type="dxa"/>
              <w:right w:w="100" w:type="dxa"/>
            </w:tcMar>
            <w:shd w:fill="F7FAFC"/>
          </w:tcPr>
          <w:p>
            <w:r>
              <w:rPr>
                <w:rFonts w:ascii="Calibri" w:hAnsi="Calibri"/>
                <w:sz w:val="19"/>
              </w:rPr>
              <w:t>Persists analyst ground-truth confirm/reject/reclassify verdicts.</w:t>
            </w:r>
          </w:p>
        </w:tc>
        <w:tc>
          <w:tcPr>
            <w:tcW w:type="dxa" w:w="2340"/>
            <w:tcMar>
              <w:top w:w="70" w:type="dxa"/>
              <w:bottom w:w="70" w:type="dxa"/>
              <w:left w:w="100" w:type="dxa"/>
              <w:right w:w="100" w:type="dxa"/>
            </w:tcMar>
            <w:shd w:fill="F7FAFC"/>
          </w:tcPr>
          <w:p>
            <w:r>
              <w:rPr>
                <w:rFonts w:ascii="Calibri" w:hAnsi="Calibri"/>
                <w:sz w:val="19"/>
              </w:rPr>
              <w:t>&lt; 10 ms</w:t>
            </w:r>
          </w:p>
        </w:tc>
      </w:tr>
      <w:tr>
        <w:tc>
          <w:tcPr>
            <w:tcW w:type="dxa" w:w="2340"/>
            <w:tcMar>
              <w:top w:w="70" w:type="dxa"/>
              <w:bottom w:w="70" w:type="dxa"/>
              <w:left w:w="100" w:type="dxa"/>
              <w:right w:w="100" w:type="dxa"/>
            </w:tcMar>
          </w:tcPr>
          <w:p>
            <w:r>
              <w:rPr>
                <w:rFonts w:ascii="Calibri" w:hAnsi="Calibri"/>
                <w:sz w:val="19"/>
              </w:rPr>
              <w:t>/api/reviews</w:t>
            </w:r>
          </w:p>
        </w:tc>
        <w:tc>
          <w:tcPr>
            <w:tcW w:type="dxa" w:w="2340"/>
            <w:tcMar>
              <w:top w:w="70" w:type="dxa"/>
              <w:bottom w:w="70" w:type="dxa"/>
              <w:left w:w="100" w:type="dxa"/>
              <w:right w:w="100" w:type="dxa"/>
            </w:tcMar>
          </w:tcPr>
          <w:p>
            <w:r>
              <w:rPr>
                <w:rFonts w:ascii="Calibri" w:hAnsi="Calibri"/>
                <w:sz w:val="19"/>
              </w:rPr>
              <w:t>GET</w:t>
            </w:r>
          </w:p>
        </w:tc>
        <w:tc>
          <w:tcPr>
            <w:tcW w:type="dxa" w:w="2340"/>
            <w:tcMar>
              <w:top w:w="70" w:type="dxa"/>
              <w:bottom w:w="70" w:type="dxa"/>
              <w:left w:w="100" w:type="dxa"/>
              <w:right w:w="100" w:type="dxa"/>
            </w:tcMar>
          </w:tcPr>
          <w:p>
            <w:r>
              <w:rPr>
                <w:rFonts w:ascii="Calibri" w:hAnsi="Calibri"/>
                <w:sz w:val="19"/>
              </w:rPr>
              <w:t>Retrieves complete analyst triage and verification history.</w:t>
            </w:r>
          </w:p>
        </w:tc>
        <w:tc>
          <w:tcPr>
            <w:tcW w:type="dxa" w:w="2340"/>
            <w:tcMar>
              <w:top w:w="70" w:type="dxa"/>
              <w:bottom w:w="70" w:type="dxa"/>
              <w:left w:w="100" w:type="dxa"/>
              <w:right w:w="100" w:type="dxa"/>
            </w:tcMar>
          </w:tcPr>
          <w:p>
            <w:r>
              <w:rPr>
                <w:rFonts w:ascii="Calibri" w:hAnsi="Calibri"/>
                <w:sz w:val="19"/>
              </w:rPr>
              <w:t>&lt; 10 ms</w:t>
            </w:r>
          </w:p>
        </w:tc>
      </w:tr>
    </w:tbl>
    <w:p>
      <w:pPr>
        <w:spacing w:after="240"/>
      </w:pPr>
    </w:p>
    <w:p>
      <w:pPr>
        <w:pStyle w:val="Heading1"/>
      </w:pPr>
      <w:r>
        <w:t>5. End-to-End Operational Lifecycle</w:t>
      </w:r>
    </w:p>
    <w:p>
      <w:pPr>
        <w:ind w:left="288"/>
      </w:pPr>
      <w:r>
        <w:rPr>
          <w:b/>
          <w:color w:val="1A365D"/>
        </w:rPr>
        <w:t xml:space="preserve">1. Ingestion: </w:t>
      </w:r>
      <w:r>
        <w:t>NASA FIRMS VIIRS 375m sensor detects a thermal anomaly over Karnataka.</w:t>
      </w:r>
    </w:p>
    <w:p>
      <w:pPr>
        <w:ind w:left="288"/>
      </w:pPr>
      <w:r>
        <w:rPr>
          <w:b/>
          <w:color w:val="1A365D"/>
        </w:rPr>
        <w:t xml:space="preserve">2. Spatial Feature Evaluation: </w:t>
      </w:r>
      <w:r>
        <w:t>System calculates proximity to nearest GEM industrial site (3.8 km), forest cover (45%), cropland (10%), and current FWI (12.0).</w:t>
      </w:r>
    </w:p>
    <w:p>
      <w:pPr>
        <w:ind w:left="288"/>
      </w:pPr>
      <w:r>
        <w:rPr>
          <w:b/>
          <w:color w:val="1A365D"/>
        </w:rPr>
        <w:t xml:space="preserve">3. Classification &amp; Baseline: </w:t>
      </w:r>
      <w:r>
        <w:t>Heuristic rules label the event as 'wildfire' with 88% calibrated confidence and 'abnormal' baseline status.</w:t>
      </w:r>
    </w:p>
    <w:p>
      <w:pPr>
        <w:ind w:left="288"/>
      </w:pPr>
      <w:r>
        <w:rPr>
          <w:b/>
          <w:color w:val="1A365D"/>
        </w:rPr>
        <w:t xml:space="preserve">4. Explainability Generation: </w:t>
      </w:r>
      <w:r>
        <w:t>TreeSHAP attribution weights and 141-D vector embeddings are precomputed in memory.</w:t>
      </w:r>
    </w:p>
    <w:p>
      <w:pPr>
        <w:ind w:left="288"/>
      </w:pPr>
      <w:r>
        <w:rPr>
          <w:b/>
          <w:color w:val="1A365D"/>
        </w:rPr>
        <w:t xml:space="preserve">5. Database Commit: </w:t>
      </w:r>
      <w:r>
        <w:t>All telemetry, features, and geometries are persisted into PostgreSQL tables in a single transaction.</w:t>
      </w:r>
    </w:p>
    <w:p>
      <w:pPr>
        <w:ind w:left="288"/>
      </w:pPr>
      <w:r>
        <w:rPr>
          <w:b/>
          <w:color w:val="1A365D"/>
        </w:rPr>
        <w:t xml:space="preserve">6. Dashboard Delivery: </w:t>
      </w:r>
      <w:r>
        <w:t>Leaflet frontend fetches /api/events in under 15ms, plotting the active fire marker, smoke plume envelope, and SHAP cards.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