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4B4" w:rsidRPr="000F64B4" w:rsidRDefault="000F64B4" w:rsidP="000F6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64B4">
        <w:rPr>
          <w:rFonts w:ascii="Times New Roman" w:eastAsia="Times New Roman" w:hAnsi="Times New Roman" w:cs="Times New Roman"/>
          <w:b/>
          <w:bCs/>
          <w:sz w:val="36"/>
          <w:szCs w:val="36"/>
          <w:lang w:eastAsia="en-IN"/>
        </w:rPr>
        <w:t>About Dataset</w:t>
      </w:r>
    </w:p>
    <w:p w:rsidR="000F64B4" w:rsidRPr="000F64B4" w:rsidRDefault="000F64B4" w:rsidP="000F6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64B4">
        <w:rPr>
          <w:rFonts w:ascii="Times New Roman" w:eastAsia="Times New Roman" w:hAnsi="Times New Roman" w:cs="Times New Roman"/>
          <w:b/>
          <w:bCs/>
          <w:sz w:val="27"/>
          <w:szCs w:val="27"/>
          <w:lang w:eastAsia="en-IN"/>
        </w:rPr>
        <w:t xml:space="preserve">Company </w:t>
      </w:r>
      <w:proofErr w:type="gramStart"/>
      <w:r w:rsidRPr="000F64B4">
        <w:rPr>
          <w:rFonts w:ascii="Times New Roman" w:eastAsia="Times New Roman" w:hAnsi="Times New Roman" w:cs="Times New Roman"/>
          <w:b/>
          <w:bCs/>
          <w:sz w:val="27"/>
          <w:szCs w:val="27"/>
          <w:lang w:eastAsia="en-IN"/>
        </w:rPr>
        <w:t>IPO :</w:t>
      </w:r>
      <w:proofErr w:type="gramEnd"/>
      <w:r w:rsidRPr="000F64B4">
        <w:rPr>
          <w:rFonts w:ascii="Times New Roman" w:eastAsia="Times New Roman" w:hAnsi="Times New Roman" w:cs="Times New Roman"/>
          <w:b/>
          <w:bCs/>
          <w:sz w:val="27"/>
          <w:szCs w:val="27"/>
          <w:lang w:eastAsia="en-IN"/>
        </w:rPr>
        <w:t xml:space="preserve"> 2019 - 2021</w:t>
      </w:r>
    </w:p>
    <w:p w:rsidR="000F64B4" w:rsidRPr="000F64B4" w:rsidRDefault="000F64B4" w:rsidP="000F64B4">
      <w:pPr>
        <w:spacing w:before="100" w:beforeAutospacing="1" w:after="100" w:afterAutospacing="1" w:line="240" w:lineRule="auto"/>
        <w:rPr>
          <w:rFonts w:ascii="Times New Roman" w:eastAsia="Times New Roman" w:hAnsi="Times New Roman" w:cs="Times New Roman"/>
          <w:sz w:val="24"/>
          <w:szCs w:val="24"/>
          <w:lang w:eastAsia="en-IN"/>
        </w:rPr>
      </w:pPr>
      <w:r w:rsidRPr="000F64B4">
        <w:rPr>
          <w:rFonts w:ascii="Times New Roman" w:eastAsia="Times New Roman" w:hAnsi="Times New Roman" w:cs="Times New Roman"/>
          <w:sz w:val="24"/>
          <w:szCs w:val="24"/>
          <w:lang w:eastAsia="en-IN"/>
        </w:rPr>
        <w:t>An initial public offering (IPO) refers to the process of offering shares of a private corporation to the public in a new stock issuance. An IPO allows a company to raise capital from public investors. The transition from a private to a public company can be an important time for private investors to fully realize gains from their investment as it typically includes a share premium for current private investors. Meanwhile, it also allows public investors to participate in the offering.</w:t>
      </w:r>
    </w:p>
    <w:p w:rsidR="000F64B4" w:rsidRPr="000F64B4" w:rsidRDefault="000F64B4" w:rsidP="000F64B4">
      <w:pPr>
        <w:spacing w:before="100" w:beforeAutospacing="1" w:after="100" w:afterAutospacing="1" w:line="240" w:lineRule="auto"/>
        <w:rPr>
          <w:rFonts w:ascii="Times New Roman" w:eastAsia="Times New Roman" w:hAnsi="Times New Roman" w:cs="Times New Roman"/>
          <w:sz w:val="24"/>
          <w:szCs w:val="24"/>
          <w:lang w:eastAsia="en-IN"/>
        </w:rPr>
      </w:pPr>
      <w:r w:rsidRPr="000F64B4">
        <w:rPr>
          <w:rFonts w:ascii="Times New Roman" w:eastAsia="Times New Roman" w:hAnsi="Times New Roman" w:cs="Times New Roman"/>
          <w:sz w:val="24"/>
          <w:szCs w:val="24"/>
          <w:lang w:eastAsia="en-IN"/>
        </w:rPr>
        <w:t>Global initial public offering (IPO) issuances and proceeds set a new record in 2021, rising 64% and 67% respectively compared with 2020 The fourth quarter of the year was particularly active, with deal numbers reaching their highest since the same period in 2007 However, growth in IPO activity in Asia Pacific was relatively weak</w:t>
      </w:r>
    </w:p>
    <w:p w:rsidR="000F64B4" w:rsidRPr="000F64B4" w:rsidRDefault="000F64B4" w:rsidP="000F6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64B4">
        <w:rPr>
          <w:rFonts w:ascii="Times New Roman" w:eastAsia="Times New Roman" w:hAnsi="Times New Roman" w:cs="Times New Roman"/>
          <w:b/>
          <w:bCs/>
          <w:sz w:val="27"/>
          <w:szCs w:val="27"/>
          <w:lang w:eastAsia="en-IN"/>
        </w:rPr>
        <w:t>Source</w:t>
      </w:r>
    </w:p>
    <w:p w:rsidR="000F64B4" w:rsidRPr="000F64B4" w:rsidRDefault="000F64B4" w:rsidP="000F64B4">
      <w:pPr>
        <w:spacing w:before="100" w:beforeAutospacing="1" w:after="100" w:afterAutospacing="1" w:line="240" w:lineRule="auto"/>
        <w:rPr>
          <w:rFonts w:ascii="Times New Roman" w:eastAsia="Times New Roman" w:hAnsi="Times New Roman" w:cs="Times New Roman"/>
          <w:sz w:val="24"/>
          <w:szCs w:val="24"/>
          <w:lang w:eastAsia="en-IN"/>
        </w:rPr>
      </w:pPr>
      <w:hyperlink r:id="rId4" w:history="1">
        <w:r w:rsidRPr="000F64B4">
          <w:rPr>
            <w:rFonts w:ascii="Times New Roman" w:eastAsia="Times New Roman" w:hAnsi="Times New Roman" w:cs="Times New Roman"/>
            <w:color w:val="0000FF"/>
            <w:sz w:val="24"/>
            <w:szCs w:val="24"/>
            <w:u w:val="single"/>
            <w:lang w:eastAsia="en-IN"/>
          </w:rPr>
          <w:t>https://stockanalysis.com/</w:t>
        </w:r>
      </w:hyperlink>
    </w:p>
    <w:p w:rsidR="00C751BA" w:rsidRDefault="000F64B4">
      <w:bookmarkStart w:id="0" w:name="_GoBack"/>
      <w:bookmarkEnd w:id="0"/>
    </w:p>
    <w:sectPr w:rsidR="00C75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AE"/>
    <w:rsid w:val="000F3D21"/>
    <w:rsid w:val="000F64B4"/>
    <w:rsid w:val="002242AE"/>
    <w:rsid w:val="00872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7572D-88E6-4399-8F6B-BDC7B774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64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64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4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64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6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6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0985">
      <w:bodyDiv w:val="1"/>
      <w:marLeft w:val="0"/>
      <w:marRight w:val="0"/>
      <w:marTop w:val="0"/>
      <w:marBottom w:val="0"/>
      <w:divBdr>
        <w:top w:val="none" w:sz="0" w:space="0" w:color="auto"/>
        <w:left w:val="none" w:sz="0" w:space="0" w:color="auto"/>
        <w:bottom w:val="none" w:sz="0" w:space="0" w:color="auto"/>
        <w:right w:val="none" w:sz="0" w:space="0" w:color="auto"/>
      </w:divBdr>
      <w:divsChild>
        <w:div w:id="330258823">
          <w:marLeft w:val="0"/>
          <w:marRight w:val="0"/>
          <w:marTop w:val="0"/>
          <w:marBottom w:val="0"/>
          <w:divBdr>
            <w:top w:val="none" w:sz="0" w:space="0" w:color="auto"/>
            <w:left w:val="none" w:sz="0" w:space="0" w:color="auto"/>
            <w:bottom w:val="none" w:sz="0" w:space="0" w:color="auto"/>
            <w:right w:val="none" w:sz="0" w:space="0" w:color="auto"/>
          </w:divBdr>
        </w:div>
        <w:div w:id="274018001">
          <w:marLeft w:val="0"/>
          <w:marRight w:val="0"/>
          <w:marTop w:val="0"/>
          <w:marBottom w:val="0"/>
          <w:divBdr>
            <w:top w:val="none" w:sz="0" w:space="0" w:color="auto"/>
            <w:left w:val="none" w:sz="0" w:space="0" w:color="auto"/>
            <w:bottom w:val="none" w:sz="0" w:space="0" w:color="auto"/>
            <w:right w:val="none" w:sz="0" w:space="0" w:color="auto"/>
          </w:divBdr>
          <w:divsChild>
            <w:div w:id="444156393">
              <w:marLeft w:val="0"/>
              <w:marRight w:val="0"/>
              <w:marTop w:val="0"/>
              <w:marBottom w:val="0"/>
              <w:divBdr>
                <w:top w:val="none" w:sz="0" w:space="0" w:color="auto"/>
                <w:left w:val="none" w:sz="0" w:space="0" w:color="auto"/>
                <w:bottom w:val="none" w:sz="0" w:space="0" w:color="auto"/>
                <w:right w:val="none" w:sz="0" w:space="0" w:color="auto"/>
              </w:divBdr>
              <w:divsChild>
                <w:div w:id="377168625">
                  <w:marLeft w:val="0"/>
                  <w:marRight w:val="0"/>
                  <w:marTop w:val="0"/>
                  <w:marBottom w:val="0"/>
                  <w:divBdr>
                    <w:top w:val="none" w:sz="0" w:space="0" w:color="auto"/>
                    <w:left w:val="none" w:sz="0" w:space="0" w:color="auto"/>
                    <w:bottom w:val="none" w:sz="0" w:space="0" w:color="auto"/>
                    <w:right w:val="none" w:sz="0" w:space="0" w:color="auto"/>
                  </w:divBdr>
                  <w:divsChild>
                    <w:div w:id="9842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ckanalys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2022-07-13T13:21:00Z</dcterms:created>
  <dcterms:modified xsi:type="dcterms:W3CDTF">2022-07-13T13:21:00Z</dcterms:modified>
</cp:coreProperties>
</file>