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86FD" w14:textId="1813A5C6" w:rsidR="00687038" w:rsidRDefault="008D65EE">
      <w:pPr>
        <w:jc w:val="center"/>
      </w:pPr>
      <w:r>
        <w:rPr>
          <w:b/>
          <w:sz w:val="32"/>
        </w:rPr>
        <w:br/>
        <w:t>INDIVIDUAL CASE SAFETY REPORT (ICSR)</w:t>
      </w:r>
    </w:p>
    <w:p w14:paraId="17E5CCD5" w14:textId="77777777" w:rsidR="00687038" w:rsidRDefault="008D65EE">
      <w:pPr>
        <w:spacing w:before="160" w:after="60"/>
      </w:pPr>
      <w:r>
        <w:rPr>
          <w:b/>
          <w:sz w:val="26"/>
        </w:rPr>
        <w:t>1. Introduction</w:t>
      </w:r>
    </w:p>
    <w:p w14:paraId="65EFB9BB" w14:textId="77777777" w:rsidR="00687038" w:rsidRDefault="008D65EE">
      <w:pPr>
        <w:spacing w:after="100" w:line="259" w:lineRule="auto"/>
      </w:pPr>
      <w:r>
        <w:t>An Individual Case Safety Report (ICSR) is a structured document used in pharmacovigilance to report suspected adverse drug reactions (ADRs) associated with the use of medicines. It contains essential information about the patient, suspected medicine, adverse reaction, treatment outcome, and reporter. ICSR reporting helps identify potential drug safety problems and promotes the safe and rational use of medicines.</w:t>
      </w:r>
    </w:p>
    <w:p w14:paraId="38B5172C" w14:textId="77777777" w:rsidR="00687038" w:rsidRDefault="008D65EE">
      <w:pPr>
        <w:spacing w:before="160" w:after="60"/>
      </w:pPr>
      <w:r>
        <w:rPr>
          <w:b/>
          <w:sz w:val="26"/>
        </w:rPr>
        <w:t>2. Case Description</w:t>
      </w:r>
    </w:p>
    <w:p w14:paraId="1646BD77" w14:textId="77777777" w:rsidR="00687038" w:rsidRDefault="008D65EE">
      <w:pPr>
        <w:spacing w:after="100" w:line="259" w:lineRule="auto"/>
      </w:pPr>
      <w:r>
        <w:t>A 35-year-old male patient was prescribed amoxicillin 500 mg orally for a bacterial infection. On the third day of treatment, he developed a skin rash and itching. The suspected medicine was reviewed by a healthcare professional, and the reaction was documented for pharmacovigilance assessment. The symptoms subsequently resolved following appropriate medical management.</w:t>
      </w:r>
    </w:p>
    <w:p w14:paraId="32DF46D6" w14:textId="77777777" w:rsidR="00687038" w:rsidRDefault="008D65EE">
      <w:pPr>
        <w:spacing w:after="100" w:line="259" w:lineRule="auto"/>
      </w:pPr>
      <w:r>
        <w:t>Note: This is a hypothetical case prepared for educational purposes.</w:t>
      </w:r>
    </w:p>
    <w:p w14:paraId="3AAD59F5" w14:textId="77777777" w:rsidR="00687038" w:rsidRDefault="008D65EE">
      <w:pPr>
        <w:spacing w:before="160" w:after="60"/>
      </w:pPr>
      <w:r>
        <w:rPr>
          <w:b/>
          <w:sz w:val="26"/>
        </w:rPr>
        <w:t>3. Patient Information</w:t>
      </w:r>
    </w:p>
    <w:p w14:paraId="2760DA28" w14:textId="77777777" w:rsidR="00687038" w:rsidRDefault="008D65EE">
      <w:pPr>
        <w:spacing w:after="100" w:line="259" w:lineRule="auto"/>
      </w:pPr>
      <w:r>
        <w:t>• Patient Initials: R.K.</w:t>
      </w:r>
    </w:p>
    <w:p w14:paraId="499DF551" w14:textId="77777777" w:rsidR="00687038" w:rsidRDefault="008D65EE">
      <w:pPr>
        <w:spacing w:after="100" w:line="259" w:lineRule="auto"/>
      </w:pPr>
      <w:r>
        <w:t>• Age: 35 years</w:t>
      </w:r>
    </w:p>
    <w:p w14:paraId="4BD8F486" w14:textId="77777777" w:rsidR="00687038" w:rsidRDefault="008D65EE">
      <w:pPr>
        <w:spacing w:after="100" w:line="259" w:lineRule="auto"/>
      </w:pPr>
      <w:r>
        <w:t>• Gender: Male</w:t>
      </w:r>
    </w:p>
    <w:p w14:paraId="5D299930" w14:textId="77777777" w:rsidR="00687038" w:rsidRDefault="008D65EE">
      <w:pPr>
        <w:spacing w:after="100" w:line="259" w:lineRule="auto"/>
      </w:pPr>
      <w:r>
        <w:t>• Medical History: Not available</w:t>
      </w:r>
    </w:p>
    <w:p w14:paraId="1FE69E7B" w14:textId="77777777" w:rsidR="00687038" w:rsidRDefault="008D65EE">
      <w:pPr>
        <w:spacing w:after="100" w:line="259" w:lineRule="auto"/>
      </w:pPr>
      <w:r>
        <w:t>• Indication for Treatment: Bacterial infection</w:t>
      </w:r>
    </w:p>
    <w:p w14:paraId="6D5A9891" w14:textId="77777777" w:rsidR="00687038" w:rsidRDefault="008D65EE">
      <w:pPr>
        <w:spacing w:before="160" w:after="60"/>
      </w:pPr>
      <w:r>
        <w:rPr>
          <w:b/>
          <w:sz w:val="26"/>
        </w:rPr>
        <w:t>4. Suspected Medicine Information</w:t>
      </w:r>
    </w:p>
    <w:p w14:paraId="479BE23E" w14:textId="77777777" w:rsidR="00687038" w:rsidRDefault="008D65EE">
      <w:pPr>
        <w:spacing w:after="100" w:line="259" w:lineRule="auto"/>
      </w:pPr>
      <w:r>
        <w:t>• Medicine Name: Amoxicillin</w:t>
      </w:r>
    </w:p>
    <w:p w14:paraId="42435032" w14:textId="77777777" w:rsidR="00687038" w:rsidRDefault="008D65EE">
      <w:pPr>
        <w:spacing w:after="100" w:line="259" w:lineRule="auto"/>
      </w:pPr>
      <w:r>
        <w:t>• Dose: 500 mg</w:t>
      </w:r>
    </w:p>
    <w:p w14:paraId="2B6868AE" w14:textId="77777777" w:rsidR="00687038" w:rsidRDefault="008D65EE">
      <w:pPr>
        <w:spacing w:after="100" w:line="259" w:lineRule="auto"/>
      </w:pPr>
      <w:r>
        <w:t>• Route: Oral</w:t>
      </w:r>
    </w:p>
    <w:p w14:paraId="5F849EDF" w14:textId="77777777" w:rsidR="00687038" w:rsidRDefault="008D65EE">
      <w:pPr>
        <w:spacing w:after="100" w:line="259" w:lineRule="auto"/>
      </w:pPr>
      <w:r>
        <w:t>• Frequency: Not specified</w:t>
      </w:r>
    </w:p>
    <w:p w14:paraId="7DCFABAC" w14:textId="77777777" w:rsidR="00687038" w:rsidRDefault="008D65EE">
      <w:pPr>
        <w:spacing w:after="100" w:line="259" w:lineRule="auto"/>
      </w:pPr>
      <w:r>
        <w:t>• Start Date: Day 1 of treatment</w:t>
      </w:r>
    </w:p>
    <w:p w14:paraId="22F9DD72" w14:textId="77777777" w:rsidR="00687038" w:rsidRDefault="008D65EE">
      <w:pPr>
        <w:spacing w:after="100" w:line="259" w:lineRule="auto"/>
      </w:pPr>
      <w:r>
        <w:t>• Stop Date: Not available</w:t>
      </w:r>
    </w:p>
    <w:p w14:paraId="66B130E8" w14:textId="77777777" w:rsidR="00687038" w:rsidRDefault="008D65EE">
      <w:pPr>
        <w:spacing w:after="100" w:line="259" w:lineRule="auto"/>
      </w:pPr>
      <w:r>
        <w:t>• Indication: Bacterial infection</w:t>
      </w:r>
    </w:p>
    <w:p w14:paraId="36AE33F6" w14:textId="77777777" w:rsidR="00687038" w:rsidRDefault="008D65EE">
      <w:pPr>
        <w:spacing w:before="160" w:after="60"/>
      </w:pPr>
      <w:r>
        <w:rPr>
          <w:b/>
          <w:sz w:val="26"/>
        </w:rPr>
        <w:t>5. Adverse Drug Reaction (ADR) Identification</w:t>
      </w:r>
    </w:p>
    <w:p w14:paraId="540C2BA0" w14:textId="77777777" w:rsidR="00687038" w:rsidRDefault="008D65EE">
      <w:pPr>
        <w:spacing w:after="100" w:line="259" w:lineRule="auto"/>
      </w:pPr>
      <w:r>
        <w:t>• Reaction: Skin rash and itching</w:t>
      </w:r>
    </w:p>
    <w:p w14:paraId="71F268FF" w14:textId="77777777" w:rsidR="00687038" w:rsidRDefault="008D65EE">
      <w:pPr>
        <w:spacing w:after="100" w:line="259" w:lineRule="auto"/>
      </w:pPr>
      <w:r>
        <w:t>• Onset: Third day of treatment</w:t>
      </w:r>
    </w:p>
    <w:p w14:paraId="7BB2F099" w14:textId="77777777" w:rsidR="00687038" w:rsidRDefault="008D65EE">
      <w:pPr>
        <w:spacing w:after="100" w:line="259" w:lineRule="auto"/>
      </w:pPr>
      <w:r>
        <w:t>• Outcome: Recovered after appropriate medical management</w:t>
      </w:r>
    </w:p>
    <w:p w14:paraId="1AC5286D" w14:textId="77777777" w:rsidR="00687038" w:rsidRDefault="008D65EE">
      <w:pPr>
        <w:spacing w:after="100" w:line="259" w:lineRule="auto"/>
      </w:pPr>
      <w:r>
        <w:t>• Seriousness: Non-serious in this hypothetical case</w:t>
      </w:r>
    </w:p>
    <w:p w14:paraId="18ACA768" w14:textId="77777777" w:rsidR="00687038" w:rsidRDefault="008D65EE">
      <w:pPr>
        <w:spacing w:after="100" w:line="259" w:lineRule="auto"/>
      </w:pPr>
      <w:r>
        <w:t>Explanation: An adverse drug reaction is a harmful or unintended response associated with the use of a medicine. Skin rash and itching may indicate a hypersensitivity reaction to amoxicillin. However, other possible causes must also be considered before establishing a relationship with the medicine.</w:t>
      </w:r>
    </w:p>
    <w:p w14:paraId="329EF109" w14:textId="77777777" w:rsidR="00687038" w:rsidRDefault="008D65EE">
      <w:pPr>
        <w:spacing w:before="160" w:after="60"/>
      </w:pPr>
      <w:r>
        <w:rPr>
          <w:b/>
          <w:sz w:val="26"/>
        </w:rPr>
        <w:lastRenderedPageBreak/>
        <w:t>6. ICSR Reporting</w:t>
      </w:r>
    </w:p>
    <w:p w14:paraId="1691BF36" w14:textId="77777777" w:rsidR="00687038" w:rsidRDefault="008D65EE">
      <w:pPr>
        <w:spacing w:after="100" w:line="259" w:lineRule="auto"/>
      </w:pPr>
      <w:r>
        <w:t>The case is documented by recording the patient's information, suspected medicine, description of the reaction, time of onset, outcome, and reporter details. These elements help healthcare professionals evaluate the suspected reaction and maintain appropriate pharmacovigilance records.</w:t>
      </w:r>
    </w:p>
    <w:p w14:paraId="70614565" w14:textId="77777777" w:rsidR="00687038" w:rsidRDefault="008D65EE">
      <w:pPr>
        <w:spacing w:after="100" w:line="259" w:lineRule="auto"/>
      </w:pPr>
      <w:r>
        <w:t>Reporter Information:</w:t>
      </w:r>
    </w:p>
    <w:p w14:paraId="5EB0182B" w14:textId="77777777" w:rsidR="00687038" w:rsidRDefault="008D65EE">
      <w:pPr>
        <w:spacing w:after="100" w:line="259" w:lineRule="auto"/>
      </w:pPr>
      <w:r>
        <w:t>• Name: Nitish Yadav</w:t>
      </w:r>
    </w:p>
    <w:p w14:paraId="249C19CA" w14:textId="77777777" w:rsidR="00687038" w:rsidRDefault="008D65EE">
      <w:pPr>
        <w:spacing w:after="100" w:line="259" w:lineRule="auto"/>
      </w:pPr>
      <w:r>
        <w:t>• Designation: B.Pharm Student</w:t>
      </w:r>
    </w:p>
    <w:p w14:paraId="13963101" w14:textId="77777777" w:rsidR="00687038" w:rsidRDefault="008D65EE">
      <w:pPr>
        <w:spacing w:after="100" w:line="259" w:lineRule="auto"/>
      </w:pPr>
      <w:r>
        <w:t>• Institution: Suyash Institute of Pharmacy, Gorakhpur</w:t>
      </w:r>
    </w:p>
    <w:p w14:paraId="03E2A5F2" w14:textId="77777777" w:rsidR="00687038" w:rsidRDefault="008D65EE">
      <w:pPr>
        <w:spacing w:after="100" w:line="259" w:lineRule="auto"/>
      </w:pPr>
      <w:r>
        <w:t>• Report Type: Educational case report</w:t>
      </w:r>
    </w:p>
    <w:p w14:paraId="2904D955" w14:textId="77777777" w:rsidR="00687038" w:rsidRDefault="008D65EE">
      <w:pPr>
        <w:spacing w:before="160" w:after="60"/>
      </w:pPr>
      <w:r>
        <w:rPr>
          <w:b/>
          <w:sz w:val="26"/>
        </w:rPr>
        <w:t>7. Causality Assessment</w:t>
      </w:r>
    </w:p>
    <w:p w14:paraId="3A124FFF" w14:textId="77777777" w:rsidR="00687038" w:rsidRDefault="008D65EE">
      <w:r>
        <w:rPr>
          <w:b/>
        </w:rPr>
        <w:t>Assessment: Possible</w:t>
      </w:r>
    </w:p>
    <w:p w14:paraId="6B93B35D" w14:textId="77777777" w:rsidR="00687038" w:rsidRDefault="008D65EE">
      <w:pPr>
        <w:spacing w:after="100" w:line="259" w:lineRule="auto"/>
      </w:pPr>
      <w:r>
        <w:t>Causality assessment evaluates whether an adverse reaction may be related to a suspected medicine. In this case, the skin rash and itching appeared after the initiation of amoxicillin. Therefore, a relationship between the medicine and the reaction is plausible. However, insufficient clinical information is available to exclude other possible causes. Hence, the relationship is classified as possible for this educational example.</w:t>
      </w:r>
    </w:p>
    <w:p w14:paraId="1C54ECCD" w14:textId="77777777" w:rsidR="00687038" w:rsidRDefault="008D65EE">
      <w:pPr>
        <w:spacing w:before="160" w:after="60"/>
      </w:pPr>
      <w:r>
        <w:rPr>
          <w:b/>
          <w:sz w:val="26"/>
        </w:rPr>
        <w:t>8. ADR Classification</w:t>
      </w:r>
    </w:p>
    <w:p w14:paraId="010D2B40" w14:textId="77777777" w:rsidR="00687038" w:rsidRDefault="008D65EE">
      <w:r>
        <w:rPr>
          <w:b/>
        </w:rPr>
        <w:t>Suspected Type: Type B (Bizarre)</w:t>
      </w:r>
    </w:p>
    <w:p w14:paraId="7140E142" w14:textId="77777777" w:rsidR="00687038" w:rsidRDefault="008D65EE">
      <w:pPr>
        <w:spacing w:after="100" w:line="259" w:lineRule="auto"/>
      </w:pPr>
      <w:r>
        <w:t>Type B adverse drug reactions are generally unpredictable and are not directly related to the usual pharmacological action of a medicine. They may include hypersensitivity reactions. The skin rash and itching in this case may represent a hypersensitivity reaction. However, the exact mechanism cannot be confirmed from the available information.</w:t>
      </w:r>
    </w:p>
    <w:p w14:paraId="610E84DB" w14:textId="77777777" w:rsidR="00687038" w:rsidRDefault="008D65EE">
      <w:pPr>
        <w:spacing w:before="160" w:after="60"/>
      </w:pPr>
      <w:r>
        <w:rPr>
          <w:b/>
          <w:sz w:val="26"/>
        </w:rPr>
        <w:t>9. Severity and Seriousness Assessment</w:t>
      </w:r>
    </w:p>
    <w:p w14:paraId="050BAFE3" w14:textId="77777777" w:rsidR="00687038" w:rsidRDefault="008D65EE">
      <w:r>
        <w:rPr>
          <w:b/>
        </w:rPr>
        <w:t>Severity: Mild (assumed for this hypothetical example).</w:t>
      </w:r>
    </w:p>
    <w:p w14:paraId="2C674147" w14:textId="77777777" w:rsidR="00687038" w:rsidRDefault="008D65EE">
      <w:pPr>
        <w:spacing w:after="100" w:line="259" w:lineRule="auto"/>
      </w:pPr>
      <w:r>
        <w:t>Severity refers to the intensity of the reaction. Mild reactions generally cause limited discomfort, whereas moderate or severe reactions may require more extensive medical intervention.</w:t>
      </w:r>
    </w:p>
    <w:p w14:paraId="104001E9" w14:textId="77777777" w:rsidR="00687038" w:rsidRDefault="008D65EE">
      <w:r>
        <w:rPr>
          <w:b/>
        </w:rPr>
        <w:t>Seriousness: Non-serious (assumed for this hypothetical example).</w:t>
      </w:r>
    </w:p>
    <w:p w14:paraId="0295F534" w14:textId="77777777" w:rsidR="00687038" w:rsidRDefault="008D65EE">
      <w:pPr>
        <w:spacing w:after="100" w:line="259" w:lineRule="auto"/>
      </w:pPr>
      <w:r>
        <w:t>A reaction is considered serious when it results in death, is life-threatening, requires or prolongs hospitalisation, causes significant disability, results in a congenital anomaly, or meets another medically important seriousness criterion. Severity and seriousness are different concepts and should be assessed separately.</w:t>
      </w:r>
    </w:p>
    <w:p w14:paraId="4DEC9026" w14:textId="77777777" w:rsidR="00687038" w:rsidRDefault="008D65EE">
      <w:pPr>
        <w:spacing w:before="160" w:after="60"/>
      </w:pPr>
      <w:r>
        <w:rPr>
          <w:b/>
          <w:sz w:val="26"/>
        </w:rPr>
        <w:t>10. Management and Preventive Measures</w:t>
      </w:r>
    </w:p>
    <w:p w14:paraId="0762EDDB" w14:textId="77777777" w:rsidR="00687038" w:rsidRDefault="008D65EE">
      <w:pPr>
        <w:spacing w:after="100" w:line="259" w:lineRule="auto"/>
      </w:pPr>
      <w:r>
        <w:t>• The patient should undergo appropriate medical evaluation.</w:t>
      </w:r>
    </w:p>
    <w:p w14:paraId="794BB230" w14:textId="77777777" w:rsidR="00687038" w:rsidRDefault="008D65EE">
      <w:pPr>
        <w:spacing w:after="100" w:line="259" w:lineRule="auto"/>
      </w:pPr>
      <w:r>
        <w:t>• The suspected medicine should be reviewed by a qualified healthcare professional.</w:t>
      </w:r>
    </w:p>
    <w:p w14:paraId="67FFCE27" w14:textId="77777777" w:rsidR="00687038" w:rsidRDefault="008D65EE">
      <w:pPr>
        <w:spacing w:after="100" w:line="259" w:lineRule="auto"/>
      </w:pPr>
      <w:r>
        <w:t>• Any decision to discontinue or change treatment should be made by the treating healthcare professional.</w:t>
      </w:r>
    </w:p>
    <w:p w14:paraId="5B948B9A" w14:textId="77777777" w:rsidR="00687038" w:rsidRDefault="008D65EE">
      <w:pPr>
        <w:spacing w:after="100" w:line="259" w:lineRule="auto"/>
      </w:pPr>
      <w:r>
        <w:lastRenderedPageBreak/>
        <w:t>• The suspected reaction should be documented in the patient's medical record.</w:t>
      </w:r>
    </w:p>
    <w:p w14:paraId="6CBC8030" w14:textId="77777777" w:rsidR="00687038" w:rsidRDefault="008D65EE">
      <w:pPr>
        <w:spacing w:after="100" w:line="259" w:lineRule="auto"/>
      </w:pPr>
      <w:r>
        <w:t>• The ADR should be reported through the appropriate pharmacovigilance reporting system when indicated.</w:t>
      </w:r>
    </w:p>
    <w:p w14:paraId="168EAB33" w14:textId="77777777" w:rsidR="00687038" w:rsidRDefault="008D65EE">
      <w:pPr>
        <w:spacing w:after="100" w:line="259" w:lineRule="auto"/>
      </w:pPr>
      <w:r>
        <w:t>• The patient should seek urgent medical attention if breathing difficulty, facial swelling, or a severe blistering rash develops.</w:t>
      </w:r>
    </w:p>
    <w:p w14:paraId="7A4A7D72" w14:textId="77777777" w:rsidR="00687038" w:rsidRDefault="008D65EE">
      <w:pPr>
        <w:spacing w:before="160" w:after="60"/>
      </w:pPr>
      <w:r>
        <w:rPr>
          <w:b/>
          <w:sz w:val="26"/>
        </w:rPr>
        <w:t>11. Importance of ICSR Reporting</w:t>
      </w:r>
    </w:p>
    <w:p w14:paraId="16BB67EA" w14:textId="77777777" w:rsidR="00687038" w:rsidRDefault="008D65EE">
      <w:pPr>
        <w:spacing w:after="100" w:line="259" w:lineRule="auto"/>
      </w:pPr>
      <w:r>
        <w:t>ICSR reporting is important because it helps detect potential safety signals, identify previously unrecognised adverse reactions, improve medicine safety information, and support regulatory decisions. It also helps healthcare professionals make informed decisions regarding the safe use of medicines.</w:t>
      </w:r>
    </w:p>
    <w:p w14:paraId="2E8E4C42" w14:textId="77777777" w:rsidR="00687038" w:rsidRDefault="008D65EE">
      <w:pPr>
        <w:spacing w:before="160" w:after="60"/>
      </w:pPr>
      <w:r>
        <w:rPr>
          <w:b/>
          <w:sz w:val="26"/>
        </w:rPr>
        <w:t>12. Conclusion</w:t>
      </w:r>
    </w:p>
    <w:p w14:paraId="2410480F" w14:textId="77777777" w:rsidR="00687038" w:rsidRDefault="008D65EE">
      <w:pPr>
        <w:spacing w:after="100" w:line="259" w:lineRule="auto"/>
      </w:pPr>
      <w:r>
        <w:t>An Individual Case Safety Report is an essential tool in pharmacovigilance for documenting and evaluating suspected adverse drug reactions. In this hypothetical case, a patient developed skin rash and itching after taking amoxicillin. The temporal relationship suggests a possible association, but the available information is insufficient to establish definite causality. Accurate documentation and appropriate reporting contribute to improved patient safety and the rational use of medicines.</w:t>
      </w:r>
    </w:p>
    <w:sectPr w:rsidR="0068703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207155">
    <w:abstractNumId w:val="8"/>
  </w:num>
  <w:num w:numId="2" w16cid:durableId="1880431937">
    <w:abstractNumId w:val="6"/>
  </w:num>
  <w:num w:numId="3" w16cid:durableId="1011444428">
    <w:abstractNumId w:val="5"/>
  </w:num>
  <w:num w:numId="4" w16cid:durableId="1197231202">
    <w:abstractNumId w:val="4"/>
  </w:num>
  <w:num w:numId="5" w16cid:durableId="1761682808">
    <w:abstractNumId w:val="7"/>
  </w:num>
  <w:num w:numId="6" w16cid:durableId="1264537994">
    <w:abstractNumId w:val="3"/>
  </w:num>
  <w:num w:numId="7" w16cid:durableId="1102800082">
    <w:abstractNumId w:val="2"/>
  </w:num>
  <w:num w:numId="8" w16cid:durableId="1671525616">
    <w:abstractNumId w:val="1"/>
  </w:num>
  <w:num w:numId="9" w16cid:durableId="20441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19F"/>
    <w:rsid w:val="0029639D"/>
    <w:rsid w:val="00326F90"/>
    <w:rsid w:val="00687038"/>
    <w:rsid w:val="008D65EE"/>
    <w:rsid w:val="00AA1D8D"/>
    <w:rsid w:val="00B47730"/>
    <w:rsid w:val="00CB0664"/>
    <w:rsid w:val="00CC67A3"/>
    <w:rsid w:val="00DC4284"/>
    <w:rsid w:val="00EE3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4B90D"/>
  <w14:defaultImageDpi w14:val="300"/>
  <w15:docId w15:val="{176FE2C2-C7B8-E142-8B09-003637FD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Chandramani Chaurasiya</cp:lastModifiedBy>
  <cp:revision>2</cp:revision>
  <dcterms:created xsi:type="dcterms:W3CDTF">2026-10-09T07:54:00Z</dcterms:created>
  <dcterms:modified xsi:type="dcterms:W3CDTF">2026-10-09T07:54:00Z</dcterms:modified>
  <cp:category/>
</cp:coreProperties>
</file>