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C63CB" w14:textId="77777777" w:rsidR="009808E2" w:rsidRPr="009808E2" w:rsidRDefault="009808E2" w:rsidP="009808E2">
      <w:pPr>
        <w:shd w:val="clear" w:color="auto" w:fill="FFFFFF"/>
        <w:spacing w:after="0" w:line="240" w:lineRule="auto"/>
        <w:outlineLvl w:val="1"/>
        <w:rPr>
          <w:rFonts w:ascii="GuardianSans" w:eastAsia="Times New Roman" w:hAnsi="GuardianSans" w:cs="Times New Roman"/>
          <w:b/>
          <w:bCs/>
          <w:caps/>
          <w:color w:val="D8B56D"/>
          <w:sz w:val="96"/>
          <w:szCs w:val="96"/>
          <w:lang w:eastAsia="en-IN"/>
        </w:rPr>
      </w:pPr>
      <w:r w:rsidRPr="009808E2">
        <w:rPr>
          <w:rFonts w:ascii="GuardianSans" w:eastAsia="Times New Roman" w:hAnsi="GuardianSans" w:cs="Times New Roman"/>
          <w:b/>
          <w:bCs/>
          <w:caps/>
          <w:color w:val="D8B56D"/>
          <w:sz w:val="96"/>
          <w:szCs w:val="96"/>
          <w:lang w:eastAsia="en-IN"/>
        </w:rPr>
        <w:t>Sattva</w:t>
      </w:r>
      <w:r w:rsidRPr="009808E2">
        <w:rPr>
          <w:rFonts w:ascii="GuardianSans" w:eastAsia="Times New Roman" w:hAnsi="GuardianSans" w:cs="Times New Roman"/>
          <w:b/>
          <w:bCs/>
          <w:caps/>
          <w:color w:val="D8B56D"/>
          <w:sz w:val="96"/>
          <w:szCs w:val="96"/>
          <w:lang w:eastAsia="en-IN"/>
        </w:rPr>
        <w:br/>
        <w:t>Simplicity</w:t>
      </w:r>
    </w:p>
    <w:p w14:paraId="125D309A" w14:textId="77777777" w:rsidR="009808E2" w:rsidRPr="009808E2" w:rsidRDefault="009808E2" w:rsidP="009808E2">
      <w:pPr>
        <w:shd w:val="clear" w:color="auto" w:fill="FFFFFF"/>
        <w:spacing w:before="100" w:beforeAutospacing="1" w:after="100" w:afterAutospacing="1" w:line="336" w:lineRule="atLeast"/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</w:pPr>
      <w:r w:rsidRPr="009808E2"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  <w:t xml:space="preserve">Sattva </w:t>
      </w:r>
      <w:proofErr w:type="spellStart"/>
      <w:r w:rsidRPr="009808E2"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  <w:t>SimpliCity</w:t>
      </w:r>
      <w:proofErr w:type="spellEnd"/>
      <w:r w:rsidRPr="009808E2">
        <w:rPr>
          <w:rFonts w:ascii="GuardianSans" w:eastAsia="Times New Roman" w:hAnsi="GuardianSans" w:cs="Times New Roman"/>
          <w:color w:val="5D5D5D"/>
          <w:sz w:val="30"/>
          <w:szCs w:val="30"/>
          <w:lang w:eastAsia="en-IN"/>
        </w:rPr>
        <w:t xml:space="preserve"> unveils 265 artfully crafted units, where comfort dances with elegance in every corner. Nestled in a prime locale, it weaves a seamless tapestry of accessibility to work and life’s essentials. Here, convenience blooms effortlessly at your doorstep.</w:t>
      </w:r>
    </w:p>
    <w:p w14:paraId="257B9A64" w14:textId="77777777" w:rsidR="009808E2" w:rsidRDefault="009808E2" w:rsidP="009808E2">
      <w:pPr>
        <w:pStyle w:val="Heading2"/>
        <w:shd w:val="clear" w:color="auto" w:fill="000000"/>
        <w:spacing w:before="0" w:beforeAutospacing="0" w:after="0" w:afterAutospacing="0" w:line="327" w:lineRule="atLeast"/>
        <w:rPr>
          <w:rFonts w:ascii="Fira Sans" w:hAnsi="Fira Sans"/>
          <w:caps/>
          <w:color w:val="D8B56D"/>
        </w:rPr>
      </w:pPr>
      <w:r>
        <w:rPr>
          <w:rFonts w:ascii="Fira Sans" w:hAnsi="Fira Sans"/>
          <w:caps/>
          <w:color w:val="D8B56D"/>
        </w:rPr>
        <w:t>Nature’s Embrace Meets Urban Pulse</w:t>
      </w:r>
    </w:p>
    <w:p w14:paraId="11DEA1CF" w14:textId="77777777" w:rsidR="009808E2" w:rsidRDefault="009808E2" w:rsidP="009808E2">
      <w:pPr>
        <w:pStyle w:val="NormalWeb"/>
        <w:shd w:val="clear" w:color="auto" w:fill="000000"/>
        <w:spacing w:line="327" w:lineRule="atLeast"/>
        <w:rPr>
          <w:rFonts w:ascii="GuardianSans" w:hAnsi="GuardianSans"/>
          <w:color w:val="B7B7B7"/>
          <w:sz w:val="33"/>
          <w:szCs w:val="33"/>
        </w:rPr>
      </w:pPr>
      <w:r>
        <w:rPr>
          <w:rFonts w:ascii="GuardianSans" w:hAnsi="GuardianSans"/>
          <w:color w:val="B7B7B7"/>
          <w:sz w:val="33"/>
          <w:szCs w:val="33"/>
        </w:rPr>
        <w:t xml:space="preserve">Adjacent to Sattva Global City, Bengaluru’s verdant tech haven, </w:t>
      </w:r>
      <w:proofErr w:type="spellStart"/>
      <w:r>
        <w:rPr>
          <w:rFonts w:ascii="GuardianSans" w:hAnsi="GuardianSans"/>
          <w:color w:val="B7B7B7"/>
          <w:sz w:val="33"/>
          <w:szCs w:val="33"/>
        </w:rPr>
        <w:t>tranquility</w:t>
      </w:r>
      <w:proofErr w:type="spellEnd"/>
      <w:r>
        <w:rPr>
          <w:rFonts w:ascii="GuardianSans" w:hAnsi="GuardianSans"/>
          <w:color w:val="B7B7B7"/>
          <w:sz w:val="33"/>
          <w:szCs w:val="33"/>
        </w:rPr>
        <w:t xml:space="preserve"> and ambition intertwine. This sanctuary keeps you tethered to the heartbeat of business, yet cradled in nature’s soothing whispers. A rare harmony unfolds where green serenity meets vibrant connectivity.</w:t>
      </w:r>
    </w:p>
    <w:p w14:paraId="24F22D82" w14:textId="77777777" w:rsidR="009808E2" w:rsidRDefault="009808E2" w:rsidP="009808E2">
      <w:pPr>
        <w:pStyle w:val="Heading2"/>
        <w:shd w:val="clear" w:color="auto" w:fill="000000"/>
        <w:spacing w:before="0" w:beforeAutospacing="0" w:after="0" w:afterAutospacing="0"/>
        <w:rPr>
          <w:rFonts w:ascii="GuardianSans" w:hAnsi="GuardianSans"/>
          <w:b w:val="0"/>
          <w:bCs w:val="0"/>
          <w:color w:val="D8B56D"/>
          <w:sz w:val="33"/>
          <w:szCs w:val="33"/>
        </w:rPr>
      </w:pPr>
      <w:r>
        <w:rPr>
          <w:rFonts w:ascii="GuardianSans" w:hAnsi="GuardianSans"/>
          <w:b w:val="0"/>
          <w:bCs w:val="0"/>
          <w:color w:val="D8B56D"/>
          <w:sz w:val="33"/>
          <w:szCs w:val="33"/>
        </w:rPr>
        <w:t>RERA No: PRM/KA/RERA/1251/310/PR/030325/007540</w:t>
      </w:r>
    </w:p>
    <w:p w14:paraId="28869E56" w14:textId="3AF049E1" w:rsidR="007A7CCA" w:rsidRDefault="009808E2">
      <w:r>
        <w:t>\</w:t>
      </w:r>
    </w:p>
    <w:p w14:paraId="2F4F08B8" w14:textId="060E355E" w:rsidR="009808E2" w:rsidRDefault="009808E2"/>
    <w:p w14:paraId="6A22054D" w14:textId="363256FB" w:rsidR="009808E2" w:rsidRDefault="009808E2"/>
    <w:p w14:paraId="677A3BB7" w14:textId="77777777" w:rsidR="009808E2" w:rsidRDefault="009808E2" w:rsidP="009808E2">
      <w:pPr>
        <w:pStyle w:val="Heading2"/>
        <w:shd w:val="clear" w:color="auto" w:fill="FFFFFF"/>
        <w:spacing w:before="0" w:beforeAutospacing="0" w:after="0" w:afterAutospacing="0"/>
        <w:rPr>
          <w:rFonts w:ascii="GuardianSans" w:hAnsi="GuardianSans"/>
          <w:caps/>
          <w:color w:val="D8B56D"/>
          <w:sz w:val="84"/>
          <w:szCs w:val="84"/>
        </w:rPr>
      </w:pPr>
      <w:r>
        <w:rPr>
          <w:rFonts w:ascii="GuardianSans" w:hAnsi="GuardianSans"/>
          <w:caps/>
          <w:color w:val="D8B56D"/>
          <w:sz w:val="84"/>
          <w:szCs w:val="84"/>
        </w:rPr>
        <w:t>Redefining the Art of Living</w:t>
      </w:r>
    </w:p>
    <w:p w14:paraId="5751C0B5" w14:textId="77777777" w:rsidR="009808E2" w:rsidRDefault="009808E2" w:rsidP="009808E2">
      <w:pPr>
        <w:pStyle w:val="NormalWeb"/>
        <w:shd w:val="clear" w:color="auto" w:fill="FFFFFF"/>
        <w:spacing w:line="336" w:lineRule="atLeast"/>
        <w:rPr>
          <w:rFonts w:ascii="GuardianSans" w:hAnsi="GuardianSans"/>
          <w:color w:val="5D5D5D"/>
          <w:sz w:val="30"/>
          <w:szCs w:val="30"/>
        </w:rPr>
      </w:pPr>
      <w:r>
        <w:rPr>
          <w:rFonts w:ascii="GuardianSans" w:hAnsi="GuardianSans"/>
          <w:color w:val="5D5D5D"/>
          <w:sz w:val="30"/>
          <w:szCs w:val="30"/>
        </w:rPr>
        <w:t xml:space="preserve">Step into a world where every need is met with grace and proximity elevates daily joy. From essential amenities to the rhythm of city life, everything you cherish is within reach. Sattva </w:t>
      </w:r>
      <w:proofErr w:type="spellStart"/>
      <w:r>
        <w:rPr>
          <w:rFonts w:ascii="GuardianSans" w:hAnsi="GuardianSans"/>
          <w:color w:val="5D5D5D"/>
          <w:sz w:val="30"/>
          <w:szCs w:val="30"/>
        </w:rPr>
        <w:t>SimpliCity</w:t>
      </w:r>
      <w:proofErr w:type="spellEnd"/>
      <w:r>
        <w:rPr>
          <w:rFonts w:ascii="GuardianSans" w:hAnsi="GuardianSans"/>
          <w:color w:val="5D5D5D"/>
          <w:sz w:val="30"/>
          <w:szCs w:val="30"/>
        </w:rPr>
        <w:t xml:space="preserve"> reimagines convenience as a beautiful, effortless muse.</w:t>
      </w:r>
    </w:p>
    <w:p w14:paraId="4863A539" w14:textId="77777777" w:rsidR="009808E2" w:rsidRDefault="009808E2" w:rsidP="009808E2">
      <w:pPr>
        <w:pStyle w:val="Heading2"/>
        <w:shd w:val="clear" w:color="auto" w:fill="2D3791"/>
        <w:spacing w:before="0" w:beforeAutospacing="0" w:after="0" w:afterAutospacing="0"/>
        <w:rPr>
          <w:rFonts w:ascii="Playfair Display" w:hAnsi="Playfair Display"/>
          <w:b w:val="0"/>
          <w:bCs w:val="0"/>
          <w:color w:val="D8B56D"/>
          <w:sz w:val="60"/>
          <w:szCs w:val="60"/>
        </w:rPr>
      </w:pPr>
      <w:r>
        <w:rPr>
          <w:rFonts w:ascii="Playfair Display" w:hAnsi="Playfair Display"/>
          <w:b w:val="0"/>
          <w:bCs w:val="0"/>
          <w:color w:val="D8B56D"/>
          <w:sz w:val="60"/>
          <w:szCs w:val="60"/>
        </w:rPr>
        <w:t>Project Highlights</w:t>
      </w:r>
    </w:p>
    <w:p w14:paraId="31C6662E" w14:textId="77777777" w:rsidR="009808E2" w:rsidRPr="009808E2" w:rsidRDefault="009808E2" w:rsidP="009808E2">
      <w:pPr>
        <w:pStyle w:val="Heading2"/>
        <w:shd w:val="clear" w:color="auto" w:fill="2D3791"/>
        <w:spacing w:before="0" w:beforeAutospacing="0" w:after="0" w:afterAutospacing="0"/>
        <w:rPr>
          <w:rFonts w:ascii="GuardianSans" w:hAnsi="GuardianSans"/>
          <w:caps/>
          <w:color w:val="000000" w:themeColor="text1"/>
          <w:sz w:val="90"/>
          <w:szCs w:val="90"/>
        </w:rPr>
      </w:pPr>
      <w:r>
        <w:rPr>
          <w:rFonts w:ascii="GuardianSans" w:hAnsi="GuardianSans"/>
          <w:caps/>
          <w:color w:val="D8B56D"/>
          <w:sz w:val="90"/>
          <w:szCs w:val="90"/>
        </w:rPr>
        <w:lastRenderedPageBreak/>
        <w:t xml:space="preserve">Transforming the Essence of Urban </w:t>
      </w:r>
      <w:r w:rsidRPr="009808E2">
        <w:rPr>
          <w:rFonts w:ascii="GuardianSans" w:hAnsi="GuardianSans"/>
          <w:caps/>
          <w:color w:val="000000" w:themeColor="text1"/>
          <w:sz w:val="90"/>
          <w:szCs w:val="90"/>
        </w:rPr>
        <w:t>Living</w:t>
      </w:r>
    </w:p>
    <w:p w14:paraId="234AD0D3" w14:textId="77777777" w:rsidR="009808E2" w:rsidRPr="009808E2" w:rsidRDefault="009808E2" w:rsidP="009808E2">
      <w:pPr>
        <w:pStyle w:val="elementor-icon-list-item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r w:rsidRPr="009808E2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Chic 1BHK apartments, blending compact elegance</w:t>
      </w:r>
    </w:p>
    <w:p w14:paraId="0839E787" w14:textId="77777777" w:rsidR="009808E2" w:rsidRPr="009808E2" w:rsidRDefault="009808E2" w:rsidP="009808E2">
      <w:pPr>
        <w:pStyle w:val="elementor-icon-list-item"/>
        <w:numPr>
          <w:ilvl w:val="0"/>
          <w:numId w:val="1"/>
        </w:numPr>
        <w:ind w:left="0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r w:rsidRPr="009808E2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4-acre gated community with abundant open space</w:t>
      </w:r>
    </w:p>
    <w:p w14:paraId="3073D45A" w14:textId="77777777" w:rsidR="009808E2" w:rsidRPr="009808E2" w:rsidRDefault="009808E2" w:rsidP="009808E2">
      <w:pPr>
        <w:pStyle w:val="elementor-icon-list-item"/>
        <w:numPr>
          <w:ilvl w:val="0"/>
          <w:numId w:val="1"/>
        </w:numPr>
        <w:ind w:left="0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r w:rsidRPr="009808E2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 xml:space="preserve">Serene water body and lush landscaping for </w:t>
      </w:r>
      <w:proofErr w:type="spellStart"/>
      <w:r w:rsidRPr="009808E2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tranquility</w:t>
      </w:r>
      <w:proofErr w:type="spellEnd"/>
    </w:p>
    <w:p w14:paraId="66A63DE9" w14:textId="77777777" w:rsidR="009808E2" w:rsidRPr="009808E2" w:rsidRDefault="009808E2" w:rsidP="009808E2">
      <w:pPr>
        <w:pStyle w:val="elementor-icon-list-item"/>
        <w:numPr>
          <w:ilvl w:val="0"/>
          <w:numId w:val="1"/>
        </w:numPr>
        <w:ind w:left="0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proofErr w:type="spellStart"/>
      <w:r w:rsidRPr="009808E2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Pattanagere</w:t>
      </w:r>
      <w:proofErr w:type="spellEnd"/>
      <w:r w:rsidRPr="009808E2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 xml:space="preserve"> Metro Station just 3 mins away</w:t>
      </w:r>
    </w:p>
    <w:p w14:paraId="12A1FCD9" w14:textId="77777777" w:rsidR="009808E2" w:rsidRPr="009808E2" w:rsidRDefault="009808E2" w:rsidP="009808E2">
      <w:pPr>
        <w:pStyle w:val="elementor-icon-list-item"/>
        <w:numPr>
          <w:ilvl w:val="0"/>
          <w:numId w:val="1"/>
        </w:numPr>
        <w:ind w:left="0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r w:rsidRPr="009808E2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Top 7 engineering colleges within a 5 km radius</w:t>
      </w:r>
    </w:p>
    <w:p w14:paraId="6B6DC534" w14:textId="77777777" w:rsidR="009808E2" w:rsidRPr="009808E2" w:rsidRDefault="009808E2" w:rsidP="009808E2">
      <w:pPr>
        <w:pStyle w:val="elementor-icon-list-item"/>
        <w:numPr>
          <w:ilvl w:val="0"/>
          <w:numId w:val="1"/>
        </w:numPr>
        <w:ind w:left="0"/>
        <w:textAlignment w:val="baseline"/>
        <w:rPr>
          <w:rFonts w:ascii="Proxima Nova" w:hAnsi="Proxima Nova"/>
          <w:color w:val="000000" w:themeColor="text1"/>
          <w:sz w:val="27"/>
          <w:szCs w:val="27"/>
        </w:rPr>
      </w:pPr>
      <w:r w:rsidRPr="009808E2">
        <w:rPr>
          <w:rStyle w:val="elementor-icon-list-text"/>
          <w:rFonts w:ascii="GuardianSans" w:hAnsi="GuardianSans"/>
          <w:color w:val="000000" w:themeColor="text1"/>
          <w:sz w:val="30"/>
          <w:szCs w:val="30"/>
        </w:rPr>
        <w:t>Clubhouse offering premium lifestyle amenities</w:t>
      </w:r>
    </w:p>
    <w:p w14:paraId="7638AD62" w14:textId="77777777" w:rsidR="009808E2" w:rsidRDefault="009808E2" w:rsidP="009808E2">
      <w:pPr>
        <w:pStyle w:val="Heading2"/>
        <w:shd w:val="clear" w:color="auto" w:fill="FFFFFF"/>
        <w:spacing w:before="0" w:beforeAutospacing="0" w:after="0" w:afterAutospacing="0"/>
        <w:rPr>
          <w:rFonts w:ascii="Playfair Display" w:hAnsi="Playfair Display"/>
          <w:b w:val="0"/>
          <w:bCs w:val="0"/>
          <w:color w:val="2D3791"/>
          <w:sz w:val="60"/>
          <w:szCs w:val="60"/>
        </w:rPr>
      </w:pPr>
      <w:r>
        <w:rPr>
          <w:rFonts w:ascii="Playfair Display" w:hAnsi="Playfair Display"/>
          <w:b w:val="0"/>
          <w:bCs w:val="0"/>
          <w:color w:val="2D3791"/>
          <w:sz w:val="60"/>
          <w:szCs w:val="60"/>
        </w:rPr>
        <w:t>Location Highlights</w:t>
      </w:r>
    </w:p>
    <w:p w14:paraId="77607CD0" w14:textId="77777777" w:rsidR="009808E2" w:rsidRDefault="009808E2" w:rsidP="009808E2">
      <w:pPr>
        <w:pStyle w:val="Heading2"/>
        <w:shd w:val="clear" w:color="auto" w:fill="FFFFFF"/>
        <w:spacing w:before="0" w:beforeAutospacing="0" w:after="0" w:afterAutospacing="0"/>
        <w:rPr>
          <w:rFonts w:ascii="GuardianSans" w:hAnsi="GuardianSans"/>
          <w:caps/>
          <w:color w:val="2D3791"/>
          <w:sz w:val="84"/>
          <w:szCs w:val="84"/>
        </w:rPr>
      </w:pPr>
      <w:r>
        <w:rPr>
          <w:rFonts w:ascii="GuardianSans" w:hAnsi="GuardianSans"/>
          <w:caps/>
          <w:color w:val="2D3791"/>
          <w:sz w:val="84"/>
          <w:szCs w:val="84"/>
        </w:rPr>
        <w:t>Transforming the Essence of Urban Living</w:t>
      </w:r>
    </w:p>
    <w:tbl>
      <w:tblPr>
        <w:tblW w:w="78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6303"/>
        <w:gridCol w:w="1319"/>
      </w:tblGrid>
      <w:tr w:rsidR="009808E2" w14:paraId="0AFAFFF0" w14:textId="77777777" w:rsidTr="009808E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BA12D46" w14:textId="77777777" w:rsidR="009808E2" w:rsidRDefault="009808E2" w:rsidP="009808E2">
            <w:pPr>
              <w:rPr>
                <w:rFonts w:ascii="GuardianSans" w:hAnsi="GuardianSans"/>
                <w:caps/>
                <w:color w:val="2D3791"/>
                <w:sz w:val="84"/>
                <w:szCs w:val="84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152BE0F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GuardianSans" w:hAnsi="GuardianSans"/>
                <w:color w:val="000000"/>
                <w:sz w:val="30"/>
                <w:szCs w:val="30"/>
              </w:rPr>
              <w:t>Pattanagere</w:t>
            </w:r>
            <w:proofErr w:type="spellEnd"/>
            <w:r>
              <w:rPr>
                <w:rFonts w:ascii="GuardianSans" w:hAnsi="GuardianSans"/>
                <w:color w:val="000000"/>
                <w:sz w:val="30"/>
                <w:szCs w:val="30"/>
              </w:rPr>
              <w:t xml:space="preserve"> Metro Station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E5200F1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3 mins</w:t>
            </w:r>
          </w:p>
        </w:tc>
      </w:tr>
      <w:tr w:rsidR="009808E2" w14:paraId="7B7D5A6D" w14:textId="77777777" w:rsidTr="009808E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A3945B8" w14:textId="77777777" w:rsidR="009808E2" w:rsidRDefault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2349223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RV Engineering College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5D730F1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3 mins</w:t>
            </w:r>
          </w:p>
        </w:tc>
      </w:tr>
      <w:tr w:rsidR="009808E2" w14:paraId="5863D264" w14:textId="77777777" w:rsidTr="009808E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302EF60" w14:textId="77777777" w:rsidR="009808E2" w:rsidRDefault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2A5FF60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RR Nagar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5430D58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6 mins</w:t>
            </w:r>
          </w:p>
        </w:tc>
      </w:tr>
      <w:tr w:rsidR="009808E2" w14:paraId="79369F71" w14:textId="77777777" w:rsidTr="009808E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88B35FA" w14:textId="77777777" w:rsidR="009808E2" w:rsidRDefault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A25DA8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BGS Hospital is 1.5 km away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2EFEBD1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7 mins</w:t>
            </w:r>
          </w:p>
        </w:tc>
      </w:tr>
      <w:tr w:rsidR="009808E2" w14:paraId="392B60A7" w14:textId="77777777" w:rsidTr="009808E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F8FAF42" w14:textId="77777777" w:rsidR="009808E2" w:rsidRDefault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6433E89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Sattva Divinity Global Mall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CC2D327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9 mins</w:t>
            </w:r>
          </w:p>
        </w:tc>
      </w:tr>
      <w:tr w:rsidR="009808E2" w14:paraId="32DD96F8" w14:textId="77777777" w:rsidTr="009808E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027A635" w14:textId="77777777" w:rsidR="009808E2" w:rsidRDefault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C201A4B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Bengaluru University (4 km)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69D7D53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10 mins</w:t>
            </w:r>
          </w:p>
        </w:tc>
      </w:tr>
      <w:tr w:rsidR="009808E2" w14:paraId="5A1FDDEE" w14:textId="77777777" w:rsidTr="009808E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9F57C4F" w14:textId="77777777" w:rsidR="009808E2" w:rsidRDefault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9AEE932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Baba Ambedkar School of Economics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634FECE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14 mins</w:t>
            </w:r>
          </w:p>
        </w:tc>
      </w:tr>
      <w:tr w:rsidR="009808E2" w14:paraId="277B30B0" w14:textId="77777777" w:rsidTr="009808E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391DD0A" w14:textId="77777777" w:rsidR="009808E2" w:rsidRDefault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DD9797C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Raja Rajeswari Medical College and Hospital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B16745E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15 mins</w:t>
            </w:r>
          </w:p>
        </w:tc>
      </w:tr>
      <w:tr w:rsidR="009808E2" w14:paraId="083541FC" w14:textId="77777777" w:rsidTr="009808E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C079133" w14:textId="77777777" w:rsidR="009808E2" w:rsidRDefault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5A3363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Banashankari 6th stage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47218FB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17 mins</w:t>
            </w:r>
          </w:p>
        </w:tc>
      </w:tr>
      <w:tr w:rsidR="009808E2" w14:paraId="3A65B4B2" w14:textId="77777777" w:rsidTr="009808E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E310A21" w14:textId="77777777" w:rsidR="009808E2" w:rsidRDefault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A5E8CEC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Don Bosco Institute Of Technology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8511A2A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20 mins</w:t>
            </w:r>
          </w:p>
        </w:tc>
      </w:tr>
      <w:tr w:rsidR="009808E2" w14:paraId="2EDC07DD" w14:textId="77777777" w:rsidTr="009808E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AD1D8AB" w14:textId="77777777" w:rsidR="009808E2" w:rsidRDefault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F720751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GuardianSans" w:hAnsi="GuardianSans"/>
                <w:color w:val="000000"/>
                <w:sz w:val="30"/>
                <w:szCs w:val="30"/>
              </w:rPr>
              <w:t>Nagarbhavi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48F772F" w14:textId="77777777" w:rsidR="009808E2" w:rsidRDefault="009808E2" w:rsidP="009808E2">
            <w:pPr>
              <w:rPr>
                <w:rFonts w:ascii="GuardianSans" w:hAnsi="GuardianSans"/>
                <w:color w:val="000000"/>
                <w:sz w:val="30"/>
                <w:szCs w:val="30"/>
              </w:rPr>
            </w:pPr>
            <w:r>
              <w:rPr>
                <w:rFonts w:ascii="GuardianSans" w:hAnsi="GuardianSans"/>
                <w:color w:val="000000"/>
                <w:sz w:val="30"/>
                <w:szCs w:val="30"/>
              </w:rPr>
              <w:t>20 mins</w:t>
            </w:r>
          </w:p>
        </w:tc>
      </w:tr>
    </w:tbl>
    <w:p w14:paraId="443FA643" w14:textId="77777777" w:rsidR="009808E2" w:rsidRDefault="009808E2">
      <w:bookmarkStart w:id="0" w:name="_GoBack"/>
      <w:bookmarkEnd w:id="0"/>
    </w:p>
    <w:sectPr w:rsidR="0098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uardianSans">
    <w:altName w:val="Cambria"/>
    <w:panose1 w:val="00000000000000000000"/>
    <w:charset w:val="00"/>
    <w:family w:val="roman"/>
    <w:notTrueType/>
    <w:pitch w:val="default"/>
  </w:font>
  <w:font w:name="Fira Sans">
    <w:altName w:val="Cambria"/>
    <w:panose1 w:val="00000000000000000000"/>
    <w:charset w:val="00"/>
    <w:family w:val="roman"/>
    <w:notTrueType/>
    <w:pitch w:val="default"/>
  </w:font>
  <w:font w:name="Playfair Display">
    <w:altName w:val="Cambria"/>
    <w:panose1 w:val="00000000000000000000"/>
    <w:charset w:val="00"/>
    <w:family w:val="roman"/>
    <w:notTrueType/>
    <w:pitch w:val="default"/>
  </w:font>
  <w:font w:name="Proxima Nova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7007B"/>
    <w:multiLevelType w:val="multilevel"/>
    <w:tmpl w:val="4890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A7"/>
    <w:rsid w:val="007457A7"/>
    <w:rsid w:val="007A7CCA"/>
    <w:rsid w:val="0098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8AD9D"/>
  <w15:chartTrackingRefBased/>
  <w15:docId w15:val="{76F59DCB-21FB-404E-9629-DD4024FC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8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lementor-icon-list-item">
    <w:name w:val="elementor-icon-list-item"/>
    <w:basedOn w:val="Normal"/>
    <w:rsid w:val="0098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lementor-icon-list-text">
    <w:name w:val="elementor-icon-list-text"/>
    <w:basedOn w:val="DefaultParagraphFont"/>
    <w:rsid w:val="0098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0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3972">
          <w:marLeft w:val="0"/>
          <w:marRight w:val="10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7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2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4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1490</Characters>
  <Application>Microsoft Office Word</Application>
  <DocSecurity>0</DocSecurity>
  <Lines>43</Lines>
  <Paragraphs>25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2025-09-28T09:47:00Z</dcterms:created>
  <dcterms:modified xsi:type="dcterms:W3CDTF">2025-09-28T09:49:00Z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9312476a-bb14-4f77-a90e-bfe5f6136973</vt:lpwstr>
  </property>
</Properties>
</file>