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60"/>
      </w:pPr>
      <w:r>
        <w:rPr>
          <w:rFonts w:ascii="Calibri" w:hAnsi="Calibri"/>
          <w:b/>
          <w:color w:val="0E7C86"/>
          <w:sz w:val="38"/>
        </w:rPr>
        <w:t>PAGES PRÉLIMINAIRES</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PAGE DE GARDE OFFICIELLE</w:t>
      </w:r>
    </w:p>
    <w:p>
      <w:pPr>
        <w:spacing w:before="80" w:after="120"/>
        <w:ind w:left="288" w:right="288"/>
      </w:pPr>
      <w:r>
        <w:rPr>
          <w:rFonts w:ascii="Consolas" w:hAnsi="Consolas"/>
          <w:color w:val="27272A"/>
          <w:sz w:val="19"/>
        </w:rPr>
        <w:t xml:space="preserve">                       RÉPUBLIQUE DU SÉNÉGAL</w:t>
        <w:br/>
        <w:t xml:space="preserve">                    Un Peuple – Un But – Une Foi</w:t>
        <w:br/>
        <w:t xml:space="preserve">    MINISTÈRE DE L’ENSEIGNEMENT SUPÉRIEUR, DE LA RECHERCHE ET DE L’INNOVATION</w:t>
        <w:br/>
        <w:t xml:space="preserve">    </w:t>
        <w:br/>
        <w:t xml:space="preserve">       INSTITUT SUPÉRIEUR D’ENSEIGNEMENT PROFESSIONNEL (ISEP)</w:t>
        <w:br/>
        <w:t xml:space="preserve">                    AMADOU TRAWARE DE DIAMNIADIO</w:t>
        <w:br/>
        <w:br/>
        <w:t xml:space="preserve">                       DÉPARTEMENT : TIC</w:t>
        <w:br/>
        <w:t xml:space="preserve">         MÉTIER : ANALYSTE PROGRAMMEUR DÉVELOPPEUR (APD)</w:t>
      </w:r>
    </w:p>
    <w:p>
      <w:pPr>
        <w:keepNext/>
        <w:spacing w:before="200" w:after="80"/>
      </w:pPr>
      <w:r>
        <w:rPr>
          <w:rFonts w:ascii="Calibri" w:hAnsi="Calibri"/>
          <w:b/>
          <w:color w:val="111827"/>
          <w:sz w:val="25"/>
        </w:rPr>
        <w:t>RAPPORT DE PROJET DE FIN DE FORMATION</w:t>
      </w:r>
    </w:p>
    <w:p>
      <w:r/>
      <w:r>
        <w:rPr>
          <w:b/>
        </w:rPr>
        <w:t>En vue de l’obtention du Diplôme de l’ISEP (DISEP)</w:t>
      </w:r>
      <w:r/>
    </w:p>
    <w:p>
      <w:pPr>
        <w:spacing w:before="120" w:after="120"/>
      </w:pPr>
      <w:r>
        <w:rPr>
          <w:color w:val="CBD5E1"/>
          <w:sz w:val="16"/>
        </w:rPr>
        <w:t>_______________________________________________________________________________</w:t>
      </w:r>
    </w:p>
    <w:p>
      <w:pPr>
        <w:keepNext/>
        <w:spacing w:before="200" w:after="80"/>
      </w:pPr>
      <w:r>
        <w:rPr>
          <w:rFonts w:ascii="Calibri" w:hAnsi="Calibri"/>
          <w:b/>
          <w:color w:val="111827"/>
          <w:sz w:val="25"/>
        </w:rPr>
        <w:t>THÈME :</w:t>
      </w:r>
    </w:p>
    <w:p>
      <w:pPr>
        <w:keepNext/>
        <w:spacing w:before="280" w:after="160"/>
      </w:pPr>
      <w:r>
        <w:rPr>
          <w:rFonts w:ascii="Calibri" w:hAnsi="Calibri"/>
          <w:b/>
          <w:color w:val="0E7C86"/>
          <w:sz w:val="38"/>
        </w:rPr>
        <w:t>« CONCEPTION ET RÉALISATION D’UNE PLATEFORME WEB ET MOBILE DE DÉMATÉRIALISATION DU TIERS PAYANT ET DE LA PRISE EN CHARGE MÉDICALE AU SÉNÉGAL : SANTÉSN »</w:t>
      </w:r>
    </w:p>
    <w:p>
      <w:pPr>
        <w:spacing w:before="120" w:after="120"/>
      </w:pPr>
      <w:r>
        <w:rPr>
          <w:color w:val="CBD5E1"/>
          <w:sz w:val="16"/>
        </w:rPr>
        <w:t>_______________________________________________________________________________</w:t>
      </w:r>
    </w:p>
    <w:p>
      <w:r/>
      <w:r>
        <w:rPr>
          <w:b/>
        </w:rPr>
        <w:t>Présenté par :</w:t>
      </w:r>
      <w:r/>
    </w:p>
    <w:p>
      <w:pPr>
        <w:pStyle w:val="ListBullet"/>
        <w:spacing w:before="20" w:after="40"/>
      </w:pPr>
      <w:r/>
      <w:r>
        <w:rPr>
          <w:b/>
        </w:rPr>
        <w:t>M. [Prénom NOM de l'Étudiant 1]</w:t>
      </w:r>
      <w:r>
        <w:t xml:space="preserve"> — Étudiant en APD</w:t>
      </w:r>
    </w:p>
    <w:p>
      <w:pPr>
        <w:pStyle w:val="ListBullet"/>
        <w:spacing w:before="20" w:after="40"/>
      </w:pPr>
      <w:r>
        <w:t>*(Optionnel / Binôme) : M./Mme [Prénom NOM de l'Étudiant 2]*</w:t>
      </w:r>
    </w:p>
    <w:p>
      <w:r/>
      <w:r>
        <w:rPr>
          <w:b/>
        </w:rPr>
        <w:t>Sous l’encadrement de :</w:t>
      </w:r>
      <w:r/>
    </w:p>
    <w:p>
      <w:pPr>
        <w:pStyle w:val="ListBullet"/>
        <w:spacing w:before="20" w:after="40"/>
      </w:pPr>
      <w:r/>
      <w:r>
        <w:rPr>
          <w:b/>
        </w:rPr>
        <w:t>M./Mme [Prénom NOM de l'Encadreur]</w:t>
      </w:r>
      <w:r>
        <w:t>, Enseignant-Chercheur / Encadreur Pédagogique (ISEP Diamniadio)</w:t>
      </w:r>
    </w:p>
    <w:p>
      <w:pPr>
        <w:pStyle w:val="ListBullet"/>
        <w:spacing w:before="20" w:after="40"/>
      </w:pPr>
      <w:r/>
      <w:r>
        <w:rPr>
          <w:b/>
        </w:rPr>
        <w:t>M./Mme [Prénom NOM de l'Encadreur Professionnel]</w:t>
      </w:r>
      <w:r>
        <w:t>, Encadreur Professionnel *(le cas échéant)*</w:t>
      </w:r>
    </w:p>
    <w:p>
      <w:pPr>
        <w:spacing w:before="80" w:after="120"/>
        <w:ind w:left="288" w:right="288"/>
      </w:pPr>
      <w:r>
        <w:rPr>
          <w:rFonts w:ascii="Consolas" w:hAnsi="Consolas"/>
          <w:color w:val="27272A"/>
          <w:sz w:val="19"/>
        </w:rPr>
        <w:t xml:space="preserve">                   Année académique : 2025 – 2026</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DÉDICACES</w:t>
      </w:r>
    </w:p>
    <w:p>
      <w:pPr>
        <w:spacing w:before="80" w:after="80"/>
        <w:ind w:left="576"/>
      </w:pPr>
      <w:r>
        <w:rPr>
          <w:i/>
          <w:color w:val="4B5563"/>
        </w:rPr>
        <w:t>À mes chers parents, pour leurs sacrifices inestimables, leurs prières constantes et leur soutien indéfectible tout au long de mon parcours académique et personnel.</w:t>
      </w:r>
    </w:p>
    <w:p>
      <w:pPr>
        <w:spacing w:before="80" w:after="80"/>
        <w:ind w:left="576"/>
      </w:pPr>
      <w:r>
        <w:rPr>
          <w:i/>
          <w:color w:val="4B5563"/>
        </w:rPr>
      </w:r>
    </w:p>
    <w:p>
      <w:pPr>
        <w:spacing w:before="80" w:after="80"/>
        <w:ind w:left="576"/>
      </w:pPr>
      <w:r>
        <w:rPr>
          <w:i/>
          <w:color w:val="4B5563"/>
        </w:rPr>
        <w:t>À mes frères, sœurs et proches, pour leur présence rassurante, leurs encouragements dans les moments de doute et leur foi inébranlable en ma réussite.</w:t>
      </w:r>
    </w:p>
    <w:p>
      <w:pPr>
        <w:spacing w:before="80" w:after="80"/>
        <w:ind w:left="576"/>
      </w:pPr>
      <w:r>
        <w:rPr>
          <w:i/>
          <w:color w:val="4B5563"/>
        </w:rPr>
      </w:r>
    </w:p>
    <w:p>
      <w:pPr>
        <w:spacing w:before="80" w:after="80"/>
        <w:ind w:left="576"/>
      </w:pPr>
      <w:r>
        <w:rPr>
          <w:i/>
          <w:color w:val="4B5563"/>
        </w:rPr>
        <w:t>À mes camarades de promotion du département TIC / Métier APD de l’ISEP Diamniadio, avec qui j'ai partagé des nuits blanches de code, des résolutions de bugs mémorables et une solidarité fraternelle exemplaire.</w:t>
      </w:r>
    </w:p>
    <w:p>
      <w:pPr>
        <w:spacing w:before="80" w:after="80"/>
        <w:ind w:left="576"/>
      </w:pPr>
      <w:r>
        <w:rPr>
          <w:i/>
          <w:color w:val="4B5563"/>
        </w:rPr>
      </w:r>
    </w:p>
    <w:p>
      <w:pPr>
        <w:spacing w:before="80" w:after="80"/>
        <w:ind w:left="576"/>
      </w:pPr>
      <w:r>
        <w:rPr>
          <w:i/>
          <w:color w:val="4B5563"/>
        </w:rPr>
        <w:t>À tous ceux qui luttent quotidiennement pour la modernisation du système sanitaire sénégalais et l'accès universel à des soins de qualité.</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REMERCIEMENTS</w:t>
      </w:r>
    </w:p>
    <w:p>
      <w:r>
        <w:t>Au terme de ce projet de fin de formation, nous tenons à exprimer notre profonde gratitude à toutes les personnes qui ont contribué, de près ou de loin, à l'aboutissement de ce travail :</w:t>
      </w:r>
    </w:p>
    <w:p>
      <w:pPr>
        <w:pStyle w:val="ListBullet"/>
        <w:spacing w:before="20" w:after="40"/>
      </w:pPr>
      <w:r/>
      <w:r>
        <w:rPr>
          <w:b/>
        </w:rPr>
        <w:t>À la Direction Générale et au corps professoral de l’ISEP Amadou Traware de Diamniadio</w:t>
      </w:r>
      <w:r>
        <w:t>, pour la qualité de la formation professionnelle dispensée, l'environnement d'apprentissage stimulant et les valeurs de rigueur et d'éthique inculquées tout au long de notre cursus.</w:t>
      </w:r>
    </w:p>
    <w:p>
      <w:pPr>
        <w:pStyle w:val="ListBullet"/>
        <w:spacing w:before="20" w:after="40"/>
      </w:pPr>
      <w:r/>
      <w:r>
        <w:rPr>
          <w:b/>
        </w:rPr>
        <w:t>À notre encadreur pédagogique</w:t>
      </w:r>
      <w:r>
        <w:t>, pour sa disponibilité, ses conseils méthodologiques avisés, son sens critique constructif et ses orientations techniques précieuses qui ont grandement enrichi ce mémoire.</w:t>
      </w:r>
    </w:p>
    <w:p>
      <w:pPr>
        <w:pStyle w:val="ListBullet"/>
        <w:spacing w:before="20" w:after="40"/>
      </w:pPr>
      <w:r/>
      <w:r>
        <w:rPr>
          <w:b/>
        </w:rPr>
        <w:t>À l'équipe pédagogique du département TIC (Filière Analyste Programmeur Développeur)</w:t>
      </w:r>
      <w:r>
        <w:t>, pour nous avoir transmis les fondamentaux solides du génie logiciel, de l'architecture logicielle, de l'administration de bases de données et de la sécurité des systèmes d'information.</w:t>
      </w:r>
    </w:p>
    <w:p>
      <w:pPr>
        <w:pStyle w:val="ListBullet"/>
        <w:spacing w:before="20" w:after="40"/>
      </w:pPr>
      <w:r/>
      <w:r>
        <w:rPr>
          <w:b/>
        </w:rPr>
        <w:t>Aux professionnels de santé et gestionnaires d'Institutions de Prévoyance Maladie (IPM)</w:t>
      </w:r>
      <w:r>
        <w:t xml:space="preserve"> de Dakar et des régions que nous avons consultés lors de notre étude de l'existant, pour le temps accordé, la sincérité de leurs retours d'expérience et la précision des données terrain partagées.</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RÉSUMÉ</w:t>
      </w:r>
    </w:p>
    <w:p>
      <w:r>
        <w:t>Au Sénégal, la gestion de la couverture maladie et du tiers payant par les Institutions de Prévoyance Maladie (IPM), les mutuelles de santé et les assurances d’entreprise repose encore largement sur des procédures manuelles et des supports papier (bons de prise en charge volants, lettres de garantie manuscrites, carnets physiques d'assurés et facturations différées). Cette organisation engendre des lenteurs administratives considérables, un risque aigu de fraude (cartes d’assurés prêtées à des tiers, falsification d'ordonnances, surfacturations), des délais d'attente pénibles pour les patients et un recouvrement comptable laborieux pour les prestataires de santé (pharmacies, cliniques, hôpitaux).</w:t>
      </w:r>
    </w:p>
    <w:p>
      <w:r>
        <w:t xml:space="preserve">Le projet </w:t>
      </w:r>
      <w:r>
        <w:rPr>
          <w:b/>
        </w:rPr>
        <w:t>SantéSN</w:t>
      </w:r>
      <w:r>
        <w:t xml:space="preserve"> apporte une réponse technologique innovante, robuste et inclusive à cette problématique nationale. Conçue comme une application web progressive (PWA) développée avec le cadriciel Django et adossée à une base de données cloud PostgreSQL (Neon), SantéSN dématérialise l'ensemble de la chaîne de valeur du tiers payant médical. La plateforme interconnecte en temps réel cinq profils d'utilisateurs distincts : l'Assuré (muni d'une carte digitale sécurisée par QR code dynamique ISO 7810 et d'une jauge de suivi du plafond annuel familial), le Médecin prescripteur (qui génère des ordonnances électroniques certifiées par sceau cryptographique HMAC anti-altération), le Pharmacien (qui valide les ordonnances via un scanner optique par caméra avec verrouillage atomique de délivrance), le Gestionnaire d'IPM (qui paramètre les conventions tarifaires, instruit les demandes de remboursement hors réseau et télétransmet les bordereaux comptables de liquidation) et l'Administrateur système (qui pilote la conformité réglementaire CDP et la supervision technique).</w:t>
      </w:r>
    </w:p>
    <w:p>
      <w:r>
        <w:t>Intégrant un mode hors-ligne résilient (Service Worker), une cartographie interactive Leaflet géolocalisant les structures sanitaires partenaires du Sénégal et une passerelle de notification WhatsApp, SantéSN garantit une gouvernance médicale transparente, zéro-papier, conforme à la loi sénégalaise n° 2008-12 sur la protection des données à caractère personnel.</w:t>
      </w:r>
    </w:p>
    <w:p>
      <w:r/>
      <w:r>
        <w:rPr>
          <w:b/>
        </w:rPr>
        <w:t>Mots-clés :</w:t>
      </w:r>
      <w:r>
        <w:t xml:space="preserve"> SantéSN, Tiers Payant, IPM Sénégal, Django, PWA, Sécurité HMAC, Dématérialisation médicale, Conformité CDP.</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ABSTRACT</w:t>
      </w:r>
    </w:p>
    <w:p>
      <w:r>
        <w:t>In Senegal, health insurance and third-party payment management across Health Insurance Institutions (IPMs), community-based mutual health schemes, and corporate insurers still relies heavily on manual workflows and physical paperwork (paper vouchers, handwritten guarantee letters, physical beneficiary booklets, and deferred billing). This legacy model leads to severe administrative bottlenecks, widespread fraud risks (insurance card lending, altered medical prescriptions, phantom billings), lengthy queues for patients, and cumbersome accounting reconciliations for healthcare providers (pharmacies, hospitals, clinics).</w:t>
      </w:r>
    </w:p>
    <w:p>
      <w:r>
        <w:t xml:space="preserve">The </w:t>
      </w:r>
      <w:r>
        <w:rPr>
          <w:b/>
        </w:rPr>
        <w:t>SantéSN</w:t>
      </w:r>
      <w:r>
        <w:t xml:space="preserve"> project provides a robust, state-of-the-art, and inclusive technological solution tailored to this sub-Saharan healthcare ecosystem. Built as a Progressive Web Application (PWA) powered by the Django framework and a high-availability cloud PostgreSQL database (Neon), SantéSN digitizes the complete healthcare coverage and third-party settlement lifecycle. The system seamlessly interconnects five distinct stakeholder roles: Insured Patients (featuring an ISO 7810-compliant digital card with dynamic anti-fraud QR codes and real-time family spending cap monitoring), Prescribing Physicians (generating digitally signed prescriptions backed by HMAC cryptographic integrity seals), Pharmacists (dispensing medications through a browser-based optical camera scanner with atomic database locking to prevent duplicate claims), IPM Managers (configuring fee schedules, settling out-of-network claims, and generating accounting liquidation summaries), and IT Administrators (overseeing audit logs and regulatory data privacy compliance).</w:t>
      </w:r>
    </w:p>
    <w:p>
      <w:r>
        <w:t>With offline caching resilience, integrated interactive GIS mapping of Senegalese medical centers, and automated WhatsApp notifications, SantéSN establishes an auditable, paperless, and real-time healthcare ecosystem fully aligned with Senegalese Data Protection Law No. 2008-12.</w:t>
      </w:r>
    </w:p>
    <w:p>
      <w:r/>
      <w:r>
        <w:rPr>
          <w:b/>
        </w:rPr>
        <w:t>Keywords:</w:t>
      </w:r>
      <w:r>
        <w:t xml:space="preserve"> SantéSN, Third-Party Payment, Health Insurance, Senegal IPM, Django, PWA, HMAC Security, Medical Digitization.</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SOMMAIRE SYNTHÉTIQUE</w:t>
      </w:r>
    </w:p>
    <w:p>
      <w:pPr>
        <w:pStyle w:val="ListBullet"/>
        <w:spacing w:before="20" w:after="40"/>
      </w:pPr>
      <w:r/>
      <w:r>
        <w:rPr>
          <w:b/>
        </w:rPr>
        <w:t>Pages préliminaires</w:t>
      </w:r>
      <w:r/>
    </w:p>
    <w:p>
      <w:pPr>
        <w:pStyle w:val="ListBullet"/>
        <w:spacing w:before="20" w:after="40"/>
      </w:pPr>
      <w:r/>
      <w:r>
        <w:rPr>
          <w:b/>
        </w:rPr>
        <w:t>Introduction générale</w:t>
      </w:r>
      <w:r/>
    </w:p>
    <w:p>
      <w:pPr>
        <w:pStyle w:val="ListBullet"/>
        <w:spacing w:before="20" w:after="40"/>
      </w:pPr>
      <w:r/>
      <w:r>
        <w:rPr>
          <w:b/>
        </w:rPr>
        <w:t>Chapitre 1 : Présentation du cadre du projet</w:t>
      </w:r>
      <w:r/>
    </w:p>
    <w:p>
      <w:pPr>
        <w:pStyle w:val="ListBullet"/>
        <w:spacing w:before="20" w:after="40"/>
      </w:pPr>
      <w:r/>
      <w:r>
        <w:rPr>
          <w:b/>
        </w:rPr>
        <w:t>Chapitre 2 : Analyse de l’existant et cadrage</w:t>
      </w:r>
      <w:r/>
    </w:p>
    <w:p>
      <w:pPr>
        <w:pStyle w:val="ListBullet"/>
        <w:spacing w:before="20" w:after="40"/>
      </w:pPr>
      <w:r/>
      <w:r>
        <w:rPr>
          <w:b/>
        </w:rPr>
        <w:t>Chapitre 3 : Conception de la solution</w:t>
      </w:r>
      <w:r/>
    </w:p>
    <w:p>
      <w:pPr>
        <w:pStyle w:val="ListBullet"/>
        <w:spacing w:before="20" w:after="40"/>
      </w:pPr>
      <w:r/>
      <w:r>
        <w:rPr>
          <w:b/>
        </w:rPr>
        <w:t>Chapitre 4 : Réalisation, tests et résultats</w:t>
      </w:r>
      <w:r/>
    </w:p>
    <w:p>
      <w:pPr>
        <w:pStyle w:val="ListBullet"/>
        <w:spacing w:before="20" w:after="40"/>
      </w:pPr>
      <w:r/>
      <w:r>
        <w:rPr>
          <w:b/>
        </w:rPr>
        <w:t>Conclusion générale et perspectives</w:t>
      </w:r>
      <w:r/>
    </w:p>
    <w:p>
      <w:pPr>
        <w:pStyle w:val="ListBullet"/>
        <w:spacing w:before="20" w:after="40"/>
      </w:pPr>
      <w:r/>
      <w:r>
        <w:rPr>
          <w:b/>
        </w:rPr>
        <w:t>Pages de fin (Bibliographie, Annexes, Table détaillée)</w:t>
      </w:r>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LISTE DES SIGLES ET ABRÉVIATIONS</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60" w:type="dxa"/>
              <w:right w:w="160" w:type="dxa"/>
            </w:tcMar>
            <w:shd w:fill="0E7C86"/>
          </w:tcPr>
          <w:p>
            <w:pPr>
              <w:spacing w:before="60" w:after="60"/>
            </w:pPr>
            <w:r>
              <w:rPr>
                <w:b/>
                <w:color w:val="FFFFFF"/>
                <w:sz w:val="20"/>
              </w:rPr>
              <w:t>Sigle</w:t>
            </w:r>
          </w:p>
        </w:tc>
        <w:tc>
          <w:tcPr>
            <w:tcW w:type="dxa" w:w="4680"/>
            <w:tcMar>
              <w:top w:w="120" w:type="dxa"/>
              <w:bottom w:w="120" w:type="dxa"/>
              <w:left w:w="160" w:type="dxa"/>
              <w:right w:w="160" w:type="dxa"/>
            </w:tcMar>
            <w:shd w:fill="0E7C86"/>
          </w:tcPr>
          <w:p>
            <w:pPr>
              <w:spacing w:before="60" w:after="60"/>
            </w:pPr>
            <w:r>
              <w:rPr>
                <w:b/>
                <w:color w:val="FFFFFF"/>
                <w:sz w:val="20"/>
              </w:rPr>
              <w:t>Signification</w:t>
            </w:r>
          </w:p>
        </w:tc>
      </w:tr>
      <w:tr>
        <w:tc>
          <w:tcPr>
            <w:tcW w:type="dxa" w:w="4680"/>
            <w:tcMar>
              <w:top w:w="120" w:type="dxa"/>
              <w:bottom w:w="120" w:type="dxa"/>
              <w:left w:w="160" w:type="dxa"/>
              <w:right w:w="160" w:type="dxa"/>
            </w:tcMar>
            <w:shd w:fill="F8FAFC"/>
          </w:tcPr>
          <w:p>
            <w:pPr>
              <w:spacing w:before="60" w:after="60"/>
            </w:pPr>
            <w:r>
              <w:rPr>
                <w:sz w:val="19"/>
              </w:rPr>
              <w:t>ACID</w:t>
            </w:r>
          </w:p>
        </w:tc>
        <w:tc>
          <w:tcPr>
            <w:tcW w:type="dxa" w:w="4680"/>
            <w:tcMar>
              <w:top w:w="120" w:type="dxa"/>
              <w:bottom w:w="120" w:type="dxa"/>
              <w:left w:w="160" w:type="dxa"/>
              <w:right w:w="160" w:type="dxa"/>
            </w:tcMar>
            <w:shd w:fill="F8FAFC"/>
          </w:tcPr>
          <w:p>
            <w:pPr>
              <w:spacing w:before="60" w:after="60"/>
            </w:pPr>
            <w:r>
              <w:rPr>
                <w:sz w:val="19"/>
              </w:rPr>
              <w:t>Atomicité, Cohérence, Isolation, Durabilité *(Propriétés de transactions SQL)*</w:t>
            </w:r>
          </w:p>
        </w:tc>
      </w:tr>
      <w:tr>
        <w:tc>
          <w:tcPr>
            <w:tcW w:type="dxa" w:w="4680"/>
            <w:tcMar>
              <w:top w:w="120" w:type="dxa"/>
              <w:bottom w:w="120" w:type="dxa"/>
              <w:left w:w="160" w:type="dxa"/>
              <w:right w:w="160" w:type="dxa"/>
            </w:tcMar>
            <w:shd w:fill="FFFFFF"/>
          </w:tcPr>
          <w:p>
            <w:pPr>
              <w:spacing w:before="60" w:after="60"/>
            </w:pPr>
            <w:r>
              <w:rPr>
                <w:sz w:val="19"/>
              </w:rPr>
              <w:t>API</w:t>
            </w:r>
          </w:p>
        </w:tc>
        <w:tc>
          <w:tcPr>
            <w:tcW w:type="dxa" w:w="4680"/>
            <w:tcMar>
              <w:top w:w="120" w:type="dxa"/>
              <w:bottom w:w="120" w:type="dxa"/>
              <w:left w:w="160" w:type="dxa"/>
              <w:right w:w="160" w:type="dxa"/>
            </w:tcMar>
            <w:shd w:fill="FFFFFF"/>
          </w:tcPr>
          <w:p>
            <w:pPr>
              <w:spacing w:before="60" w:after="60"/>
            </w:pPr>
            <w:r>
              <w:rPr>
                <w:sz w:val="19"/>
              </w:rPr>
              <w:t>Interface de Programmation d'Application *(Application Programming Interface)*</w:t>
            </w:r>
          </w:p>
        </w:tc>
      </w:tr>
      <w:tr>
        <w:tc>
          <w:tcPr>
            <w:tcW w:type="dxa" w:w="4680"/>
            <w:tcMar>
              <w:top w:w="120" w:type="dxa"/>
              <w:bottom w:w="120" w:type="dxa"/>
              <w:left w:w="160" w:type="dxa"/>
              <w:right w:w="160" w:type="dxa"/>
            </w:tcMar>
            <w:shd w:fill="F8FAFC"/>
          </w:tcPr>
          <w:p>
            <w:pPr>
              <w:spacing w:before="60" w:after="60"/>
            </w:pPr>
            <w:r>
              <w:rPr>
                <w:sz w:val="19"/>
              </w:rPr>
              <w:t>APD</w:t>
            </w:r>
          </w:p>
        </w:tc>
        <w:tc>
          <w:tcPr>
            <w:tcW w:type="dxa" w:w="4680"/>
            <w:tcMar>
              <w:top w:w="120" w:type="dxa"/>
              <w:bottom w:w="120" w:type="dxa"/>
              <w:left w:w="160" w:type="dxa"/>
              <w:right w:w="160" w:type="dxa"/>
            </w:tcMar>
            <w:shd w:fill="F8FAFC"/>
          </w:tcPr>
          <w:p>
            <w:pPr>
              <w:spacing w:before="60" w:after="60"/>
            </w:pPr>
            <w:r>
              <w:rPr>
                <w:sz w:val="19"/>
              </w:rPr>
              <w:t>Analyste Programmeur Développeur *(Filière ISEP)*</w:t>
            </w:r>
          </w:p>
        </w:tc>
      </w:tr>
      <w:tr>
        <w:tc>
          <w:tcPr>
            <w:tcW w:type="dxa" w:w="4680"/>
            <w:tcMar>
              <w:top w:w="120" w:type="dxa"/>
              <w:bottom w:w="120" w:type="dxa"/>
              <w:left w:w="160" w:type="dxa"/>
              <w:right w:w="160" w:type="dxa"/>
            </w:tcMar>
            <w:shd w:fill="FFFFFF"/>
          </w:tcPr>
          <w:p>
            <w:pPr>
              <w:spacing w:before="60" w:after="60"/>
            </w:pPr>
            <w:r>
              <w:rPr>
                <w:sz w:val="19"/>
              </w:rPr>
              <w:t>CDP</w:t>
            </w:r>
          </w:p>
        </w:tc>
        <w:tc>
          <w:tcPr>
            <w:tcW w:type="dxa" w:w="4680"/>
            <w:tcMar>
              <w:top w:w="120" w:type="dxa"/>
              <w:bottom w:w="120" w:type="dxa"/>
              <w:left w:w="160" w:type="dxa"/>
              <w:right w:w="160" w:type="dxa"/>
            </w:tcMar>
            <w:shd w:fill="FFFFFF"/>
          </w:tcPr>
          <w:p>
            <w:pPr>
              <w:spacing w:before="60" w:after="60"/>
            </w:pPr>
            <w:r>
              <w:rPr>
                <w:sz w:val="19"/>
              </w:rPr>
              <w:t>Commission de Protection des Données Personnelles *(Sénégal, Loi 2008-12)*</w:t>
            </w:r>
          </w:p>
        </w:tc>
      </w:tr>
      <w:tr>
        <w:tc>
          <w:tcPr>
            <w:tcW w:type="dxa" w:w="4680"/>
            <w:tcMar>
              <w:top w:w="120" w:type="dxa"/>
              <w:bottom w:w="120" w:type="dxa"/>
              <w:left w:w="160" w:type="dxa"/>
              <w:right w:w="160" w:type="dxa"/>
            </w:tcMar>
            <w:shd w:fill="F8FAFC"/>
          </w:tcPr>
          <w:p>
            <w:pPr>
              <w:spacing w:before="60" w:after="60"/>
            </w:pPr>
            <w:r>
              <w:rPr>
                <w:sz w:val="19"/>
              </w:rPr>
              <w:t>CMU</w:t>
            </w:r>
          </w:p>
        </w:tc>
        <w:tc>
          <w:tcPr>
            <w:tcW w:type="dxa" w:w="4680"/>
            <w:tcMar>
              <w:top w:w="120" w:type="dxa"/>
              <w:bottom w:w="120" w:type="dxa"/>
              <w:left w:w="160" w:type="dxa"/>
              <w:right w:w="160" w:type="dxa"/>
            </w:tcMar>
            <w:shd w:fill="F8FAFC"/>
          </w:tcPr>
          <w:p>
            <w:pPr>
              <w:spacing w:before="60" w:after="60"/>
            </w:pPr>
            <w:r>
              <w:rPr>
                <w:sz w:val="19"/>
              </w:rPr>
              <w:t>Couverture Maladie Universelle *(Agence Nationale SEN-CSU)*</w:t>
            </w:r>
          </w:p>
        </w:tc>
      </w:tr>
      <w:tr>
        <w:tc>
          <w:tcPr>
            <w:tcW w:type="dxa" w:w="4680"/>
            <w:tcMar>
              <w:top w:w="120" w:type="dxa"/>
              <w:bottom w:w="120" w:type="dxa"/>
              <w:left w:w="160" w:type="dxa"/>
              <w:right w:w="160" w:type="dxa"/>
            </w:tcMar>
            <w:shd w:fill="FFFFFF"/>
          </w:tcPr>
          <w:p>
            <w:pPr>
              <w:spacing w:before="60" w:after="60"/>
            </w:pPr>
            <w:r>
              <w:rPr>
                <w:sz w:val="19"/>
              </w:rPr>
              <w:t>CRUD</w:t>
            </w:r>
          </w:p>
        </w:tc>
        <w:tc>
          <w:tcPr>
            <w:tcW w:type="dxa" w:w="4680"/>
            <w:tcMar>
              <w:top w:w="120" w:type="dxa"/>
              <w:bottom w:w="120" w:type="dxa"/>
              <w:left w:w="160" w:type="dxa"/>
              <w:right w:w="160" w:type="dxa"/>
            </w:tcMar>
            <w:shd w:fill="FFFFFF"/>
          </w:tcPr>
          <w:p>
            <w:pPr>
              <w:spacing w:before="60" w:after="60"/>
            </w:pPr>
            <w:r>
              <w:rPr>
                <w:sz w:val="19"/>
              </w:rPr>
              <w:t>Création, Lecture, Mise à jour, Suppression *(Create, Read, Update, Delete)*</w:t>
            </w:r>
          </w:p>
        </w:tc>
      </w:tr>
      <w:tr>
        <w:tc>
          <w:tcPr>
            <w:tcW w:type="dxa" w:w="4680"/>
            <w:tcMar>
              <w:top w:w="120" w:type="dxa"/>
              <w:bottom w:w="120" w:type="dxa"/>
              <w:left w:w="160" w:type="dxa"/>
              <w:right w:w="160" w:type="dxa"/>
            </w:tcMar>
            <w:shd w:fill="F8FAFC"/>
          </w:tcPr>
          <w:p>
            <w:pPr>
              <w:spacing w:before="60" w:after="60"/>
            </w:pPr>
            <w:r>
              <w:rPr>
                <w:sz w:val="19"/>
              </w:rPr>
              <w:t>CSRF</w:t>
            </w:r>
          </w:p>
        </w:tc>
        <w:tc>
          <w:tcPr>
            <w:tcW w:type="dxa" w:w="4680"/>
            <w:tcMar>
              <w:top w:w="120" w:type="dxa"/>
              <w:bottom w:w="120" w:type="dxa"/>
              <w:left w:w="160" w:type="dxa"/>
              <w:right w:w="160" w:type="dxa"/>
            </w:tcMar>
            <w:shd w:fill="F8FAFC"/>
          </w:tcPr>
          <w:p>
            <w:pPr>
              <w:spacing w:before="60" w:after="60"/>
            </w:pPr>
            <w:r>
              <w:rPr>
                <w:sz w:val="19"/>
              </w:rPr>
              <w:t>Falsification de requête intersites *(Cross-Site Request Forgery)*</w:t>
            </w:r>
          </w:p>
        </w:tc>
      </w:tr>
      <w:tr>
        <w:tc>
          <w:tcPr>
            <w:tcW w:type="dxa" w:w="4680"/>
            <w:tcMar>
              <w:top w:w="120" w:type="dxa"/>
              <w:bottom w:w="120" w:type="dxa"/>
              <w:left w:w="160" w:type="dxa"/>
              <w:right w:w="160" w:type="dxa"/>
            </w:tcMar>
            <w:shd w:fill="FFFFFF"/>
          </w:tcPr>
          <w:p>
            <w:pPr>
              <w:spacing w:before="60" w:after="60"/>
            </w:pPr>
            <w:r>
              <w:rPr>
                <w:sz w:val="19"/>
              </w:rPr>
              <w:t>CSS</w:t>
            </w:r>
          </w:p>
        </w:tc>
        <w:tc>
          <w:tcPr>
            <w:tcW w:type="dxa" w:w="4680"/>
            <w:tcMar>
              <w:top w:w="120" w:type="dxa"/>
              <w:bottom w:w="120" w:type="dxa"/>
              <w:left w:w="160" w:type="dxa"/>
              <w:right w:w="160" w:type="dxa"/>
            </w:tcMar>
            <w:shd w:fill="FFFFFF"/>
          </w:tcPr>
          <w:p>
            <w:pPr>
              <w:spacing w:before="60" w:after="60"/>
            </w:pPr>
            <w:r>
              <w:rPr>
                <w:sz w:val="19"/>
              </w:rPr>
              <w:t>Feuilles de style en cascade *(Cascading Style Sheets)*</w:t>
            </w:r>
          </w:p>
        </w:tc>
      </w:tr>
      <w:tr>
        <w:tc>
          <w:tcPr>
            <w:tcW w:type="dxa" w:w="4680"/>
            <w:tcMar>
              <w:top w:w="120" w:type="dxa"/>
              <w:bottom w:w="120" w:type="dxa"/>
              <w:left w:w="160" w:type="dxa"/>
              <w:right w:w="160" w:type="dxa"/>
            </w:tcMar>
            <w:shd w:fill="F8FAFC"/>
          </w:tcPr>
          <w:p>
            <w:pPr>
              <w:spacing w:before="60" w:after="60"/>
            </w:pPr>
            <w:r>
              <w:rPr>
                <w:sz w:val="19"/>
              </w:rPr>
              <w:t>DISEP</w:t>
            </w:r>
          </w:p>
        </w:tc>
        <w:tc>
          <w:tcPr>
            <w:tcW w:type="dxa" w:w="4680"/>
            <w:tcMar>
              <w:top w:w="120" w:type="dxa"/>
              <w:bottom w:w="120" w:type="dxa"/>
              <w:left w:w="160" w:type="dxa"/>
              <w:right w:w="160" w:type="dxa"/>
            </w:tcMar>
            <w:shd w:fill="F8FAFC"/>
          </w:tcPr>
          <w:p>
            <w:pPr>
              <w:spacing w:before="60" w:after="60"/>
            </w:pPr>
            <w:r>
              <w:rPr>
                <w:sz w:val="19"/>
              </w:rPr>
              <w:t>Diplôme de l’Institut Supérieur d’Enseignement Professionnel</w:t>
            </w:r>
          </w:p>
        </w:tc>
      </w:tr>
      <w:tr>
        <w:tc>
          <w:tcPr>
            <w:tcW w:type="dxa" w:w="4680"/>
            <w:tcMar>
              <w:top w:w="120" w:type="dxa"/>
              <w:bottom w:w="120" w:type="dxa"/>
              <w:left w:w="160" w:type="dxa"/>
              <w:right w:w="160" w:type="dxa"/>
            </w:tcMar>
            <w:shd w:fill="FFFFFF"/>
          </w:tcPr>
          <w:p>
            <w:pPr>
              <w:spacing w:before="60" w:after="60"/>
            </w:pPr>
            <w:r>
              <w:rPr>
                <w:sz w:val="19"/>
              </w:rPr>
              <w:t>GPS</w:t>
            </w:r>
          </w:p>
        </w:tc>
        <w:tc>
          <w:tcPr>
            <w:tcW w:type="dxa" w:w="4680"/>
            <w:tcMar>
              <w:top w:w="120" w:type="dxa"/>
              <w:bottom w:w="120" w:type="dxa"/>
              <w:left w:w="160" w:type="dxa"/>
              <w:right w:w="160" w:type="dxa"/>
            </w:tcMar>
            <w:shd w:fill="FFFFFF"/>
          </w:tcPr>
          <w:p>
            <w:pPr>
              <w:spacing w:before="60" w:after="60"/>
            </w:pPr>
            <w:r>
              <w:rPr>
                <w:sz w:val="19"/>
              </w:rPr>
              <w:t>Système de positionnement global *(Global Positioning System)*</w:t>
            </w:r>
          </w:p>
        </w:tc>
      </w:tr>
      <w:tr>
        <w:tc>
          <w:tcPr>
            <w:tcW w:type="dxa" w:w="4680"/>
            <w:tcMar>
              <w:top w:w="120" w:type="dxa"/>
              <w:bottom w:w="120" w:type="dxa"/>
              <w:left w:w="160" w:type="dxa"/>
              <w:right w:w="160" w:type="dxa"/>
            </w:tcMar>
            <w:shd w:fill="F8FAFC"/>
          </w:tcPr>
          <w:p>
            <w:pPr>
              <w:spacing w:before="60" w:after="60"/>
            </w:pPr>
            <w:r>
              <w:rPr>
                <w:sz w:val="19"/>
              </w:rPr>
              <w:t>HMAC</w:t>
            </w:r>
          </w:p>
        </w:tc>
        <w:tc>
          <w:tcPr>
            <w:tcW w:type="dxa" w:w="4680"/>
            <w:tcMar>
              <w:top w:w="120" w:type="dxa"/>
              <w:bottom w:w="120" w:type="dxa"/>
              <w:left w:w="160" w:type="dxa"/>
              <w:right w:w="160" w:type="dxa"/>
            </w:tcMar>
            <w:shd w:fill="F8FAFC"/>
          </w:tcPr>
          <w:p>
            <w:pPr>
              <w:spacing w:before="60" w:after="60"/>
            </w:pPr>
            <w:r>
              <w:rPr>
                <w:sz w:val="19"/>
              </w:rPr>
              <w:t>Code d’authentification de message basé sur le hachage *(Hash-based MAC)*</w:t>
            </w:r>
          </w:p>
        </w:tc>
      </w:tr>
      <w:tr>
        <w:tc>
          <w:tcPr>
            <w:tcW w:type="dxa" w:w="4680"/>
            <w:tcMar>
              <w:top w:w="120" w:type="dxa"/>
              <w:bottom w:w="120" w:type="dxa"/>
              <w:left w:w="160" w:type="dxa"/>
              <w:right w:w="160" w:type="dxa"/>
            </w:tcMar>
            <w:shd w:fill="FFFFFF"/>
          </w:tcPr>
          <w:p>
            <w:pPr>
              <w:spacing w:before="60" w:after="60"/>
            </w:pPr>
            <w:r>
              <w:rPr>
                <w:sz w:val="19"/>
              </w:rPr>
              <w:t>HTML</w:t>
            </w:r>
          </w:p>
        </w:tc>
        <w:tc>
          <w:tcPr>
            <w:tcW w:type="dxa" w:w="4680"/>
            <w:tcMar>
              <w:top w:w="120" w:type="dxa"/>
              <w:bottom w:w="120" w:type="dxa"/>
              <w:left w:w="160" w:type="dxa"/>
              <w:right w:w="160" w:type="dxa"/>
            </w:tcMar>
            <w:shd w:fill="FFFFFF"/>
          </w:tcPr>
          <w:p>
            <w:pPr>
              <w:spacing w:before="60" w:after="60"/>
            </w:pPr>
            <w:r>
              <w:rPr>
                <w:sz w:val="19"/>
              </w:rPr>
              <w:t>Langage de balisage d'hypertexte *(HyperText Markup Language)*</w:t>
            </w:r>
          </w:p>
        </w:tc>
      </w:tr>
      <w:tr>
        <w:tc>
          <w:tcPr>
            <w:tcW w:type="dxa" w:w="4680"/>
            <w:tcMar>
              <w:top w:w="120" w:type="dxa"/>
              <w:bottom w:w="120" w:type="dxa"/>
              <w:left w:w="160" w:type="dxa"/>
              <w:right w:w="160" w:type="dxa"/>
            </w:tcMar>
            <w:shd w:fill="F8FAFC"/>
          </w:tcPr>
          <w:p>
            <w:pPr>
              <w:spacing w:before="60" w:after="60"/>
            </w:pPr>
            <w:r>
              <w:rPr>
                <w:sz w:val="19"/>
              </w:rPr>
              <w:t>IDOR</w:t>
            </w:r>
          </w:p>
        </w:tc>
        <w:tc>
          <w:tcPr>
            <w:tcW w:type="dxa" w:w="4680"/>
            <w:tcMar>
              <w:top w:w="120" w:type="dxa"/>
              <w:bottom w:w="120" w:type="dxa"/>
              <w:left w:w="160" w:type="dxa"/>
              <w:right w:w="160" w:type="dxa"/>
            </w:tcMar>
            <w:shd w:fill="F8FAFC"/>
          </w:tcPr>
          <w:p>
            <w:pPr>
              <w:spacing w:before="60" w:after="60"/>
            </w:pPr>
            <w:r>
              <w:rPr>
                <w:sz w:val="19"/>
              </w:rPr>
              <w:t>Référence directe non sécurisée à un objet *(Insecure Direct Object Reference)*</w:t>
            </w:r>
          </w:p>
        </w:tc>
      </w:tr>
      <w:tr>
        <w:tc>
          <w:tcPr>
            <w:tcW w:type="dxa" w:w="4680"/>
            <w:tcMar>
              <w:top w:w="120" w:type="dxa"/>
              <w:bottom w:w="120" w:type="dxa"/>
              <w:left w:w="160" w:type="dxa"/>
              <w:right w:w="160" w:type="dxa"/>
            </w:tcMar>
            <w:shd w:fill="FFFFFF"/>
          </w:tcPr>
          <w:p>
            <w:pPr>
              <w:spacing w:before="60" w:after="60"/>
            </w:pPr>
            <w:r>
              <w:rPr>
                <w:sz w:val="19"/>
              </w:rPr>
              <w:t>IPM</w:t>
            </w:r>
          </w:p>
        </w:tc>
        <w:tc>
          <w:tcPr>
            <w:tcW w:type="dxa" w:w="4680"/>
            <w:tcMar>
              <w:top w:w="120" w:type="dxa"/>
              <w:bottom w:w="120" w:type="dxa"/>
              <w:left w:w="160" w:type="dxa"/>
              <w:right w:w="160" w:type="dxa"/>
            </w:tcMar>
            <w:shd w:fill="FFFFFF"/>
          </w:tcPr>
          <w:p>
            <w:pPr>
              <w:spacing w:before="60" w:after="60"/>
            </w:pPr>
            <w:r>
              <w:rPr>
                <w:sz w:val="19"/>
              </w:rPr>
              <w:t>Institution de Prévoyance Maladie *(Sénégal)*</w:t>
            </w:r>
          </w:p>
        </w:tc>
      </w:tr>
      <w:tr>
        <w:tc>
          <w:tcPr>
            <w:tcW w:type="dxa" w:w="4680"/>
            <w:tcMar>
              <w:top w:w="120" w:type="dxa"/>
              <w:bottom w:w="120" w:type="dxa"/>
              <w:left w:w="160" w:type="dxa"/>
              <w:right w:w="160" w:type="dxa"/>
            </w:tcMar>
            <w:shd w:fill="F8FAFC"/>
          </w:tcPr>
          <w:p>
            <w:pPr>
              <w:spacing w:before="60" w:after="60"/>
            </w:pPr>
            <w:r>
              <w:rPr>
                <w:sz w:val="19"/>
              </w:rPr>
              <w:t>ISEP</w:t>
            </w:r>
          </w:p>
        </w:tc>
        <w:tc>
          <w:tcPr>
            <w:tcW w:type="dxa" w:w="4680"/>
            <w:tcMar>
              <w:top w:w="120" w:type="dxa"/>
              <w:bottom w:w="120" w:type="dxa"/>
              <w:left w:w="160" w:type="dxa"/>
              <w:right w:w="160" w:type="dxa"/>
            </w:tcMar>
            <w:shd w:fill="F8FAFC"/>
          </w:tcPr>
          <w:p>
            <w:pPr>
              <w:spacing w:before="60" w:after="60"/>
            </w:pPr>
            <w:r>
              <w:rPr>
                <w:sz w:val="19"/>
              </w:rPr>
              <w:t>Institut Supérieur d’Enseignement Professionnel</w:t>
            </w:r>
          </w:p>
        </w:tc>
      </w:tr>
      <w:tr>
        <w:tc>
          <w:tcPr>
            <w:tcW w:type="dxa" w:w="4680"/>
            <w:tcMar>
              <w:top w:w="120" w:type="dxa"/>
              <w:bottom w:w="120" w:type="dxa"/>
              <w:left w:w="160" w:type="dxa"/>
              <w:right w:w="160" w:type="dxa"/>
            </w:tcMar>
            <w:shd w:fill="FFFFFF"/>
          </w:tcPr>
          <w:p>
            <w:pPr>
              <w:spacing w:before="60" w:after="60"/>
            </w:pPr>
            <w:r>
              <w:rPr>
                <w:sz w:val="19"/>
              </w:rPr>
              <w:t>ISO</w:t>
            </w:r>
          </w:p>
        </w:tc>
        <w:tc>
          <w:tcPr>
            <w:tcW w:type="dxa" w:w="4680"/>
            <w:tcMar>
              <w:top w:w="120" w:type="dxa"/>
              <w:bottom w:w="120" w:type="dxa"/>
              <w:left w:w="160" w:type="dxa"/>
              <w:right w:w="160" w:type="dxa"/>
            </w:tcMar>
            <w:shd w:fill="FFFFFF"/>
          </w:tcPr>
          <w:p>
            <w:pPr>
              <w:spacing w:before="60" w:after="60"/>
            </w:pPr>
            <w:r>
              <w:rPr>
                <w:sz w:val="19"/>
              </w:rPr>
              <w:t>Organisation internationale de normalisation *(International Organization for Standardization)*</w:t>
            </w:r>
          </w:p>
        </w:tc>
      </w:tr>
      <w:tr>
        <w:tc>
          <w:tcPr>
            <w:tcW w:type="dxa" w:w="4680"/>
            <w:tcMar>
              <w:top w:w="120" w:type="dxa"/>
              <w:bottom w:w="120" w:type="dxa"/>
              <w:left w:w="160" w:type="dxa"/>
              <w:right w:w="160" w:type="dxa"/>
            </w:tcMar>
            <w:shd w:fill="F8FAFC"/>
          </w:tcPr>
          <w:p>
            <w:pPr>
              <w:spacing w:before="60" w:after="60"/>
            </w:pPr>
            <w:r>
              <w:rPr>
                <w:sz w:val="19"/>
              </w:rPr>
              <w:t>JWT</w:t>
            </w:r>
          </w:p>
        </w:tc>
        <w:tc>
          <w:tcPr>
            <w:tcW w:type="dxa" w:w="4680"/>
            <w:tcMar>
              <w:top w:w="120" w:type="dxa"/>
              <w:bottom w:w="120" w:type="dxa"/>
              <w:left w:w="160" w:type="dxa"/>
              <w:right w:w="160" w:type="dxa"/>
            </w:tcMar>
            <w:shd w:fill="F8FAFC"/>
          </w:tcPr>
          <w:p>
            <w:pPr>
              <w:spacing w:before="60" w:after="60"/>
            </w:pPr>
            <w:r>
              <w:rPr>
                <w:sz w:val="19"/>
              </w:rPr>
              <w:t>Jeton Web JSON *(JSON Web Token)*</w:t>
            </w:r>
          </w:p>
        </w:tc>
      </w:tr>
      <w:tr>
        <w:tc>
          <w:tcPr>
            <w:tcW w:type="dxa" w:w="4680"/>
            <w:tcMar>
              <w:top w:w="120" w:type="dxa"/>
              <w:bottom w:w="120" w:type="dxa"/>
              <w:left w:w="160" w:type="dxa"/>
              <w:right w:w="160" w:type="dxa"/>
            </w:tcMar>
            <w:shd w:fill="FFFFFF"/>
          </w:tcPr>
          <w:p>
            <w:pPr>
              <w:spacing w:before="60" w:after="60"/>
            </w:pPr>
            <w:r>
              <w:rPr>
                <w:sz w:val="19"/>
              </w:rPr>
              <w:t>MCD</w:t>
            </w:r>
          </w:p>
        </w:tc>
        <w:tc>
          <w:tcPr>
            <w:tcW w:type="dxa" w:w="4680"/>
            <w:tcMar>
              <w:top w:w="120" w:type="dxa"/>
              <w:bottom w:w="120" w:type="dxa"/>
              <w:left w:w="160" w:type="dxa"/>
              <w:right w:w="160" w:type="dxa"/>
            </w:tcMar>
            <w:shd w:fill="FFFFFF"/>
          </w:tcPr>
          <w:p>
            <w:pPr>
              <w:spacing w:before="60" w:after="60"/>
            </w:pPr>
            <w:r>
              <w:rPr>
                <w:sz w:val="19"/>
              </w:rPr>
              <w:t>Modèle Conceptuel de Données</w:t>
            </w:r>
          </w:p>
        </w:tc>
      </w:tr>
      <w:tr>
        <w:tc>
          <w:tcPr>
            <w:tcW w:type="dxa" w:w="4680"/>
            <w:tcMar>
              <w:top w:w="120" w:type="dxa"/>
              <w:bottom w:w="120" w:type="dxa"/>
              <w:left w:w="160" w:type="dxa"/>
              <w:right w:w="160" w:type="dxa"/>
            </w:tcMar>
            <w:shd w:fill="F8FAFC"/>
          </w:tcPr>
          <w:p>
            <w:pPr>
              <w:spacing w:before="60" w:after="60"/>
            </w:pPr>
            <w:r>
              <w:rPr>
                <w:sz w:val="19"/>
              </w:rPr>
              <w:t>MLD</w:t>
            </w:r>
          </w:p>
        </w:tc>
        <w:tc>
          <w:tcPr>
            <w:tcW w:type="dxa" w:w="4680"/>
            <w:tcMar>
              <w:top w:w="120" w:type="dxa"/>
              <w:bottom w:w="120" w:type="dxa"/>
              <w:left w:w="160" w:type="dxa"/>
              <w:right w:w="160" w:type="dxa"/>
            </w:tcMar>
            <w:shd w:fill="F8FAFC"/>
          </w:tcPr>
          <w:p>
            <w:pPr>
              <w:spacing w:before="60" w:after="60"/>
            </w:pPr>
            <w:r>
              <w:rPr>
                <w:sz w:val="19"/>
              </w:rPr>
              <w:t>Modèle Logique de Données</w:t>
            </w:r>
          </w:p>
        </w:tc>
      </w:tr>
      <w:tr>
        <w:tc>
          <w:tcPr>
            <w:tcW w:type="dxa" w:w="4680"/>
            <w:tcMar>
              <w:top w:w="120" w:type="dxa"/>
              <w:bottom w:w="120" w:type="dxa"/>
              <w:left w:w="160" w:type="dxa"/>
              <w:right w:w="160" w:type="dxa"/>
            </w:tcMar>
            <w:shd w:fill="FFFFFF"/>
          </w:tcPr>
          <w:p>
            <w:pPr>
              <w:spacing w:before="60" w:after="60"/>
            </w:pPr>
            <w:r>
              <w:rPr>
                <w:sz w:val="19"/>
              </w:rPr>
              <w:t>MVC / MVT</w:t>
            </w:r>
          </w:p>
        </w:tc>
        <w:tc>
          <w:tcPr>
            <w:tcW w:type="dxa" w:w="4680"/>
            <w:tcMar>
              <w:top w:w="120" w:type="dxa"/>
              <w:bottom w:w="120" w:type="dxa"/>
              <w:left w:w="160" w:type="dxa"/>
              <w:right w:w="160" w:type="dxa"/>
            </w:tcMar>
            <w:shd w:fill="FFFFFF"/>
          </w:tcPr>
          <w:p>
            <w:pPr>
              <w:spacing w:before="60" w:after="60"/>
            </w:pPr>
            <w:r>
              <w:rPr>
                <w:sz w:val="19"/>
              </w:rPr>
              <w:t>Modèle-Vue-Contrôleur / Modèle-Vue-Template *(Architecture logicielle Django)*</w:t>
            </w:r>
          </w:p>
        </w:tc>
      </w:tr>
      <w:tr>
        <w:tc>
          <w:tcPr>
            <w:tcW w:type="dxa" w:w="4680"/>
            <w:tcMar>
              <w:top w:w="120" w:type="dxa"/>
              <w:bottom w:w="120" w:type="dxa"/>
              <w:left w:w="160" w:type="dxa"/>
              <w:right w:w="160" w:type="dxa"/>
            </w:tcMar>
            <w:shd w:fill="F8FAFC"/>
          </w:tcPr>
          <w:p>
            <w:pPr>
              <w:spacing w:before="60" w:after="60"/>
            </w:pPr>
            <w:r>
              <w:rPr>
                <w:sz w:val="19"/>
              </w:rPr>
              <w:t>ORM</w:t>
            </w:r>
          </w:p>
        </w:tc>
        <w:tc>
          <w:tcPr>
            <w:tcW w:type="dxa" w:w="4680"/>
            <w:tcMar>
              <w:top w:w="120" w:type="dxa"/>
              <w:bottom w:w="120" w:type="dxa"/>
              <w:left w:w="160" w:type="dxa"/>
              <w:right w:w="160" w:type="dxa"/>
            </w:tcMar>
            <w:shd w:fill="F8FAFC"/>
          </w:tcPr>
          <w:p>
            <w:pPr>
              <w:spacing w:before="60" w:after="60"/>
            </w:pPr>
            <w:r>
              <w:rPr>
                <w:sz w:val="19"/>
              </w:rPr>
              <w:t>Mapping Objet-Relationnel *(Object-Relational Mapping)*</w:t>
            </w:r>
          </w:p>
        </w:tc>
      </w:tr>
      <w:tr>
        <w:tc>
          <w:tcPr>
            <w:tcW w:type="dxa" w:w="4680"/>
            <w:tcMar>
              <w:top w:w="120" w:type="dxa"/>
              <w:bottom w:w="120" w:type="dxa"/>
              <w:left w:w="160" w:type="dxa"/>
              <w:right w:w="160" w:type="dxa"/>
            </w:tcMar>
            <w:shd w:fill="FFFFFF"/>
          </w:tcPr>
          <w:p>
            <w:pPr>
              <w:spacing w:before="60" w:after="60"/>
            </w:pPr>
            <w:r>
              <w:rPr>
                <w:sz w:val="19"/>
              </w:rPr>
              <w:t>OSM</w:t>
            </w:r>
          </w:p>
        </w:tc>
        <w:tc>
          <w:tcPr>
            <w:tcW w:type="dxa" w:w="4680"/>
            <w:tcMar>
              <w:top w:w="120" w:type="dxa"/>
              <w:bottom w:w="120" w:type="dxa"/>
              <w:left w:w="160" w:type="dxa"/>
              <w:right w:w="160" w:type="dxa"/>
            </w:tcMar>
            <w:shd w:fill="FFFFFF"/>
          </w:tcPr>
          <w:p>
            <w:pPr>
              <w:spacing w:before="60" w:after="60"/>
            </w:pPr>
            <w:r>
              <w:rPr>
                <w:sz w:val="19"/>
              </w:rPr>
              <w:t>OpenStreetMap *(Données cartographiques ouvertes)*</w:t>
            </w:r>
          </w:p>
        </w:tc>
      </w:tr>
      <w:tr>
        <w:tc>
          <w:tcPr>
            <w:tcW w:type="dxa" w:w="4680"/>
            <w:tcMar>
              <w:top w:w="120" w:type="dxa"/>
              <w:bottom w:w="120" w:type="dxa"/>
              <w:left w:w="160" w:type="dxa"/>
              <w:right w:w="160" w:type="dxa"/>
            </w:tcMar>
            <w:shd w:fill="F8FAFC"/>
          </w:tcPr>
          <w:p>
            <w:pPr>
              <w:spacing w:before="60" w:after="60"/>
            </w:pPr>
            <w:r>
              <w:rPr>
                <w:sz w:val="19"/>
              </w:rPr>
              <w:t>PDF</w:t>
            </w:r>
          </w:p>
        </w:tc>
        <w:tc>
          <w:tcPr>
            <w:tcW w:type="dxa" w:w="4680"/>
            <w:tcMar>
              <w:top w:w="120" w:type="dxa"/>
              <w:bottom w:w="120" w:type="dxa"/>
              <w:left w:w="160" w:type="dxa"/>
              <w:right w:w="160" w:type="dxa"/>
            </w:tcMar>
            <w:shd w:fill="F8FAFC"/>
          </w:tcPr>
          <w:p>
            <w:pPr>
              <w:spacing w:before="60" w:after="60"/>
            </w:pPr>
            <w:r>
              <w:rPr>
                <w:sz w:val="19"/>
              </w:rPr>
              <w:t>Format de document portable *(Portable Document Format)*</w:t>
            </w:r>
          </w:p>
        </w:tc>
      </w:tr>
      <w:tr>
        <w:tc>
          <w:tcPr>
            <w:tcW w:type="dxa" w:w="4680"/>
            <w:tcMar>
              <w:top w:w="120" w:type="dxa"/>
              <w:bottom w:w="120" w:type="dxa"/>
              <w:left w:w="160" w:type="dxa"/>
              <w:right w:w="160" w:type="dxa"/>
            </w:tcMar>
            <w:shd w:fill="FFFFFF"/>
          </w:tcPr>
          <w:p>
            <w:pPr>
              <w:spacing w:before="60" w:after="60"/>
            </w:pPr>
            <w:r>
              <w:rPr>
                <w:sz w:val="19"/>
              </w:rPr>
              <w:t>PWA</w:t>
            </w:r>
          </w:p>
        </w:tc>
        <w:tc>
          <w:tcPr>
            <w:tcW w:type="dxa" w:w="4680"/>
            <w:tcMar>
              <w:top w:w="120" w:type="dxa"/>
              <w:bottom w:w="120" w:type="dxa"/>
              <w:left w:w="160" w:type="dxa"/>
              <w:right w:w="160" w:type="dxa"/>
            </w:tcMar>
            <w:shd w:fill="FFFFFF"/>
          </w:tcPr>
          <w:p>
            <w:pPr>
              <w:spacing w:before="60" w:after="60"/>
            </w:pPr>
            <w:r>
              <w:rPr>
                <w:sz w:val="19"/>
              </w:rPr>
              <w:t>Application Web Progressive *(Progressive Web App)*</w:t>
            </w:r>
          </w:p>
        </w:tc>
      </w:tr>
      <w:tr>
        <w:tc>
          <w:tcPr>
            <w:tcW w:type="dxa" w:w="4680"/>
            <w:tcMar>
              <w:top w:w="120" w:type="dxa"/>
              <w:bottom w:w="120" w:type="dxa"/>
              <w:left w:w="160" w:type="dxa"/>
              <w:right w:w="160" w:type="dxa"/>
            </w:tcMar>
            <w:shd w:fill="F8FAFC"/>
          </w:tcPr>
          <w:p>
            <w:pPr>
              <w:spacing w:before="60" w:after="60"/>
            </w:pPr>
            <w:r>
              <w:rPr>
                <w:sz w:val="19"/>
              </w:rPr>
              <w:t>QR Code</w:t>
            </w:r>
          </w:p>
        </w:tc>
        <w:tc>
          <w:tcPr>
            <w:tcW w:type="dxa" w:w="4680"/>
            <w:tcMar>
              <w:top w:w="120" w:type="dxa"/>
              <w:bottom w:w="120" w:type="dxa"/>
              <w:left w:w="160" w:type="dxa"/>
              <w:right w:w="160" w:type="dxa"/>
            </w:tcMar>
            <w:shd w:fill="F8FAFC"/>
          </w:tcPr>
          <w:p>
            <w:pPr>
              <w:spacing w:before="60" w:after="60"/>
            </w:pPr>
            <w:r>
              <w:rPr>
                <w:sz w:val="19"/>
              </w:rPr>
              <w:t>Code à réponse rapide *(Quick Response Code)*</w:t>
            </w:r>
          </w:p>
        </w:tc>
      </w:tr>
      <w:tr>
        <w:tc>
          <w:tcPr>
            <w:tcW w:type="dxa" w:w="4680"/>
            <w:tcMar>
              <w:top w:w="120" w:type="dxa"/>
              <w:bottom w:w="120" w:type="dxa"/>
              <w:left w:w="160" w:type="dxa"/>
              <w:right w:w="160" w:type="dxa"/>
            </w:tcMar>
            <w:shd w:fill="FFFFFF"/>
          </w:tcPr>
          <w:p>
            <w:pPr>
              <w:spacing w:before="60" w:after="60"/>
            </w:pPr>
            <w:r>
              <w:rPr>
                <w:sz w:val="19"/>
              </w:rPr>
              <w:t>RBAC</w:t>
            </w:r>
          </w:p>
        </w:tc>
        <w:tc>
          <w:tcPr>
            <w:tcW w:type="dxa" w:w="4680"/>
            <w:tcMar>
              <w:top w:w="120" w:type="dxa"/>
              <w:bottom w:w="120" w:type="dxa"/>
              <w:left w:w="160" w:type="dxa"/>
              <w:right w:w="160" w:type="dxa"/>
            </w:tcMar>
            <w:shd w:fill="FFFFFF"/>
          </w:tcPr>
          <w:p>
            <w:pPr>
              <w:spacing w:before="60" w:after="60"/>
            </w:pPr>
            <w:r>
              <w:rPr>
                <w:sz w:val="19"/>
              </w:rPr>
              <w:t>Contrôle d'accès basé sur les rôles *(Role-Based Access Control)*</w:t>
            </w:r>
          </w:p>
        </w:tc>
      </w:tr>
      <w:tr>
        <w:tc>
          <w:tcPr>
            <w:tcW w:type="dxa" w:w="4680"/>
            <w:tcMar>
              <w:top w:w="120" w:type="dxa"/>
              <w:bottom w:w="120" w:type="dxa"/>
              <w:left w:w="160" w:type="dxa"/>
              <w:right w:w="160" w:type="dxa"/>
            </w:tcMar>
            <w:shd w:fill="F8FAFC"/>
          </w:tcPr>
          <w:p>
            <w:pPr>
              <w:spacing w:before="60" w:after="60"/>
            </w:pPr>
            <w:r>
              <w:rPr>
                <w:sz w:val="19"/>
              </w:rPr>
              <w:t>REST</w:t>
            </w:r>
          </w:p>
        </w:tc>
        <w:tc>
          <w:tcPr>
            <w:tcW w:type="dxa" w:w="4680"/>
            <w:tcMar>
              <w:top w:w="120" w:type="dxa"/>
              <w:bottom w:w="120" w:type="dxa"/>
              <w:left w:w="160" w:type="dxa"/>
              <w:right w:w="160" w:type="dxa"/>
            </w:tcMar>
            <w:shd w:fill="F8FAFC"/>
          </w:tcPr>
          <w:p>
            <w:pPr>
              <w:spacing w:before="60" w:after="60"/>
            </w:pPr>
            <w:r>
              <w:rPr>
                <w:sz w:val="19"/>
              </w:rPr>
              <w:t>Transfert d'état représentationnel *(Representational State Transfer)*</w:t>
            </w:r>
          </w:p>
        </w:tc>
      </w:tr>
      <w:tr>
        <w:tc>
          <w:tcPr>
            <w:tcW w:type="dxa" w:w="4680"/>
            <w:tcMar>
              <w:top w:w="120" w:type="dxa"/>
              <w:bottom w:w="120" w:type="dxa"/>
              <w:left w:w="160" w:type="dxa"/>
              <w:right w:w="160" w:type="dxa"/>
            </w:tcMar>
            <w:shd w:fill="FFFFFF"/>
          </w:tcPr>
          <w:p>
            <w:pPr>
              <w:spacing w:before="60" w:after="60"/>
            </w:pPr>
            <w:r>
              <w:rPr>
                <w:sz w:val="19"/>
              </w:rPr>
              <w:t>SaaS</w:t>
            </w:r>
          </w:p>
        </w:tc>
        <w:tc>
          <w:tcPr>
            <w:tcW w:type="dxa" w:w="4680"/>
            <w:tcMar>
              <w:top w:w="120" w:type="dxa"/>
              <w:bottom w:w="120" w:type="dxa"/>
              <w:left w:w="160" w:type="dxa"/>
              <w:right w:w="160" w:type="dxa"/>
            </w:tcMar>
            <w:shd w:fill="FFFFFF"/>
          </w:tcPr>
          <w:p>
            <w:pPr>
              <w:spacing w:before="60" w:after="60"/>
            </w:pPr>
            <w:r>
              <w:rPr>
                <w:sz w:val="19"/>
              </w:rPr>
              <w:t>Logiciel en tant que service *(Software as a Service)*</w:t>
            </w:r>
          </w:p>
        </w:tc>
      </w:tr>
      <w:tr>
        <w:tc>
          <w:tcPr>
            <w:tcW w:type="dxa" w:w="4680"/>
            <w:tcMar>
              <w:top w:w="120" w:type="dxa"/>
              <w:bottom w:w="120" w:type="dxa"/>
              <w:left w:w="160" w:type="dxa"/>
              <w:right w:w="160" w:type="dxa"/>
            </w:tcMar>
            <w:shd w:fill="F8FAFC"/>
          </w:tcPr>
          <w:p>
            <w:pPr>
              <w:spacing w:before="60" w:after="60"/>
            </w:pPr>
            <w:r>
              <w:rPr>
                <w:sz w:val="19"/>
              </w:rPr>
              <w:t>SEN-CSU</w:t>
            </w:r>
          </w:p>
        </w:tc>
        <w:tc>
          <w:tcPr>
            <w:tcW w:type="dxa" w:w="4680"/>
            <w:tcMar>
              <w:top w:w="120" w:type="dxa"/>
              <w:bottom w:w="120" w:type="dxa"/>
              <w:left w:w="160" w:type="dxa"/>
              <w:right w:w="160" w:type="dxa"/>
            </w:tcMar>
            <w:shd w:fill="F8FAFC"/>
          </w:tcPr>
          <w:p>
            <w:pPr>
              <w:spacing w:before="60" w:after="60"/>
            </w:pPr>
            <w:r>
              <w:rPr>
                <w:sz w:val="19"/>
              </w:rPr>
              <w:t>Agence Sénégalaise de la Couverture Sanitaire Universelle</w:t>
            </w:r>
          </w:p>
        </w:tc>
      </w:tr>
      <w:tr>
        <w:tc>
          <w:tcPr>
            <w:tcW w:type="dxa" w:w="4680"/>
            <w:tcMar>
              <w:top w:w="120" w:type="dxa"/>
              <w:bottom w:w="120" w:type="dxa"/>
              <w:left w:w="160" w:type="dxa"/>
              <w:right w:w="160" w:type="dxa"/>
            </w:tcMar>
            <w:shd w:fill="FFFFFF"/>
          </w:tcPr>
          <w:p>
            <w:pPr>
              <w:spacing w:before="60" w:after="60"/>
            </w:pPr>
            <w:r>
              <w:rPr>
                <w:sz w:val="19"/>
              </w:rPr>
              <w:t>SQL</w:t>
            </w:r>
          </w:p>
        </w:tc>
        <w:tc>
          <w:tcPr>
            <w:tcW w:type="dxa" w:w="4680"/>
            <w:tcMar>
              <w:top w:w="120" w:type="dxa"/>
              <w:bottom w:w="120" w:type="dxa"/>
              <w:left w:w="160" w:type="dxa"/>
              <w:right w:w="160" w:type="dxa"/>
            </w:tcMar>
            <w:shd w:fill="FFFFFF"/>
          </w:tcPr>
          <w:p>
            <w:pPr>
              <w:spacing w:before="60" w:after="60"/>
            </w:pPr>
            <w:r>
              <w:rPr>
                <w:sz w:val="19"/>
              </w:rPr>
              <w:t>Langage de requête structurée *(Structured Query Language)*</w:t>
            </w:r>
          </w:p>
        </w:tc>
      </w:tr>
      <w:tr>
        <w:tc>
          <w:tcPr>
            <w:tcW w:type="dxa" w:w="4680"/>
            <w:tcMar>
              <w:top w:w="120" w:type="dxa"/>
              <w:bottom w:w="120" w:type="dxa"/>
              <w:left w:w="160" w:type="dxa"/>
              <w:right w:w="160" w:type="dxa"/>
            </w:tcMar>
            <w:shd w:fill="F8FAFC"/>
          </w:tcPr>
          <w:p>
            <w:pPr>
              <w:spacing w:before="60" w:after="60"/>
            </w:pPr>
            <w:r>
              <w:rPr>
                <w:sz w:val="19"/>
              </w:rPr>
              <w:t>SSL / TLS</w:t>
            </w:r>
          </w:p>
        </w:tc>
        <w:tc>
          <w:tcPr>
            <w:tcW w:type="dxa" w:w="4680"/>
            <w:tcMar>
              <w:top w:w="120" w:type="dxa"/>
              <w:bottom w:w="120" w:type="dxa"/>
              <w:left w:w="160" w:type="dxa"/>
              <w:right w:w="160" w:type="dxa"/>
            </w:tcMar>
            <w:shd w:fill="F8FAFC"/>
          </w:tcPr>
          <w:p>
            <w:pPr>
              <w:spacing w:before="60" w:after="60"/>
            </w:pPr>
            <w:r>
              <w:rPr>
                <w:sz w:val="19"/>
              </w:rPr>
              <w:t>Sécurité de la couche de transport *(Transport Layer Security)*</w:t>
            </w:r>
          </w:p>
        </w:tc>
      </w:tr>
      <w:tr>
        <w:tc>
          <w:tcPr>
            <w:tcW w:type="dxa" w:w="4680"/>
            <w:tcMar>
              <w:top w:w="120" w:type="dxa"/>
              <w:bottom w:w="120" w:type="dxa"/>
              <w:left w:w="160" w:type="dxa"/>
              <w:right w:w="160" w:type="dxa"/>
            </w:tcMar>
            <w:shd w:fill="FFFFFF"/>
          </w:tcPr>
          <w:p>
            <w:pPr>
              <w:spacing w:before="60" w:after="60"/>
            </w:pPr>
            <w:r>
              <w:rPr>
                <w:sz w:val="19"/>
              </w:rPr>
              <w:t>TIC</w:t>
            </w:r>
          </w:p>
        </w:tc>
        <w:tc>
          <w:tcPr>
            <w:tcW w:type="dxa" w:w="4680"/>
            <w:tcMar>
              <w:top w:w="120" w:type="dxa"/>
              <w:bottom w:w="120" w:type="dxa"/>
              <w:left w:w="160" w:type="dxa"/>
              <w:right w:w="160" w:type="dxa"/>
            </w:tcMar>
            <w:shd w:fill="FFFFFF"/>
          </w:tcPr>
          <w:p>
            <w:pPr>
              <w:spacing w:before="60" w:after="60"/>
            </w:pPr>
            <w:r>
              <w:rPr>
                <w:sz w:val="19"/>
              </w:rPr>
              <w:t>Technologies de l’Information et de la Communication</w:t>
            </w:r>
          </w:p>
        </w:tc>
      </w:tr>
      <w:tr>
        <w:tc>
          <w:tcPr>
            <w:tcW w:type="dxa" w:w="4680"/>
            <w:tcMar>
              <w:top w:w="120" w:type="dxa"/>
              <w:bottom w:w="120" w:type="dxa"/>
              <w:left w:w="160" w:type="dxa"/>
              <w:right w:w="160" w:type="dxa"/>
            </w:tcMar>
            <w:shd w:fill="F8FAFC"/>
          </w:tcPr>
          <w:p>
            <w:pPr>
              <w:spacing w:before="60" w:after="60"/>
            </w:pPr>
            <w:r>
              <w:rPr>
                <w:sz w:val="19"/>
              </w:rPr>
              <w:t>UML</w:t>
            </w:r>
          </w:p>
        </w:tc>
        <w:tc>
          <w:tcPr>
            <w:tcW w:type="dxa" w:w="4680"/>
            <w:tcMar>
              <w:top w:w="120" w:type="dxa"/>
              <w:bottom w:w="120" w:type="dxa"/>
              <w:left w:w="160" w:type="dxa"/>
              <w:right w:w="160" w:type="dxa"/>
            </w:tcMar>
            <w:shd w:fill="F8FAFC"/>
          </w:tcPr>
          <w:p>
            <w:pPr>
              <w:spacing w:before="60" w:after="60"/>
            </w:pPr>
            <w:r>
              <w:rPr>
                <w:sz w:val="19"/>
              </w:rPr>
              <w:t>Langage de modélisation unifié *(Unified Modeling Language)*</w:t>
            </w:r>
          </w:p>
        </w:tc>
      </w:tr>
      <w:tr>
        <w:tc>
          <w:tcPr>
            <w:tcW w:type="dxa" w:w="4680"/>
            <w:tcMar>
              <w:top w:w="120" w:type="dxa"/>
              <w:bottom w:w="120" w:type="dxa"/>
              <w:left w:w="160" w:type="dxa"/>
              <w:right w:w="160" w:type="dxa"/>
            </w:tcMar>
            <w:shd w:fill="FFFFFF"/>
          </w:tcPr>
          <w:p>
            <w:pPr>
              <w:spacing w:before="60" w:after="60"/>
            </w:pPr>
            <w:r>
              <w:rPr>
                <w:sz w:val="19"/>
              </w:rPr>
              <w:t>UX / UI</w:t>
            </w:r>
          </w:p>
        </w:tc>
        <w:tc>
          <w:tcPr>
            <w:tcW w:type="dxa" w:w="4680"/>
            <w:tcMar>
              <w:top w:w="120" w:type="dxa"/>
              <w:bottom w:w="120" w:type="dxa"/>
              <w:left w:w="160" w:type="dxa"/>
              <w:right w:w="160" w:type="dxa"/>
            </w:tcMar>
            <w:shd w:fill="FFFFFF"/>
          </w:tcPr>
          <w:p>
            <w:pPr>
              <w:spacing w:before="60" w:after="60"/>
            </w:pPr>
            <w:r>
              <w:rPr>
                <w:sz w:val="19"/>
              </w:rPr>
              <w:t>Expérience Utilisateur / Interface Utilisateur *(User Experience / User Interface)*</w:t>
            </w:r>
          </w:p>
        </w:tc>
      </w:tr>
      <w:tr>
        <w:tc>
          <w:tcPr>
            <w:tcW w:type="dxa" w:w="4680"/>
            <w:tcMar>
              <w:top w:w="120" w:type="dxa"/>
              <w:bottom w:w="120" w:type="dxa"/>
              <w:left w:w="160" w:type="dxa"/>
              <w:right w:w="160" w:type="dxa"/>
            </w:tcMar>
            <w:shd w:fill="F8FAFC"/>
          </w:tcPr>
          <w:p>
            <w:pPr>
              <w:spacing w:before="60" w:after="60"/>
            </w:pPr>
            <w:r>
              <w:rPr>
                <w:sz w:val="19"/>
              </w:rPr>
              <w:t>VCF</w:t>
            </w:r>
          </w:p>
        </w:tc>
        <w:tc>
          <w:tcPr>
            <w:tcW w:type="dxa" w:w="4680"/>
            <w:tcMar>
              <w:top w:w="120" w:type="dxa"/>
              <w:bottom w:w="120" w:type="dxa"/>
              <w:left w:w="160" w:type="dxa"/>
              <w:right w:w="160" w:type="dxa"/>
            </w:tcMar>
            <w:shd w:fill="F8FAFC"/>
          </w:tcPr>
          <w:p>
            <w:pPr>
              <w:spacing w:before="60" w:after="60"/>
            </w:pPr>
            <w:r>
              <w:rPr>
                <w:sz w:val="19"/>
              </w:rPr>
              <w:t>Fichier de contact virtuel *(Virtual Contact File)*</w:t>
            </w:r>
          </w:p>
        </w:tc>
      </w:tr>
      <w:tr>
        <w:tc>
          <w:tcPr>
            <w:tcW w:type="dxa" w:w="4680"/>
            <w:tcMar>
              <w:top w:w="120" w:type="dxa"/>
              <w:bottom w:w="120" w:type="dxa"/>
              <w:left w:w="160" w:type="dxa"/>
              <w:right w:w="160" w:type="dxa"/>
            </w:tcMar>
            <w:shd w:fill="FFFFFF"/>
          </w:tcPr>
          <w:p>
            <w:pPr>
              <w:spacing w:before="60" w:after="60"/>
            </w:pPr>
            <w:r>
              <w:rPr>
                <w:sz w:val="19"/>
              </w:rPr>
              <w:t>WSGI</w:t>
            </w:r>
          </w:p>
        </w:tc>
        <w:tc>
          <w:tcPr>
            <w:tcW w:type="dxa" w:w="4680"/>
            <w:tcMar>
              <w:top w:w="120" w:type="dxa"/>
              <w:bottom w:w="120" w:type="dxa"/>
              <w:left w:w="160" w:type="dxa"/>
              <w:right w:w="160" w:type="dxa"/>
            </w:tcMar>
            <w:shd w:fill="FFFFFF"/>
          </w:tcPr>
          <w:p>
            <w:pPr>
              <w:spacing w:before="60" w:after="60"/>
            </w:pPr>
            <w:r>
              <w:rPr>
                <w:sz w:val="19"/>
              </w:rPr>
              <w:t>Interface de passerelle pour serveur Web *(Web Server Gateway Interface)*</w:t>
            </w:r>
          </w:p>
        </w:tc>
      </w:tr>
    </w:tbl>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LISTE DES FIGURES</w:t>
      </w:r>
    </w:p>
    <w:p>
      <w:pPr>
        <w:pStyle w:val="ListBullet"/>
        <w:spacing w:before="20" w:after="40"/>
      </w:pPr>
      <w:r/>
      <w:r>
        <w:rPr>
          <w:b/>
        </w:rPr>
        <w:t>Figure 1 :</w:t>
      </w:r>
      <w:r>
        <w:t xml:space="preserve"> Schéma du circuit papier traditionnel de prise en charge médicale au Sénégal</w:t>
      </w:r>
    </w:p>
    <w:p>
      <w:pPr>
        <w:pStyle w:val="ListBullet"/>
        <w:spacing w:before="20" w:after="40"/>
      </w:pPr>
      <w:r/>
      <w:r>
        <w:rPr>
          <w:b/>
        </w:rPr>
        <w:t>Figure 2 :</w:t>
      </w:r>
      <w:r>
        <w:t xml:space="preserve"> Cartographie des acteurs et parties prenantes du système de santé sénégalais</w:t>
      </w:r>
    </w:p>
    <w:p>
      <w:pPr>
        <w:pStyle w:val="ListBullet"/>
        <w:spacing w:before="20" w:after="40"/>
      </w:pPr>
      <w:r/>
      <w:r>
        <w:rPr>
          <w:b/>
        </w:rPr>
        <w:t>Figure 3 :</w:t>
      </w:r>
      <w:r>
        <w:t xml:space="preserve"> Diagramme de cas d'utilisation global de la plateforme SantéSN</w:t>
      </w:r>
    </w:p>
    <w:p>
      <w:pPr>
        <w:pStyle w:val="ListBullet"/>
        <w:spacing w:before="20" w:after="40"/>
      </w:pPr>
      <w:r/>
      <w:r>
        <w:rPr>
          <w:b/>
        </w:rPr>
        <w:t>Figure 4 :</w:t>
      </w:r>
      <w:r>
        <w:t xml:space="preserve"> Diagramme de séquence de délivrance d'ordonnance en pharmacie avec verrouillage atomique</w:t>
      </w:r>
    </w:p>
    <w:p>
      <w:pPr>
        <w:pStyle w:val="ListBullet"/>
        <w:spacing w:before="20" w:after="40"/>
      </w:pPr>
      <w:r/>
      <w:r>
        <w:rPr>
          <w:b/>
        </w:rPr>
        <w:t>Figure 5 :</w:t>
      </w:r>
      <w:r>
        <w:t xml:space="preserve"> Diagramme de séquence d'instruction et de remboursement d'une dépense hors réseau</w:t>
      </w:r>
    </w:p>
    <w:p>
      <w:pPr>
        <w:pStyle w:val="ListBullet"/>
        <w:spacing w:before="20" w:after="40"/>
      </w:pPr>
      <w:r/>
      <w:r>
        <w:rPr>
          <w:b/>
        </w:rPr>
        <w:t>Figure 6 :</w:t>
      </w:r>
      <w:r>
        <w:t xml:space="preserve"> Architecture logicielle MVT (Modèle-Vue-Template) et déploiement Cloud de SantéSN</w:t>
      </w:r>
    </w:p>
    <w:p>
      <w:pPr>
        <w:pStyle w:val="ListBullet"/>
        <w:spacing w:before="20" w:after="40"/>
      </w:pPr>
      <w:r/>
      <w:r>
        <w:rPr>
          <w:b/>
        </w:rPr>
        <w:t>Figure 7 :</w:t>
      </w:r>
      <w:r>
        <w:t xml:space="preserve"> Modèle Conceptuel de Données (MCD) relationnel de SantéSN</w:t>
      </w:r>
    </w:p>
    <w:p>
      <w:pPr>
        <w:pStyle w:val="ListBullet"/>
        <w:spacing w:before="20" w:after="40"/>
      </w:pPr>
      <w:r/>
      <w:r>
        <w:rPr>
          <w:b/>
        </w:rPr>
        <w:t>Figure 8 :</w:t>
      </w:r>
      <w:r>
        <w:t xml:space="preserve"> Schéma d'isolation étanche multi-organismes (Multi-Tenant Scoped QuerySet)</w:t>
      </w:r>
    </w:p>
    <w:p>
      <w:pPr>
        <w:pStyle w:val="ListBullet"/>
        <w:spacing w:before="20" w:after="40"/>
      </w:pPr>
      <w:r/>
      <w:r>
        <w:rPr>
          <w:b/>
        </w:rPr>
        <w:t>Figure 9 :</w:t>
      </w:r>
      <w:r>
        <w:t xml:space="preserve"> Interface de connexion sécurisée et formulaire avec limitation des tentatives</w:t>
      </w:r>
    </w:p>
    <w:p>
      <w:pPr>
        <w:pStyle w:val="ListBullet"/>
        <w:spacing w:before="20" w:after="40"/>
      </w:pPr>
      <w:r/>
      <w:r>
        <w:rPr>
          <w:b/>
        </w:rPr>
        <w:t>Figure 10 :</w:t>
      </w:r>
      <w:r>
        <w:t xml:space="preserve"> Tableau de bord interactif du Gestionnaire d'IPM (indicateurs financiers et files d'attente)</w:t>
      </w:r>
    </w:p>
    <w:p>
      <w:pPr>
        <w:pStyle w:val="ListBullet"/>
        <w:spacing w:before="20" w:after="40"/>
      </w:pPr>
      <w:r/>
      <w:r>
        <w:rPr>
          <w:b/>
        </w:rPr>
        <w:t>Figure 11 :</w:t>
      </w:r>
      <w:r>
        <w:t xml:space="preserve"> Carte sanitaire géolocalisée et sélecteur de calques dynamique (Plan &amp; Satellite HD)</w:t>
      </w:r>
    </w:p>
    <w:p>
      <w:pPr>
        <w:pStyle w:val="ListBullet"/>
        <w:spacing w:before="20" w:after="40"/>
      </w:pPr>
      <w:r/>
      <w:r>
        <w:rPr>
          <w:b/>
        </w:rPr>
        <w:t>Figure 12 :</w:t>
      </w:r>
      <w:r>
        <w:t xml:space="preserve"> Fiche de consultation et outil de prescription d'ordonnance médicale certifiée</w:t>
      </w:r>
    </w:p>
    <w:p>
      <w:pPr>
        <w:pStyle w:val="ListBullet"/>
        <w:spacing w:before="20" w:after="40"/>
      </w:pPr>
      <w:r/>
      <w:r>
        <w:rPr>
          <w:b/>
        </w:rPr>
        <w:t>Figure 13 :</w:t>
      </w:r>
      <w:r>
        <w:t xml:space="preserve"> Scanner optique par caméra de la pharmacie et validation instantanée de la prise en charge</w:t>
      </w:r>
    </w:p>
    <w:p>
      <w:pPr>
        <w:pStyle w:val="ListBullet"/>
        <w:spacing w:before="20" w:after="40"/>
      </w:pPr>
      <w:r/>
      <w:r>
        <w:rPr>
          <w:b/>
        </w:rPr>
        <w:t>Figure 14 :</w:t>
      </w:r>
      <w:r>
        <w:t xml:space="preserve"> Carte dématérialisée de l'assuré (format physique ISO 7810 avec QR Code et jauge de plafond)</w:t>
      </w:r>
    </w:p>
    <w:p>
      <w:pPr>
        <w:pStyle w:val="ListBullet"/>
        <w:spacing w:before="20" w:after="40"/>
      </w:pPr>
      <w:r/>
      <w:r>
        <w:rPr>
          <w:b/>
        </w:rPr>
        <w:t>Figure 15 :</w:t>
      </w:r>
      <w:r>
        <w:t xml:space="preserve"> Écran de consultation des droits hors-ligne via le Service Worker PWA</w:t>
      </w:r>
    </w:p>
    <w:p>
      <w:pPr>
        <w:pStyle w:val="ListBullet"/>
        <w:spacing w:before="20" w:after="40"/>
      </w:pPr>
      <w:r/>
      <w:r>
        <w:rPr>
          <w:b/>
        </w:rPr>
        <w:t>Figure 16 :</w:t>
      </w:r>
      <w:r>
        <w:t xml:space="preserve"> Rapport d'exécution automatisée des 196 tests unitaires et d'intégration</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LISTE DES TABLEAUX</w:t>
      </w:r>
    </w:p>
    <w:p>
      <w:pPr>
        <w:pStyle w:val="ListBullet"/>
        <w:spacing w:before="20" w:after="40"/>
      </w:pPr>
      <w:r/>
      <w:r>
        <w:rPr>
          <w:b/>
        </w:rPr>
        <w:t>Tableau 1 :</w:t>
      </w:r>
      <w:r>
        <w:t xml:space="preserve"> Matrice d'analyse SWOT du circuit de prise en charge médicale existant au Sénégal</w:t>
      </w:r>
    </w:p>
    <w:p>
      <w:pPr>
        <w:pStyle w:val="ListBullet"/>
        <w:spacing w:before="20" w:after="40"/>
      </w:pPr>
      <w:r/>
      <w:r>
        <w:rPr>
          <w:b/>
        </w:rPr>
        <w:t>Tableau 2 :</w:t>
      </w:r>
      <w:r>
        <w:t xml:space="preserve"> Matrice de comparaison des solutions logicielles du marché face aux besoins locaux</w:t>
      </w:r>
    </w:p>
    <w:p>
      <w:pPr>
        <w:pStyle w:val="ListBullet"/>
        <w:spacing w:before="20" w:after="40"/>
      </w:pPr>
      <w:r/>
      <w:r>
        <w:rPr>
          <w:b/>
        </w:rPr>
        <w:t>Tableau 3 :</w:t>
      </w:r>
      <w:r>
        <w:t xml:space="preserve"> Grille d'évaluation des besoins fonctionnels par rôle utilisateur</w:t>
      </w:r>
    </w:p>
    <w:p>
      <w:pPr>
        <w:pStyle w:val="ListBullet"/>
        <w:spacing w:before="20" w:after="40"/>
      </w:pPr>
      <w:r/>
      <w:r>
        <w:rPr>
          <w:b/>
        </w:rPr>
        <w:t>Tableau 4 :</w:t>
      </w:r>
      <w:r>
        <w:t xml:space="preserve"> Spécifications des exigences non-fonctionnelles et contraintes de sécurité</w:t>
      </w:r>
    </w:p>
    <w:p>
      <w:pPr>
        <w:pStyle w:val="ListBullet"/>
        <w:spacing w:before="20" w:after="40"/>
      </w:pPr>
      <w:r/>
      <w:r>
        <w:rPr>
          <w:b/>
        </w:rPr>
        <w:t>Tableau 5 :</w:t>
      </w:r>
      <w:r>
        <w:t xml:space="preserve"> Planning prévisionnel et chronogramme de réalisation (itérations Agile / Scrum)</w:t>
      </w:r>
    </w:p>
    <w:p>
      <w:pPr>
        <w:pStyle w:val="ListBullet"/>
        <w:spacing w:before="20" w:after="40"/>
      </w:pPr>
      <w:r/>
      <w:r>
        <w:rPr>
          <w:b/>
        </w:rPr>
        <w:t>Tableau 6 :</w:t>
      </w:r>
      <w:r>
        <w:t xml:space="preserve"> Dictionnaire de données des entités fondamentales de la base relationnelle SantéSN</w:t>
      </w:r>
    </w:p>
    <w:p>
      <w:pPr>
        <w:pStyle w:val="ListBullet"/>
        <w:spacing w:before="20" w:after="40"/>
      </w:pPr>
      <w:r/>
      <w:r>
        <w:rPr>
          <w:b/>
        </w:rPr>
        <w:t>Tableau 7 :</w:t>
      </w:r>
      <w:r>
        <w:t xml:space="preserve"> Matrice de contrôle d'accès basée sur les rôles (Matrice RBAC)</w:t>
      </w:r>
    </w:p>
    <w:p>
      <w:pPr>
        <w:pStyle w:val="ListBullet"/>
        <w:spacing w:before="20" w:after="40"/>
      </w:pPr>
      <w:r/>
      <w:r>
        <w:rPr>
          <w:b/>
        </w:rPr>
        <w:t>Tableau 8 :</w:t>
      </w:r>
      <w:r>
        <w:t xml:space="preserve"> Tableau récapitulatif des technologies et outils retenus</w:t>
      </w:r>
    </w:p>
    <w:p>
      <w:pPr>
        <w:pStyle w:val="ListBullet"/>
        <w:spacing w:before="20" w:after="40"/>
      </w:pPr>
      <w:r/>
      <w:r>
        <w:rPr>
          <w:b/>
        </w:rPr>
        <w:t>Tableau 9 :</w:t>
      </w:r>
      <w:r>
        <w:t xml:space="preserve"> Synthèse du plan de tests et couverture de validation logicielle</w:t>
      </w:r>
    </w:p>
    <w:p>
      <w:pPr>
        <w:pStyle w:val="ListBullet"/>
        <w:spacing w:before="20" w:after="40"/>
      </w:pPr>
      <w:r/>
      <w:r>
        <w:rPr>
          <w:b/>
        </w:rPr>
        <w:t>Tableau 10 :</w:t>
      </w:r>
      <w:r>
        <w:t xml:space="preserve"> Évaluation financière et budget estimatif d'exploitation annuelle (Cloud, domaine, maintenance)</w:t>
      </w:r>
    </w:p>
    <w:p>
      <w:r>
        <w:br w:type="page"/>
      </w:r>
    </w:p>
    <w:p>
      <w:pPr>
        <w:keepNext/>
        <w:spacing w:before="280" w:after="160"/>
      </w:pPr>
      <w:r>
        <w:rPr>
          <w:rFonts w:ascii="Calibri" w:hAnsi="Calibri"/>
          <w:b/>
          <w:color w:val="0E7C86"/>
          <w:sz w:val="38"/>
        </w:rPr>
        <w:t>INTRODUCTION GÉNÉRALE</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1. Contexte général du projet</w:t>
      </w:r>
    </w:p>
    <w:p>
      <w:r>
        <w:t xml:space="preserve">Le système de santé au Sénégal traverse une phase charnière de son histoire, caractérisée par la volonté affirmée de l'État et des partenaires sociaux de garantir une protection sociale équitable, pérenne et accessible à toutes les couches de la population. Au cœur de ce dispositif de couverture du secteur formel et parapublic se trouvent les </w:t>
      </w:r>
      <w:r>
        <w:rPr>
          <w:b/>
        </w:rPr>
        <w:t>Institutions de Prévoyance Maladie (IPM)</w:t>
      </w:r>
      <w:r>
        <w:t xml:space="preserve">, régies par la loi n° 75-50 du 3 avril 1975 et ses décrets d'application. Ces structures paritaires, financées conjointement par les cotisations des employeurs et des salariés, ont pour mission fondamentale de solvabiliser les dépenses médicales des travailleurs et de leurs ayants droit (conjoints et enfants) à travers le mécanisme du </w:t>
      </w:r>
      <w:r>
        <w:rPr>
          <w:b/>
        </w:rPr>
        <w:t>tiers payant</w:t>
      </w:r>
      <w:r>
        <w:t>.</w:t>
      </w:r>
    </w:p>
    <w:p>
      <w:r>
        <w:t>Le tiers payant constitue une avancée sociale majeure : il permet à l'assuré souffrant de consulter un médecin, de subir des examens de biologie médicale ou de retirer des médicaments d'urgence en pharmacie sans avoir à avancer la totalité des frais médicaux. L'assuré ne s'acquitte immédiatement que de sa « quote-part » (souvent comprise entre 10 % et 30 % selon le plan d'assurance), tandis que l'établissement de santé conventionné (hôpital, clinique, officine pharmaceutique) se fait rembourser directement la part restante par l'IPM ou la mutuelle émettrice.</w:t>
      </w:r>
    </w:p>
    <w:p>
      <w:r>
        <w:t xml:space="preserve">Cependant, alors que les technologies numériques (téléphonie mobile, Internet haut débit, monnaie électronique avec Wave et Orange Money) ont profondément transformé le quotidien des citoyens sénégalais et le commerce local, la gestion quotidienne du tiers payant est restée, dans son écrasante majorité, </w:t>
      </w:r>
      <w:r>
        <w:rPr>
          <w:b/>
        </w:rPr>
        <w:t>ancrée dans des processus archaïques sur support papier</w:t>
      </w:r>
      <w:r>
        <w:t>. Entre le bon de prise en charge physique délivré au siège de l'entreprise, le carnet de santé cartonné de l'assuré, l'ordonnance manuscrite du praticien et la facture pro-forma envoyée en fin de mois pour paiement par chèque bancaire, la chaîne de transmission médicale souffre d'une rupture technologique critique.</w:t>
      </w:r>
    </w:p>
    <w:p>
      <w:r>
        <w:t>C'est dans ce contexte socio-économique et technique que s'inscrit le présent projet de fin d'études mené au sein de l'</w:t>
      </w:r>
      <w:r>
        <w:rPr>
          <w:b/>
        </w:rPr>
        <w:t>Institut Supérieur d'Enseignement Professionnel (ISEP) Amadou Traware de Diamniadio</w:t>
      </w:r>
      <w:r>
        <w:t xml:space="preserve">, dans le département Technologies de l'Information et de la Communication (TIC), spécialité Analyste Programmeur Développeur (APD). Le projet </w:t>
      </w:r>
      <w:r>
        <w:rPr>
          <w:b/>
        </w:rPr>
        <w:t>SantéSN</w:t>
      </w:r>
      <w:r>
        <w:t xml:space="preserve"> propose une refonte numérique complète, souveraine et inclusive de la relation tripartite Assuré – Prestataire de Santé – Organisme Gestionnaire.</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2. Problématique</w:t>
      </w:r>
    </w:p>
    <w:p>
      <w:r>
        <w:t>L'observation minutieuse des pratiques courantes dans les IPM et structures sanitaires de la région de Dakar et de l'intérieur du pays met en exergue des dysfonctionnements structurels qui compromettent la viabilité économique des régimes d'assurance et la qualité de la prise en charge des patients :</w:t>
      </w:r>
    </w:p>
    <w:p>
      <w:r>
        <w:t xml:space="preserve">1. </w:t>
      </w:r>
      <w:r>
        <w:rPr>
          <w:b/>
        </w:rPr>
        <w:t>La prolifération de la fraude et de l'usurpation d'identité :</w:t>
      </w:r>
      <w:r/>
    </w:p>
    <w:p>
      <w:r>
        <w:t>Les cartes d'assurés physiques (simples cartons plastifiés avec photo agrafée) ne disposent d'aucun mécanisme cryptographique d'authentification. Il est fréquent qu'un travailleur prête sa carte à un membre de sa famille élargie ou à un voisin non ayant droit. De même, la circulation de fausses ordonnances, d'ordonnances dupliquées ou de tampons médicaux falsifiés cause un préjudice financier chiffré à plusieurs centaines de millions de FCFA par an pour les IPM sénégalaises.</w:t>
      </w:r>
    </w:p>
    <w:p>
      <w:r>
        <w:t xml:space="preserve">2. </w:t>
      </w:r>
      <w:r>
        <w:rPr>
          <w:b/>
        </w:rPr>
        <w:t>La double délivrance et le manque de traçabilité en pharmacie :</w:t>
      </w:r>
      <w:r/>
    </w:p>
    <w:p>
      <w:r>
        <w:t>Dans le schéma classique, une ordonnance papier délivrée pour un mois de traitement peut être photocopiée ou présentée successivement dans deux pharmacies différentes conventionnées avec la même IPM avant que les factures de fin de mois n'atteignent le gestionnaire. Lorsque l'IPM découvre l'anomalie 60 jours plus tard, les médicaments ont déjà été consommés et le litige financier s'avère insoluble.</w:t>
      </w:r>
    </w:p>
    <w:p>
      <w:r>
        <w:t xml:space="preserve">3. </w:t>
      </w:r>
      <w:r>
        <w:rPr>
          <w:b/>
        </w:rPr>
        <w:t>La complexité et la lenteur des circuits d'approbation :</w:t>
      </w:r>
      <w:r/>
    </w:p>
    <w:p>
      <w:r>
        <w:t>Pour les actes médicaux spécialisés, les hospitalisations ou les scanners, le patient ou son parent doit physiquement se déplacer au siège de l'IPM pour faire viser un « bon de prise en charge » par le médecin-conseil. En cas d'urgence la nuit ou durant les week-ends, ce goulet d'étranglement bureaucratique retarde des soins critiques.</w:t>
      </w:r>
    </w:p>
    <w:p>
      <w:r>
        <w:t xml:space="preserve">4. </w:t>
      </w:r>
      <w:r>
        <w:rPr>
          <w:b/>
        </w:rPr>
        <w:t>Le dépassement incontrôlé des plafonds annuels de couverture :</w:t>
      </w:r>
      <w:r/>
    </w:p>
    <w:p>
      <w:r>
        <w:t>Les IPM fixent contractuellement un plafond annuel maximal de remboursement par famille (par exemple 1 500 000 FCFA par an). Faute d'un système informatique centralisé en temps réel, un assuré peut atteindre son plafond dès le mois de juin et continuer à bénéficier indûment du tiers payant jusqu'en décembre sans que les pharmaciens ou médecins ne soient alertés.</w:t>
      </w:r>
    </w:p>
    <w:p>
      <w:r>
        <w:t xml:space="preserve">5. </w:t>
      </w:r>
      <w:r>
        <w:rPr>
          <w:b/>
        </w:rPr>
        <w:t>Les délais de paiement exorbitants pour les prestataires :</w:t>
      </w:r>
      <w:r/>
    </w:p>
    <w:p>
      <w:r>
        <w:t>Les officines et cliniques doivent constituer manuellement des liasses volumineuses de bordereaux physiques, trier les bons par IPM, les déposer physiquement et attendre entre trois et six mois le règlement des factures, provoquant de sévères tensions de trésorerie pour les officines de santé.</w:t>
      </w:r>
    </w:p>
    <w:p>
      <w:r>
        <w:t>Face à ce constat alarmant, la question centrale qui guide notre démarche de recherche et de développement est la suivante :</w:t>
      </w:r>
    </w:p>
    <w:p>
      <w:pPr>
        <w:spacing w:before="80" w:after="80"/>
        <w:ind w:left="576"/>
      </w:pPr>
      <w:r>
        <w:rPr>
          <w:i/>
          <w:color w:val="4B5563"/>
        </w:rPr>
        <w:t>« Comment concevoir et déployer une plateforme logicielle intégrée, hautement disponible et sécurisée, capable d'automatiser en temps réel le tiers payant médical, d'éradiquer la fraude documentaire et d'assurer une traçabilité totale entre assurés, soignants et gestionnaires d'IPM au Sénégal, tout en respectant les contraintes strictes de confidentialité des données de santé et les spécificités de connectivité locale ? »</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3. Objectif général et objectifs spécifiques</w:t>
      </w:r>
    </w:p>
    <w:p>
      <w:pPr>
        <w:keepNext/>
        <w:spacing w:before="200" w:after="80"/>
      </w:pPr>
      <w:r>
        <w:rPr>
          <w:rFonts w:ascii="Calibri" w:hAnsi="Calibri"/>
          <w:b/>
          <w:color w:val="111827"/>
          <w:sz w:val="25"/>
        </w:rPr>
        <w:t>3.1. Objectif général</w:t>
      </w:r>
    </w:p>
    <w:p>
      <w:r>
        <w:t xml:space="preserve">L'objectif fondamental de ce projet de fin de formation consiste à concevoir, modéliser, réaliser et valider une solution numérique complète baptisée </w:t>
      </w:r>
      <w:r>
        <w:rPr>
          <w:b/>
        </w:rPr>
        <w:t>SantéSN</w:t>
      </w:r>
      <w:r>
        <w:t>. Cette plateforme web et mobile (PWA) vise à dématérialiser intégralement les processus d'affiliation, de consultation médicale, d'émission d'ordonnances sécurisées, de délivrance officinale et de liquidation comptable au sein des organismes d'assurance maladie du Sénégal.</w:t>
      </w:r>
    </w:p>
    <w:p>
      <w:pPr>
        <w:keepNext/>
        <w:spacing w:before="200" w:after="80"/>
      </w:pPr>
      <w:r>
        <w:rPr>
          <w:rFonts w:ascii="Calibri" w:hAnsi="Calibri"/>
          <w:b/>
          <w:color w:val="111827"/>
          <w:sz w:val="25"/>
        </w:rPr>
        <w:t>3.2. Objectifs spécifiques</w:t>
      </w:r>
    </w:p>
    <w:p>
      <w:r>
        <w:t>Pour atteindre cet objectif général, le projet se décline en plusieurs objectifs opérationnels précis :</w:t>
      </w:r>
    </w:p>
    <w:p>
      <w:r>
        <w:t xml:space="preserve">1. </w:t>
      </w:r>
      <w:r>
        <w:rPr>
          <w:b/>
        </w:rPr>
        <w:t>Dématérialiser l'identification de l'assuré :</w:t>
      </w:r>
      <w:r>
        <w:t xml:space="preserve"> Concevoir une carte d'assuré numérique au format international ISO 7810 ID-1, intégrant une puce virtuelle et un </w:t>
      </w:r>
      <w:r>
        <w:rPr>
          <w:b/>
        </w:rPr>
        <w:t>QR Code dynamique vectoriel</w:t>
      </w:r>
      <w:r>
        <w:t xml:space="preserve"> infalsifiable permettant l'authentification instantanée du patient et de ses ayants droit.</w:t>
      </w:r>
    </w:p>
    <w:p>
      <w:r>
        <w:t xml:space="preserve">2. </w:t>
      </w:r>
      <w:r>
        <w:rPr>
          <w:b/>
        </w:rPr>
        <w:t>Sécuriser la prescription et interdire la fraude d'ordonnance :</w:t>
      </w:r>
      <w:r>
        <w:t xml:space="preserve"> Mettre en place un module de consultation médicale permettant au médecin traitant d'émettre des ordonnances électroniques munies d'un </w:t>
      </w:r>
      <w:r>
        <w:rPr>
          <w:b/>
        </w:rPr>
        <w:t>tampon officiel numérique et d'un sceau d'intégrité cryptographique HMAC-SHA256</w:t>
      </w:r>
      <w:r>
        <w:t>.</w:t>
      </w:r>
    </w:p>
    <w:p>
      <w:r>
        <w:t xml:space="preserve">3. </w:t>
      </w:r>
      <w:r>
        <w:rPr>
          <w:b/>
        </w:rPr>
        <w:t>Automatiser le contrôle de délivrance en pharmacie :</w:t>
      </w:r>
      <w:r>
        <w:t xml:space="preserve"> Développer un scanner optique par caméra directement intégré au navigateur pour lire le QR Code de l'ordonnance, vérifier son authenticité en direct et réaliser une </w:t>
      </w:r>
      <w:r>
        <w:rPr>
          <w:b/>
        </w:rPr>
        <w:t>validation transactionnelle atomique (ACID)</w:t>
      </w:r>
      <w:r>
        <w:t xml:space="preserve"> empêchant toute double délivrance sur le territoire national.</w:t>
      </w:r>
    </w:p>
    <w:p>
      <w:r>
        <w:t xml:space="preserve">4. </w:t>
      </w:r>
      <w:r>
        <w:rPr>
          <w:b/>
        </w:rPr>
        <w:t>Calculer dynamiquement le tiers payant et le reste à charge :</w:t>
      </w:r>
      <w:r>
        <w:t xml:space="preserve"> Implémenter un moteur de tarification calculant en temps réel la quote-part de l'assuré et la part prise en charge par l'IPM, avec gestion automatique de </w:t>
      </w:r>
      <w:r>
        <w:rPr>
          <w:b/>
        </w:rPr>
        <w:t>l'écrêtement budgétaire</w:t>
      </w:r>
      <w:r>
        <w:t xml:space="preserve"> dès lors que le plafond annuel familial est approché ou dépassé.</w:t>
      </w:r>
    </w:p>
    <w:p>
      <w:r>
        <w:t xml:space="preserve">5. </w:t>
      </w:r>
      <w:r>
        <w:rPr>
          <w:b/>
        </w:rPr>
        <w:t>Fluidifier les remboursements hors réseau :</w:t>
      </w:r>
      <w:r>
        <w:t xml:space="preserve"> Développer un portail libre-service permettant aux assurés de soumettre leurs reçus numérisés lorsqu'ils consultent une structure non conventionnée, et aux gestionnaires d'instruire ces dossiers et d'émettre des règlements instantanés (par virement bancaire ou mobile money Wave/Orange Money).</w:t>
      </w:r>
    </w:p>
    <w:p>
      <w:r>
        <w:t xml:space="preserve">6. </w:t>
      </w:r>
      <w:r>
        <w:rPr>
          <w:b/>
        </w:rPr>
        <w:t>Cartographier le réseau sanitaire sénégalais :</w:t>
      </w:r>
      <w:r>
        <w:t xml:space="preserve"> Intégrer un système d'information géographique (SIG / Leaflet) interactif permettant à l'assuré de repérer les cliniques, hôpitaux et pharmacies conventionnés les plus proches de sa position avec guidage routier.</w:t>
      </w:r>
    </w:p>
    <w:p>
      <w:r>
        <w:t xml:space="preserve">7. </w:t>
      </w:r>
      <w:r>
        <w:rPr>
          <w:b/>
        </w:rPr>
        <w:t>Assurer la conformité légale et la résilience hors-ligne :</w:t>
      </w:r>
      <w:r>
        <w:t xml:space="preserve"> Garantir une conformité exemplaire avec les exigences de la </w:t>
      </w:r>
      <w:r>
        <w:rPr>
          <w:b/>
        </w:rPr>
        <w:t>Loi sénégalaise n° 2008-12 sur la protection des données personnelles (CDP)</w:t>
      </w:r>
      <w:r>
        <w:t xml:space="preserve"> et implémenter un cache applicatif PWA (Service Worker) permettant aux assurés de présenter leur carte même en cas de panne de connexion Internet.</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4. Méthodologie adoptée</w:t>
      </w:r>
    </w:p>
    <w:p>
      <w:r>
        <w:t xml:space="preserve">Pour mener à bien ce projet d'envergure dans les délais impartis, nous avons adopté une </w:t>
      </w:r>
      <w:r>
        <w:rPr>
          <w:b/>
        </w:rPr>
        <w:t>démarche Agile inspirée du cadre Scrum</w:t>
      </w:r>
      <w:r>
        <w:t xml:space="preserve">, combinée aux standards de modélisation du </w:t>
      </w:r>
      <w:r>
        <w:rPr>
          <w:b/>
        </w:rPr>
        <w:t>Génie Logiciel (UML)</w:t>
      </w:r>
      <w:r>
        <w:t xml:space="preserve"> :</w:t>
      </w:r>
    </w:p>
    <w:p>
      <w:pPr>
        <w:pStyle w:val="ListBullet"/>
        <w:spacing w:before="20" w:after="40"/>
      </w:pPr>
      <w:r/>
      <w:r>
        <w:rPr>
          <w:b/>
        </w:rPr>
        <w:t>Phase de cadrage et immersion terrain :</w:t>
      </w:r>
      <w:r>
        <w:t xml:space="preserve"> Collecte des besoins réels auprès d'IPM sénégalaises, analyse documentaire des grilles de cotation d'actes et identification des cas d'usage nominaux et d'exception.</w:t>
      </w:r>
    </w:p>
    <w:p>
      <w:pPr>
        <w:pStyle w:val="ListBullet"/>
        <w:spacing w:before="20" w:after="40"/>
      </w:pPr>
      <w:r/>
      <w:r>
        <w:rPr>
          <w:b/>
        </w:rPr>
        <w:t>Phase d'analyse et modélisation formelle :</w:t>
      </w:r>
      <w:r>
        <w:t xml:space="preserve"> Élaboration des diagrammes de cas d'utilisation, des diagrammes d'activités, des diagrammes de séquence et du Modèle Conceptuel de Données (MCD) à l'aide d'UML.</w:t>
      </w:r>
    </w:p>
    <w:p>
      <w:pPr>
        <w:pStyle w:val="ListBullet"/>
        <w:spacing w:before="20" w:after="40"/>
      </w:pPr>
      <w:r/>
      <w:r>
        <w:rPr>
          <w:b/>
        </w:rPr>
        <w:t>Phase de développement itératif par sprints :</w:t>
      </w:r>
      <w:r/>
    </w:p>
    <w:p>
      <w:pPr>
        <w:pStyle w:val="ListBullet"/>
        <w:spacing w:before="20" w:after="40"/>
      </w:pPr>
      <w:r>
        <w:t>*Sprint 1 :* Socle architectural, gestion multi-organismes hermétique (Multi-Tenant) et système d'authentification RBAC (5 rôles).</w:t>
      </w:r>
    </w:p>
    <w:p>
      <w:pPr>
        <w:pStyle w:val="ListBullet"/>
        <w:spacing w:before="20" w:after="40"/>
      </w:pPr>
      <w:r>
        <w:t>*Sprint 2 :* Gestion des assurés, cartes dématérialisées ISO 7810, ayants droit et algorithmes de plafonnement.</w:t>
      </w:r>
    </w:p>
    <w:p>
      <w:pPr>
        <w:pStyle w:val="ListBullet"/>
        <w:spacing w:before="20" w:after="40"/>
      </w:pPr>
      <w:r>
        <w:t>*Sprint 3 :* Espace médical, dossier patient, prescriptions et génération PDF certifiée avec sceau HMAC.</w:t>
      </w:r>
    </w:p>
    <w:p>
      <w:pPr>
        <w:pStyle w:val="ListBullet"/>
        <w:spacing w:before="20" w:after="40"/>
      </w:pPr>
      <w:r>
        <w:t>*Sprint 4 :* Espace pharmacien, scanner optique caméra `jsQR`, délivrance atomique et calcul du tiers payant.</w:t>
      </w:r>
    </w:p>
    <w:p>
      <w:pPr>
        <w:pStyle w:val="ListBullet"/>
        <w:spacing w:before="20" w:after="40"/>
      </w:pPr>
      <w:r>
        <w:t>*Sprint 5 :* Conventions tarifaires, géolocalisation Leaflet, télétransmission des bordereaux et remboursements hors réseau.</w:t>
      </w:r>
    </w:p>
    <w:p>
      <w:pPr>
        <w:pStyle w:val="ListBullet"/>
        <w:spacing w:before="20" w:after="40"/>
      </w:pPr>
      <w:r>
        <w:t>*Sprint 6 :* Mode hors-ligne PWA, durcissement de la sécurité, tests automatisés exhaustifs et déploiement continu Cloud (CI/CD).</w:t>
      </w:r>
    </w:p>
    <w:p>
      <w:pPr>
        <w:pStyle w:val="ListBullet"/>
        <w:spacing w:before="20" w:after="40"/>
      </w:pPr>
      <w:r/>
      <w:r>
        <w:rPr>
          <w:b/>
        </w:rPr>
        <w:t>Phase de validation et d'assurance qualité :</w:t>
      </w:r>
      <w:r>
        <w:t xml:space="preserve"> Conception et exécution d'un banc de </w:t>
      </w:r>
      <w:r>
        <w:rPr>
          <w:b/>
        </w:rPr>
        <w:t>196 tests automatisés</w:t>
      </w:r>
      <w:r>
        <w:t xml:space="preserve"> (tests unitaires, tests de non-régression, tests de permissions transversales IDOR et tests d'intégrité de bout en bout).</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5. Annonce du plan</w:t>
      </w:r>
    </w:p>
    <w:p>
      <w:r>
        <w:t>Le présent rapport s'articule autour de quatre chapitres complémentaires :</w:t>
      </w:r>
    </w:p>
    <w:p>
      <w:pPr>
        <w:pStyle w:val="ListBullet"/>
        <w:spacing w:before="20" w:after="40"/>
      </w:pPr>
      <w:r/>
      <w:r>
        <w:rPr>
          <w:b/>
        </w:rPr>
        <w:t>Le Chapitre 1 (Présentation du cadre du projet)</w:t>
      </w:r>
      <w:r>
        <w:t xml:space="preserve"> expose l'environnement institutionnel de l'ISEP de Diamniadio, la genèse de l'initiative SantéSN, le périmètre d'action ainsi que la structure organisationnelle de l'équipe de développement.</w:t>
      </w:r>
    </w:p>
    <w:p>
      <w:pPr>
        <w:pStyle w:val="ListBullet"/>
        <w:spacing w:before="20" w:after="40"/>
      </w:pPr>
      <w:r/>
      <w:r>
        <w:rPr>
          <w:b/>
        </w:rPr>
        <w:t>Le Chapitre 2 (Analyse de l’existant et cadrage)</w:t>
      </w:r>
      <w:r>
        <w:t xml:space="preserve"> dresse un état des lieux critique des processus traditionnels de prise en charge au Sénégal, explicite le cahier des charges fonctionnel et technique, étudie les solutions alternatives et présente la planification détaillée du projet.</w:t>
      </w:r>
    </w:p>
    <w:p>
      <w:pPr>
        <w:pStyle w:val="ListBullet"/>
        <w:spacing w:before="20" w:after="40"/>
      </w:pPr>
      <w:r/>
      <w:r>
        <w:rPr>
          <w:b/>
        </w:rPr>
        <w:t>Le Chapitre 3 (Conception de la solution)</w:t>
      </w:r>
      <w:r>
        <w:t xml:space="preserve"> détaille les choix architecturaux (patron MVT, API REST, base de données relationnelle), présente la modélisation UML détaillée (cas d'utilisation, séquences transactionnelles, diagramme de classes) et justifie la pile technologique retenue.</w:t>
      </w:r>
    </w:p>
    <w:p>
      <w:pPr>
        <w:pStyle w:val="ListBullet"/>
        <w:spacing w:before="20" w:after="40"/>
      </w:pPr>
      <w:r/>
      <w:r>
        <w:rPr>
          <w:b/>
        </w:rPr>
        <w:t>Le Chapitre 4 (Réalisation, tests et résultats)</w:t>
      </w:r>
      <w:r>
        <w:t xml:space="preserve"> illustre concrètement la mise en œuvre de la plateforme à travers ses interfaces utilisateurs majeures, expose les résultats de la stratégie de tests automatisés, évalue les coûts d'exploitation et analyse les défis techniques rencontrés ainsi que les solutions apportées.</w:t>
      </w:r>
    </w:p>
    <w:p>
      <w:r>
        <w:t xml:space="preserve">Une </w:t>
      </w:r>
      <w:r>
        <w:rPr>
          <w:b/>
        </w:rPr>
        <w:t>conclusion générale</w:t>
      </w:r>
      <w:r>
        <w:t xml:space="preserve"> fera le bilan des résultats obtenus au regard des objectifs initiaux et dégagera les perspectives futures d'extension du système à l'échelle de la Couverture Maladie Universelle (CMU) du Sénégal.</w:t>
      </w:r>
    </w:p>
    <w:p>
      <w:r>
        <w:br w:type="page"/>
      </w:r>
    </w:p>
    <w:p>
      <w:pPr>
        <w:keepNext/>
        <w:spacing w:before="280" w:after="160"/>
      </w:pPr>
      <w:r>
        <w:rPr>
          <w:rFonts w:ascii="Calibri" w:hAnsi="Calibri"/>
          <w:b/>
          <w:color w:val="0E7C86"/>
          <w:sz w:val="38"/>
        </w:rPr>
        <w:t>CHAPITRE 1 : PRÉSENTATION DU CADRE DU PROJET</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1.1. Présentation de la structure d’accueil ou du commanditaire</w:t>
      </w:r>
    </w:p>
    <w:p>
      <w:pPr>
        <w:keepNext/>
        <w:spacing w:before="200" w:after="80"/>
      </w:pPr>
      <w:r>
        <w:rPr>
          <w:rFonts w:ascii="Calibri" w:hAnsi="Calibri"/>
          <w:b/>
          <w:color w:val="111827"/>
          <w:sz w:val="25"/>
        </w:rPr>
        <w:t>1.1.1. L'Institut Supérieur d'Enseignement Professionnel (ISEP) de Diamniadio</w:t>
      </w:r>
    </w:p>
    <w:p>
      <w:r>
        <w:t>Créé dans le cadre de la mise en œuvre de la concertation nationale sur l'avenir de l'enseignement supérieur (CNAES) et de la loi n° 2015-05 du 23 avril 2015, l'</w:t>
      </w:r>
      <w:r>
        <w:rPr>
          <w:b/>
        </w:rPr>
        <w:t>Institut Supérieur d'Enseignement Professionnel (ISEP) Amadou Traware de Diamniadio</w:t>
      </w:r>
      <w:r>
        <w:t xml:space="preserve"> est un établissement public d'enseignement supérieur professionnel à vocation professionnalisante. Situé au cœur du pôle urbain émergent de Diamniadio, carrefour stratégique d'innovation industrielle et technologique du Sénégal, l'ISEP a pour mission fondamentale de former des techniciens supérieurs hautement qualifiés et immédiatement opérationnels, capables de répondre avec acuité aux exigences du marché de l'emploi et aux enjeux de développement socio-économique national.</w:t>
      </w:r>
    </w:p>
    <w:p>
      <w:r>
        <w:t xml:space="preserve">L'institut propose des formations professionnelles diplômantes sanctionnées par le </w:t>
      </w:r>
      <w:r>
        <w:rPr>
          <w:b/>
        </w:rPr>
        <w:t>Diplôme de l'Institut Supérieur d'Enseignement Professionnel (DISEP)</w:t>
      </w:r>
      <w:r>
        <w:t>, d'un niveau équivalent au Baccalauréat plus deux années d'études supérieures spécialisées (Bac+2 / Niveau 3 du cadre national des certifications).</w:t>
      </w:r>
    </w:p>
    <w:p>
      <w:pPr>
        <w:keepNext/>
        <w:spacing w:before="200" w:after="80"/>
      </w:pPr>
      <w:r>
        <w:rPr>
          <w:rFonts w:ascii="Calibri" w:hAnsi="Calibri"/>
          <w:b/>
          <w:color w:val="111827"/>
          <w:sz w:val="25"/>
        </w:rPr>
        <w:t>1.1.2. Le Département TIC et la filière Analyste Programmeur Développeur (APD)</w:t>
      </w:r>
    </w:p>
    <w:p>
      <w:r>
        <w:t xml:space="preserve">Au sein de l'ISEP Diamniadio, le département </w:t>
      </w:r>
      <w:r>
        <w:rPr>
          <w:b/>
        </w:rPr>
        <w:t>Technologies de l'Information et de la Communication (TIC)</w:t>
      </w:r>
      <w:r>
        <w:t xml:space="preserve"> occupe une place centrale. Il forme les futurs acteurs de la souveraineté numérique sénégalaise à travers des programmes axés sur la pratique intensive, les ateliers de codage en situation réelle et l'approche par compétences (APC).</w:t>
      </w:r>
    </w:p>
    <w:p>
      <w:r>
        <w:t xml:space="preserve">La filière </w:t>
      </w:r>
      <w:r>
        <w:rPr>
          <w:b/>
        </w:rPr>
        <w:t>Analyste Programmeur Développeur (APD)</w:t>
      </w:r>
      <w:r>
        <w:t xml:space="preserve"> forme des professionnels de l'ingénierie logicielle capables de :</w:t>
      </w:r>
    </w:p>
    <w:p>
      <w:pPr>
        <w:pStyle w:val="ListBullet"/>
        <w:spacing w:before="20" w:after="40"/>
      </w:pPr>
      <w:r>
        <w:t>Analyser rigoureusement les besoins fonctionnels et métiers d'organisations complexes ;</w:t>
      </w:r>
    </w:p>
    <w:p>
      <w:pPr>
        <w:pStyle w:val="ListBullet"/>
        <w:spacing w:before="20" w:after="40"/>
      </w:pPr>
      <w:r>
        <w:t>Concevoir des architectures logicielles pérennes, modulaires et évolutives selon les standards du génie logiciel ;</w:t>
      </w:r>
    </w:p>
    <w:p>
      <w:pPr>
        <w:pStyle w:val="ListBullet"/>
        <w:spacing w:before="20" w:after="40"/>
      </w:pPr>
      <w:r>
        <w:t>Modéliser des bases de données relationnelles conformes aux formes normales et en assurer l'optimisation ;</w:t>
      </w:r>
    </w:p>
    <w:p>
      <w:pPr>
        <w:pStyle w:val="ListBullet"/>
        <w:spacing w:before="20" w:after="40"/>
      </w:pPr>
      <w:r>
        <w:t>Maîtriser les paradigmes modernes de programmation web, mobile et backend (Python, JavaScript, bases de données SQL, cadriciels modernes) ;</w:t>
      </w:r>
    </w:p>
    <w:p>
      <w:pPr>
        <w:pStyle w:val="ListBullet"/>
        <w:spacing w:before="20" w:after="40"/>
      </w:pPr>
      <w:r>
        <w:t>Intégrer les exigences de cybersécurité dès la conception (*Security by Design*) et respecter les réglementations nationales sur les données numériques.</w:t>
      </w:r>
    </w:p>
    <w:p>
      <w:r>
        <w:t xml:space="preserve">Le </w:t>
      </w:r>
      <w:r>
        <w:rPr>
          <w:b/>
        </w:rPr>
        <w:t>Projet de Fin de Formation (PFF)</w:t>
      </w:r>
      <w:r>
        <w:t xml:space="preserve"> représente l'aboutissement de ce cursus d'excellence. Il met les apprenants en situation d'ingénieurs juniors chargés de résoudre une problématique sociétale ou industrielle réelle en livrant une solution logicielle testée, documentée et prête à être mise en exploitation.</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1.2. Présentation du projet : origine, bénéficiaires, périmètre</w:t>
      </w:r>
    </w:p>
    <w:p>
      <w:pPr>
        <w:keepNext/>
        <w:spacing w:before="200" w:after="80"/>
      </w:pPr>
      <w:r>
        <w:rPr>
          <w:rFonts w:ascii="Calibri" w:hAnsi="Calibri"/>
          <w:b/>
          <w:color w:val="111827"/>
          <w:sz w:val="25"/>
        </w:rPr>
        <w:t>1.2.1. Origine et genèse de SantéSN</w:t>
      </w:r>
    </w:p>
    <w:p>
      <w:r>
        <w:t xml:space="preserve">L'initiative </w:t>
      </w:r>
      <w:r>
        <w:rPr>
          <w:b/>
        </w:rPr>
        <w:t>SantéSN</w:t>
      </w:r>
      <w:r>
        <w:t xml:space="preserve"> est née d'un constat empirique partagé lors de nos interactions avec le secteur de la santé au Sénégal. De nombreuses familles de travailleurs affiliés à des Institutions de Prévoyance Maladie (IPM d'entreprises, IPM corporatistes comme celle de la Sonatel, de la Senelec, de la CSS ou de banques de la place) se heurtent quotidiennement à des blocages administratifs lors de leurs parcours de soins.</w:t>
      </w:r>
    </w:p>
    <w:p>
      <w:r>
        <w:t>En 2024, alors que le Sénégal accélère son programme de transformation numérique « Sénégal Digital 2025 » et que le Ministère de la Santé et de l'Action Sociale promeut l'informatisation des structures sanitaires, la couverture maladie d'entreprise demeure enclavée dans un modèle papier :</w:t>
      </w:r>
    </w:p>
    <w:p>
      <w:pPr>
        <w:pStyle w:val="ListBullet"/>
        <w:spacing w:before="20" w:after="40"/>
      </w:pPr>
      <w:r>
        <w:t>Les bons de consultation doivent être retirés aux heures d'ouverture des bureaux administratifs, pénalisant les urgences nocturnes ;</w:t>
      </w:r>
    </w:p>
    <w:p>
      <w:pPr>
        <w:pStyle w:val="ListBullet"/>
        <w:spacing w:before="20" w:after="40"/>
      </w:pPr>
      <w:r>
        <w:t>Les ordonnances papier sont sujettes à des pertes, des ratures, ou des contrefaçons ;</w:t>
      </w:r>
    </w:p>
    <w:p>
      <w:pPr>
        <w:pStyle w:val="ListBullet"/>
        <w:spacing w:before="20" w:after="40"/>
      </w:pPr>
      <w:r>
        <w:t>Les pharmaciens et cliniciens expriment leur exaspération face aux rejets de factures tardifs lors des liquidations comptables trimestrielles des IPM.</w:t>
      </w:r>
    </w:p>
    <w:p>
      <w:r>
        <w:t xml:space="preserve">Face à cette rupture d'efficacité, l'idée de SantéSN a émergé comme un projet fédérateur : </w:t>
      </w:r>
      <w:r>
        <w:rPr>
          <w:b/>
        </w:rPr>
        <w:t>bâtir une plateforme unifiée capable d'offrir une expérience numérique de niveau bancaire à la santé publique sénégalaise</w:t>
      </w:r>
      <w:r>
        <w:t>.</w:t>
      </w:r>
    </w:p>
    <w:p>
      <w:pPr>
        <w:keepNext/>
        <w:spacing w:before="200" w:after="80"/>
      </w:pPr>
      <w:r>
        <w:rPr>
          <w:rFonts w:ascii="Calibri" w:hAnsi="Calibri"/>
          <w:b/>
          <w:color w:val="111827"/>
          <w:sz w:val="25"/>
        </w:rPr>
        <w:t>1.2.2. Bénéficiaires du projet</w:t>
      </w:r>
    </w:p>
    <w:p>
      <w:r>
        <w:t>Le projet SantéSN répond aux besoins de quatre grandes catégories de bénéficiaires :</w:t>
      </w:r>
    </w:p>
    <w:p>
      <w:r>
        <w:t xml:space="preserve">1. </w:t>
      </w:r>
      <w:r>
        <w:rPr>
          <w:b/>
        </w:rPr>
        <w:t>Les Assurés et leurs Ayants Droit (Patients) :</w:t>
      </w:r>
      <w:r/>
    </w:p>
    <w:p>
      <w:pPr>
        <w:pStyle w:val="ListBullet"/>
        <w:spacing w:before="20" w:after="40"/>
      </w:pPr>
      <w:r>
        <w:t>*Bénéfice :* Suppression des déplacements physiques pour obtenir un bon de prise en charge ; accès instantané à une carte dématérialisée avec QR Code sur smartphone ; transparence totale sur la consommation du plafond annuel de la famille ; notification instantanée de chaque acte médical par SMS / WhatsApp.</w:t>
      </w:r>
    </w:p>
    <w:p>
      <w:r>
        <w:t xml:space="preserve">2. </w:t>
      </w:r>
      <w:r>
        <w:rPr>
          <w:b/>
        </w:rPr>
        <w:t>Les Prestataires de Santé (Médecins, Pharmaciens, Cliniques, Hôpitaux) :</w:t>
      </w:r>
      <w:r/>
    </w:p>
    <w:p>
      <w:pPr>
        <w:pStyle w:val="ListBullet"/>
        <w:spacing w:before="20" w:after="40"/>
      </w:pPr>
      <w:r>
        <w:t>*Bénéfice :* Garantie immédiate de solvabilité de l'assuré avant administration des soins ; éradication des contestations de factures ; télétransmission instantanée des feuilles de soins électroniques ; raccourcissement drastique des délais de règlement financier.</w:t>
      </w:r>
    </w:p>
    <w:p>
      <w:r>
        <w:t xml:space="preserve">3. </w:t>
      </w:r>
      <w:r>
        <w:rPr>
          <w:b/>
        </w:rPr>
        <w:t>Les Institutions de Prévoyance Maladie (IPM) et Mutuelles de Santé :</w:t>
      </w:r>
      <w:r/>
    </w:p>
    <w:p>
      <w:pPr>
        <w:pStyle w:val="ListBullet"/>
        <w:spacing w:before="20" w:after="40"/>
      </w:pPr>
      <w:r>
        <w:t>*Bénéfice :* Suppression intégrale des coûts d'impression des carnets papier et formulaires autocopiants ; détection proactive de la fraude en amont ; contrôle en temps réel des engagements budgétaires ; automatisation de la liquidation et des statistiques épidémiologiques.</w:t>
      </w:r>
    </w:p>
    <w:p>
      <w:r>
        <w:t xml:space="preserve">4. </w:t>
      </w:r>
      <w:r>
        <w:rPr>
          <w:b/>
        </w:rPr>
        <w:t>L'État et les Autorités Sanitaires (SEN-CSU, Ministère de la Santé) :</w:t>
      </w:r>
      <w:r/>
    </w:p>
    <w:p>
      <w:pPr>
        <w:pStyle w:val="ListBullet"/>
        <w:spacing w:before="20" w:after="40"/>
      </w:pPr>
      <w:r>
        <w:t>*Bénéfice :* Disponibilité d'un modèle d'interopérabilité souverain réplicable pour la Couverture Sanitaire Universelle ; collecte de données fiables pour le pilotage sanitaire national.</w:t>
      </w:r>
    </w:p>
    <w:p>
      <w:pPr>
        <w:keepNext/>
        <w:spacing w:before="200" w:after="80"/>
      </w:pPr>
      <w:r>
        <w:rPr>
          <w:rFonts w:ascii="Calibri" w:hAnsi="Calibri"/>
          <w:b/>
          <w:color w:val="111827"/>
          <w:sz w:val="25"/>
        </w:rPr>
        <w:t>1.2.3. Périmètre fonctionnel et limites du système</w:t>
      </w:r>
    </w:p>
    <w:p>
      <w:r>
        <w:t>Afin de préserver la faisabilité technique et la haute qualité de finition dans le calendrier imparti pour le PFF, le périmètre a été scrupuleusement circonscrit :</w:t>
      </w:r>
    </w:p>
    <w:p>
      <w:pPr>
        <w:spacing w:before="80" w:after="120"/>
        <w:ind w:left="288" w:right="288"/>
      </w:pPr>
      <w:r>
        <w:rPr>
          <w:rFonts w:ascii="Consolas" w:hAnsi="Consolas"/>
          <w:color w:val="27272A"/>
          <w:sz w:val="19"/>
        </w:rPr>
        <w:t xml:space="preserve">                                 PÉRIMÈTRE DE SANTÉSN</w:t>
        <w:br/>
        <w:t xml:space="preserve">  ┌───────────────────────────────────────────────────────────────────────────────────┐</w:t>
        <w:br/>
        <w:t xml:space="preserve">  │                                                                                   │</w:t>
        <w:br/>
        <w:t xml:space="preserve">  │   [ INCLUS DANS LE PROJET ]                                                       │</w:t>
        <w:br/>
        <w:t xml:space="preserve">  │   ─────────────────────────                                                       │</w:t>
        <w:br/>
        <w:t xml:space="preserve">  │   1. Gestion Multi-Tenant hermétique (IPM SantéSN, IPM Sonatel, mutuelles)        │</w:t>
        <w:br/>
        <w:t xml:space="preserve">  │   2. Carte dématérialisée ISO 7810 ID-1 avec QR Code dynamique vectoriel          │</w:t>
        <w:br/>
        <w:t xml:space="preserve">  │   3. Espace Médecin : prescription électronique avec sceau HMAC-SHA256            │</w:t>
        <w:br/>
        <w:t xml:space="preserve">  │   4. Espace Pharmacien : scanner optique caméra et validation atomique anti-fraude │</w:t>
        <w:br/>
        <w:t xml:space="preserve">  │   5. Espace Gestionnaire : paramétrage de conventions, liquidations &amp; remboursements│</w:t>
        <w:br/>
        <w:t xml:space="preserve">  │   6. Système d'Information Géographique (SIG / Leaflet) avec tuiles Google/Esri   │</w:t>
        <w:br/>
        <w:t xml:space="preserve">  │   7. Application Web Progressive (PWA) avec Service Worker et cache hors-ligne    │</w:t>
        <w:br/>
        <w:t xml:space="preserve">  │   8. Passerelle WhatsApp Cloud API pour alertes instantanées                      │</w:t>
        <w:br/>
        <w:t xml:space="preserve">  │                                                                                   │</w:t>
        <w:br/>
        <w:t xml:space="preserve">  │   [ EXCLUS DU PÉRIMÈTRE ACTUEL (PERSPECTIVES) ]                                   │</w:t>
        <w:br/>
        <w:t xml:space="preserve">  │   ─────────────────────────────────────────────                                   │</w:t>
        <w:br/>
        <w:t xml:space="preserve">  │   1. Télémédecine / Vidéoconsultation en direct                                   │</w:t>
        <w:br/>
        <w:t xml:space="preserve">  │   2. Connexion directe aux automates de laboratoire d'analyses                    │</w:t>
        <w:br/>
        <w:t xml:space="preserve">  │   3. Gestion complète de la paie des entreprises affiliées                        │</w:t>
        <w:br/>
        <w:t xml:space="preserve">  │                                                                                   │</w:t>
        <w:br/>
        <w:t xml:space="preserve">  └───────────────────────────────────────────────────────────────────────────────────┘</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1.3. Organisation du groupe : rôles et outils de travail collaboratif</w:t>
      </w:r>
    </w:p>
    <w:p>
      <w:pPr>
        <w:keepNext/>
        <w:spacing w:before="200" w:after="80"/>
      </w:pPr>
      <w:r>
        <w:rPr>
          <w:rFonts w:ascii="Calibri" w:hAnsi="Calibri"/>
          <w:b/>
          <w:color w:val="111827"/>
          <w:sz w:val="25"/>
        </w:rPr>
        <w:t>1.3.1. Répartition des rôles et responsabilités</w:t>
      </w:r>
    </w:p>
    <w:p>
      <w:r>
        <w:t>Pour maximiser l'efficacité du travail et reproduire fidèlement les conditions d'un département de développement logiciel en entreprise, les responsabilités ont été articulées selon une organisation matricielle claire :</w:t>
      </w:r>
    </w:p>
    <w:p>
      <w:pPr>
        <w:pStyle w:val="ListBullet"/>
        <w:spacing w:before="20" w:after="40"/>
      </w:pPr>
      <w:r/>
      <w:r>
        <w:rPr>
          <w:b/>
        </w:rPr>
        <w:t>Responsable Architecture &amp; Backend (Lead Développeur Django) :</w:t>
      </w:r>
      <w:r/>
    </w:p>
    <w:p>
      <w:pPr>
        <w:pStyle w:val="ListBullet"/>
        <w:spacing w:before="20" w:after="40"/>
      </w:pPr>
      <w:r>
        <w:t>Modélisation de la base de données relationnelle (modèles Django, migrations, intégrité référentielle) ;</w:t>
      </w:r>
    </w:p>
    <w:p>
      <w:pPr>
        <w:pStyle w:val="ListBullet"/>
        <w:spacing w:before="20" w:after="40"/>
      </w:pPr>
      <w:r>
        <w:t>Implémentation de la logique métier critique (calcul de quote-part, détection des dépassements de plafonds, transactions atomiques ACID) ;</w:t>
      </w:r>
    </w:p>
    <w:p>
      <w:pPr>
        <w:pStyle w:val="ListBullet"/>
        <w:spacing w:before="20" w:after="40"/>
      </w:pPr>
      <w:r>
        <w:t>Sécurité backend, contrôle d'accès basé sur les rôles (RBAC) et chiffrement HMAC des ordonnances.</w:t>
      </w:r>
    </w:p>
    <w:p>
      <w:pPr>
        <w:pStyle w:val="ListBullet"/>
        <w:spacing w:before="20" w:after="40"/>
      </w:pPr>
      <w:r/>
      <w:r>
        <w:rPr>
          <w:b/>
        </w:rPr>
        <w:t>Responsable Frontend &amp; Expérience Utilisateur (Développeur Web / PWA) :</w:t>
      </w:r>
      <w:r/>
    </w:p>
    <w:p>
      <w:pPr>
        <w:pStyle w:val="ListBullet"/>
        <w:spacing w:before="20" w:after="40"/>
      </w:pPr>
      <w:r>
        <w:t>Conception des interfaces utilisateur réactives (UI / UX sans dépendance lourde, CSS moderne basé sur des variables de design tokens) ;</w:t>
      </w:r>
    </w:p>
    <w:p>
      <w:pPr>
        <w:pStyle w:val="ListBullet"/>
        <w:spacing w:before="20" w:after="40"/>
      </w:pPr>
      <w:r>
        <w:t>Intégration de la cartographie Leaflet et gestion dynamique des modes sombre et clair ;</w:t>
      </w:r>
    </w:p>
    <w:p>
      <w:pPr>
        <w:pStyle w:val="ListBullet"/>
        <w:spacing w:before="20" w:after="40"/>
      </w:pPr>
      <w:r>
        <w:t>Implémentation du scanner optique caméra en JavaScript pur (`jsQR`) et configuration du Service Worker PWA pour le mode hors-ligne.</w:t>
      </w:r>
    </w:p>
    <w:p>
      <w:pPr>
        <w:pStyle w:val="ListBullet"/>
        <w:spacing w:before="20" w:after="40"/>
      </w:pPr>
      <w:r/>
      <w:r>
        <w:rPr>
          <w:b/>
        </w:rPr>
        <w:t>Responsable Assurance Qualité, DevOps &amp; Documentation :</w:t>
      </w:r>
      <w:r/>
    </w:p>
    <w:p>
      <w:pPr>
        <w:pStyle w:val="ListBullet"/>
        <w:spacing w:before="20" w:after="40"/>
      </w:pPr>
      <w:r>
        <w:t>Écriture et maintenance de la suite de tests automatisés (196 tests unitaires et fonctionnels) ;</w:t>
      </w:r>
    </w:p>
    <w:p>
      <w:pPr>
        <w:pStyle w:val="ListBullet"/>
        <w:spacing w:before="20" w:after="40"/>
      </w:pPr>
      <w:r>
        <w:t>Configuration du pipeline d'intégration continue GitHub Actions et des environnements de déploiement Cloud (Vercel, Neon PostgreSQL) ;</w:t>
      </w:r>
    </w:p>
    <w:p>
      <w:pPr>
        <w:pStyle w:val="ListBullet"/>
        <w:spacing w:before="20" w:after="40"/>
      </w:pPr>
      <w:r>
        <w:t>Veille réglementaire sur la conformité de la Commission de Protection des Données Personnelles (CDP) et rédaction du présent mémoire.</w:t>
      </w:r>
    </w:p>
    <w:p>
      <w:pPr>
        <w:keepNext/>
        <w:spacing w:before="200" w:after="80"/>
      </w:pPr>
      <w:r>
        <w:rPr>
          <w:rFonts w:ascii="Calibri" w:hAnsi="Calibri"/>
          <w:b/>
          <w:color w:val="111827"/>
          <w:sz w:val="25"/>
        </w:rPr>
        <w:t>1.3.2. Méthode de travail et rituels agiles</w:t>
      </w:r>
    </w:p>
    <w:p>
      <w:r>
        <w:t xml:space="preserve">Le projet a été rythmé par la méthodologie </w:t>
      </w:r>
      <w:r>
        <w:rPr>
          <w:b/>
        </w:rPr>
        <w:t>Scrum</w:t>
      </w:r>
      <w:r>
        <w:t>, articulée en sprints de deux semaines :</w:t>
      </w:r>
    </w:p>
    <w:p>
      <w:pPr>
        <w:pStyle w:val="ListBullet"/>
        <w:spacing w:before="20" w:after="40"/>
      </w:pPr>
      <w:r/>
      <w:r>
        <w:rPr>
          <w:b/>
        </w:rPr>
        <w:t>Sprint Planning :</w:t>
      </w:r>
      <w:r>
        <w:t xml:space="preserve"> Définition des objectifs du sprint et sélection des récits utilisateurs (*User Stories*) prioritaires dans le backlog produit ;</w:t>
      </w:r>
    </w:p>
    <w:p>
      <w:pPr>
        <w:pStyle w:val="ListBullet"/>
        <w:spacing w:before="20" w:after="40"/>
      </w:pPr>
      <w:r/>
      <w:r>
        <w:rPr>
          <w:b/>
        </w:rPr>
        <w:t>Points de synchronisation réguliers :</w:t>
      </w:r>
      <w:r>
        <w:t xml:space="preserve"> Échanges courts pour identifier les blocages techniques (notamment sur l'optimisation des requêtes SQL et la compatibilité des navigateurs mobiles pour la caméra) ;</w:t>
      </w:r>
    </w:p>
    <w:p>
      <w:pPr>
        <w:pStyle w:val="ListBullet"/>
        <w:spacing w:before="20" w:after="40"/>
      </w:pPr>
      <w:r/>
      <w:r>
        <w:rPr>
          <w:b/>
        </w:rPr>
        <w:t>Sprint Review &amp; Rétrospective :</w:t>
      </w:r>
      <w:r>
        <w:t xml:space="preserve"> Démonstration des fonctionnalités développées sur l'environnement de pré-production et ajustement des priorités du sprint suivant.</w:t>
      </w:r>
    </w:p>
    <w:p>
      <w:pPr>
        <w:keepNext/>
        <w:spacing w:before="200" w:after="80"/>
      </w:pPr>
      <w:r>
        <w:rPr>
          <w:rFonts w:ascii="Calibri" w:hAnsi="Calibri"/>
          <w:b/>
          <w:color w:val="111827"/>
          <w:sz w:val="25"/>
        </w:rPr>
        <w:t>1.3.3. Outils de travail collaboratif et chaîne logicielle</w:t>
      </w:r>
    </w:p>
    <w:p>
      <w:r>
        <w:t>L'ensemble des activités de développement et de gestion de projet s'est appuyé sur une suite d'outils professionnels modernes :</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60" w:type="dxa"/>
              <w:right w:w="160" w:type="dxa"/>
            </w:tcMar>
            <w:shd w:fill="0E7C86"/>
          </w:tcPr>
          <w:p>
            <w:pPr>
              <w:spacing w:before="60" w:after="60"/>
            </w:pPr>
            <w:r>
              <w:rPr>
                <w:b/>
                <w:color w:val="FFFFFF"/>
                <w:sz w:val="20"/>
              </w:rPr>
              <w:t>Outil / Plateforme</w:t>
            </w:r>
          </w:p>
        </w:tc>
        <w:tc>
          <w:tcPr>
            <w:tcW w:type="dxa" w:w="4680"/>
            <w:tcMar>
              <w:top w:w="120" w:type="dxa"/>
              <w:bottom w:w="120" w:type="dxa"/>
              <w:left w:w="160" w:type="dxa"/>
              <w:right w:w="160" w:type="dxa"/>
            </w:tcMar>
            <w:shd w:fill="0E7C86"/>
          </w:tcPr>
          <w:p>
            <w:pPr>
              <w:spacing w:before="60" w:after="60"/>
            </w:pPr>
            <w:r>
              <w:rPr>
                <w:b/>
                <w:color w:val="FFFFFF"/>
                <w:sz w:val="20"/>
              </w:rPr>
              <w:t>Usage et Rôle dans le Projet</w:t>
            </w:r>
          </w:p>
        </w:tc>
      </w:tr>
      <w:tr>
        <w:tc>
          <w:tcPr>
            <w:tcW w:type="dxa" w:w="4680"/>
            <w:tcMar>
              <w:top w:w="120" w:type="dxa"/>
              <w:bottom w:w="120" w:type="dxa"/>
              <w:left w:w="160" w:type="dxa"/>
              <w:right w:w="160" w:type="dxa"/>
            </w:tcMar>
            <w:shd w:fill="F8FAFC"/>
          </w:tcPr>
          <w:p>
            <w:pPr>
              <w:spacing w:before="60" w:after="60"/>
            </w:pPr>
            <w:r>
              <w:rPr>
                <w:sz w:val="19"/>
              </w:rPr>
              <w:t>GitHub</w:t>
            </w:r>
          </w:p>
        </w:tc>
        <w:tc>
          <w:tcPr>
            <w:tcW w:type="dxa" w:w="4680"/>
            <w:tcMar>
              <w:top w:w="120" w:type="dxa"/>
              <w:bottom w:w="120" w:type="dxa"/>
              <w:left w:w="160" w:type="dxa"/>
              <w:right w:w="160" w:type="dxa"/>
            </w:tcMar>
            <w:shd w:fill="F8FAFC"/>
          </w:tcPr>
          <w:p>
            <w:pPr>
              <w:spacing w:before="60" w:after="60"/>
            </w:pPr>
            <w:r>
              <w:rPr>
                <w:sz w:val="19"/>
              </w:rPr>
              <w:t>Dépôt central de code source Git, gestion des versions, revues de code (*Pull Requests*) et traçabilité des commits.</w:t>
            </w:r>
          </w:p>
        </w:tc>
      </w:tr>
      <w:tr>
        <w:tc>
          <w:tcPr>
            <w:tcW w:type="dxa" w:w="4680"/>
            <w:tcMar>
              <w:top w:w="120" w:type="dxa"/>
              <w:bottom w:w="120" w:type="dxa"/>
              <w:left w:w="160" w:type="dxa"/>
              <w:right w:w="160" w:type="dxa"/>
            </w:tcMar>
            <w:shd w:fill="FFFFFF"/>
          </w:tcPr>
          <w:p>
            <w:pPr>
              <w:spacing w:before="60" w:after="60"/>
            </w:pPr>
            <w:r>
              <w:rPr>
                <w:sz w:val="19"/>
              </w:rPr>
              <w:t>GitHub Actions</w:t>
            </w:r>
          </w:p>
        </w:tc>
        <w:tc>
          <w:tcPr>
            <w:tcW w:type="dxa" w:w="4680"/>
            <w:tcMar>
              <w:top w:w="120" w:type="dxa"/>
              <w:bottom w:w="120" w:type="dxa"/>
              <w:left w:w="160" w:type="dxa"/>
              <w:right w:w="160" w:type="dxa"/>
            </w:tcMar>
            <w:shd w:fill="FFFFFF"/>
          </w:tcPr>
          <w:p>
            <w:pPr>
              <w:spacing w:before="60" w:after="60"/>
            </w:pPr>
            <w:r>
              <w:rPr>
                <w:sz w:val="19"/>
              </w:rPr>
              <w:t>Serveur d'intégration continue (CI) automatisant l'exécution des tests Django à chaque push sur la branche `main`.</w:t>
            </w:r>
          </w:p>
        </w:tc>
      </w:tr>
      <w:tr>
        <w:tc>
          <w:tcPr>
            <w:tcW w:type="dxa" w:w="4680"/>
            <w:tcMar>
              <w:top w:w="120" w:type="dxa"/>
              <w:bottom w:w="120" w:type="dxa"/>
              <w:left w:w="160" w:type="dxa"/>
              <w:right w:w="160" w:type="dxa"/>
            </w:tcMar>
            <w:shd w:fill="F8FAFC"/>
          </w:tcPr>
          <w:p>
            <w:pPr>
              <w:spacing w:before="60" w:after="60"/>
            </w:pPr>
            <w:r>
              <w:rPr>
                <w:sz w:val="19"/>
              </w:rPr>
              <w:t>Visual Studio Code / Antigravity IDE</w:t>
            </w:r>
          </w:p>
        </w:tc>
        <w:tc>
          <w:tcPr>
            <w:tcW w:type="dxa" w:w="4680"/>
            <w:tcMar>
              <w:top w:w="120" w:type="dxa"/>
              <w:bottom w:w="120" w:type="dxa"/>
              <w:left w:w="160" w:type="dxa"/>
              <w:right w:w="160" w:type="dxa"/>
            </w:tcMar>
            <w:shd w:fill="F8FAFC"/>
          </w:tcPr>
          <w:p>
            <w:pPr>
              <w:spacing w:before="60" w:after="60"/>
            </w:pPr>
            <w:r>
              <w:rPr>
                <w:sz w:val="19"/>
              </w:rPr>
              <w:t>Environnement de développement intégré (IDE), débogage pas à pas, extensions Python et SQL.</w:t>
            </w:r>
          </w:p>
        </w:tc>
      </w:tr>
      <w:tr>
        <w:tc>
          <w:tcPr>
            <w:tcW w:type="dxa" w:w="4680"/>
            <w:tcMar>
              <w:top w:w="120" w:type="dxa"/>
              <w:bottom w:w="120" w:type="dxa"/>
              <w:left w:w="160" w:type="dxa"/>
              <w:right w:w="160" w:type="dxa"/>
            </w:tcMar>
            <w:shd w:fill="FFFFFF"/>
          </w:tcPr>
          <w:p>
            <w:pPr>
              <w:spacing w:before="60" w:after="60"/>
            </w:pPr>
            <w:r>
              <w:rPr>
                <w:sz w:val="19"/>
              </w:rPr>
              <w:t>Trello / GitHub Projects</w:t>
            </w:r>
          </w:p>
        </w:tc>
        <w:tc>
          <w:tcPr>
            <w:tcW w:type="dxa" w:w="4680"/>
            <w:tcMar>
              <w:top w:w="120" w:type="dxa"/>
              <w:bottom w:w="120" w:type="dxa"/>
              <w:left w:w="160" w:type="dxa"/>
              <w:right w:w="160" w:type="dxa"/>
            </w:tcMar>
            <w:shd w:fill="FFFFFF"/>
          </w:tcPr>
          <w:p>
            <w:pPr>
              <w:spacing w:before="60" w:after="60"/>
            </w:pPr>
            <w:r>
              <w:rPr>
                <w:sz w:val="19"/>
              </w:rPr>
              <w:t>Tableau Kanban de suivi des tâches découpées en *À faire*, *En cours*, *En revue* et *Terminé*.</w:t>
            </w:r>
          </w:p>
        </w:tc>
      </w:tr>
      <w:tr>
        <w:tc>
          <w:tcPr>
            <w:tcW w:type="dxa" w:w="4680"/>
            <w:tcMar>
              <w:top w:w="120" w:type="dxa"/>
              <w:bottom w:w="120" w:type="dxa"/>
              <w:left w:w="160" w:type="dxa"/>
              <w:right w:w="160" w:type="dxa"/>
            </w:tcMar>
            <w:shd w:fill="F8FAFC"/>
          </w:tcPr>
          <w:p>
            <w:pPr>
              <w:spacing w:before="60" w:after="60"/>
            </w:pPr>
            <w:r>
              <w:rPr>
                <w:sz w:val="19"/>
              </w:rPr>
              <w:t>Discord &amp; WhatsApp</w:t>
            </w:r>
          </w:p>
        </w:tc>
        <w:tc>
          <w:tcPr>
            <w:tcW w:type="dxa" w:w="4680"/>
            <w:tcMar>
              <w:top w:w="120" w:type="dxa"/>
              <w:bottom w:w="120" w:type="dxa"/>
              <w:left w:w="160" w:type="dxa"/>
              <w:right w:w="160" w:type="dxa"/>
            </w:tcMar>
            <w:shd w:fill="F8FAFC"/>
          </w:tcPr>
          <w:p>
            <w:pPr>
              <w:spacing w:before="60" w:after="60"/>
            </w:pPr>
            <w:r>
              <w:rPr>
                <w:sz w:val="19"/>
              </w:rPr>
              <w:t>Canaux de communication instantanée de l'équipe pour les alertes de build et l'échange rapide d'informations.</w:t>
            </w:r>
          </w:p>
        </w:tc>
      </w:tr>
      <w:tr>
        <w:tc>
          <w:tcPr>
            <w:tcW w:type="dxa" w:w="4680"/>
            <w:tcMar>
              <w:top w:w="120" w:type="dxa"/>
              <w:bottom w:w="120" w:type="dxa"/>
              <w:left w:w="160" w:type="dxa"/>
              <w:right w:w="160" w:type="dxa"/>
            </w:tcMar>
            <w:shd w:fill="FFFFFF"/>
          </w:tcPr>
          <w:p>
            <w:pPr>
              <w:spacing w:before="60" w:after="60"/>
            </w:pPr>
            <w:r>
              <w:rPr>
                <w:sz w:val="19"/>
              </w:rPr>
              <w:t>Vercel PaaS &amp; Neon Cloud DB</w:t>
            </w:r>
          </w:p>
        </w:tc>
        <w:tc>
          <w:tcPr>
            <w:tcW w:type="dxa" w:w="4680"/>
            <w:tcMar>
              <w:top w:w="120" w:type="dxa"/>
              <w:bottom w:w="120" w:type="dxa"/>
              <w:left w:w="160" w:type="dxa"/>
              <w:right w:w="160" w:type="dxa"/>
            </w:tcMar>
            <w:shd w:fill="FFFFFF"/>
          </w:tcPr>
          <w:p>
            <w:pPr>
              <w:spacing w:before="60" w:after="60"/>
            </w:pPr>
            <w:r>
              <w:rPr>
                <w:sz w:val="19"/>
              </w:rPr>
              <w:t>Plateformes d'hébergement serveur et base de données PostgreSQL serverless en haute disponibilité.</w:t>
            </w:r>
          </w:p>
        </w:tc>
      </w:tr>
      <w:tr>
        <w:tc>
          <w:tcPr>
            <w:tcW w:type="dxa" w:w="4680"/>
            <w:tcMar>
              <w:top w:w="120" w:type="dxa"/>
              <w:bottom w:w="120" w:type="dxa"/>
              <w:left w:w="160" w:type="dxa"/>
              <w:right w:w="160" w:type="dxa"/>
            </w:tcMar>
            <w:shd w:fill="F8FAFC"/>
          </w:tcPr>
          <w:p>
            <w:pPr>
              <w:spacing w:before="60" w:after="60"/>
            </w:pPr>
            <w:r>
              <w:rPr>
                <w:sz w:val="19"/>
              </w:rPr>
              <w:t>Draw.io / PlantUML</w:t>
            </w:r>
          </w:p>
        </w:tc>
        <w:tc>
          <w:tcPr>
            <w:tcW w:type="dxa" w:w="4680"/>
            <w:tcMar>
              <w:top w:w="120" w:type="dxa"/>
              <w:bottom w:w="120" w:type="dxa"/>
              <w:left w:w="160" w:type="dxa"/>
              <w:right w:w="160" w:type="dxa"/>
            </w:tcMar>
            <w:shd w:fill="F8FAFC"/>
          </w:tcPr>
          <w:p>
            <w:pPr>
              <w:spacing w:before="60" w:after="60"/>
            </w:pPr>
            <w:r>
              <w:rPr>
                <w:sz w:val="19"/>
              </w:rPr>
              <w:t>Outils de conception graphique et d'ingénierie logicielle pour la modélisation des diagrammes UML.</w:t>
            </w:r>
          </w:p>
        </w:tc>
      </w:tr>
    </w:tbl>
    <w:p>
      <w:r>
        <w:br w:type="page"/>
      </w:r>
    </w:p>
    <w:p>
      <w:pPr>
        <w:keepNext/>
        <w:spacing w:before="280" w:after="160"/>
      </w:pPr>
      <w:r>
        <w:rPr>
          <w:rFonts w:ascii="Calibri" w:hAnsi="Calibri"/>
          <w:b/>
          <w:color w:val="0E7C86"/>
          <w:sz w:val="38"/>
        </w:rPr>
        <w:t>CHAPITRE 2 : ANALYSE DE L’EXISTANT ET CADRAGE</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2.1. Étude de l’existant</w:t>
      </w:r>
    </w:p>
    <w:p>
      <w:pPr>
        <w:keepNext/>
        <w:spacing w:before="200" w:after="80"/>
      </w:pPr>
      <w:r>
        <w:rPr>
          <w:rFonts w:ascii="Calibri" w:hAnsi="Calibri"/>
          <w:b/>
          <w:color w:val="111827"/>
          <w:sz w:val="25"/>
        </w:rPr>
        <w:t>2.1.1. Description du circuit traditionnel de prise en charge au Sénégal</w:t>
      </w:r>
    </w:p>
    <w:p>
      <w:r>
        <w:t>Pour comprendre les fondements de notre intervention, il est nécessaire de décomposer étape par étape le circuit opérationnel actuellement en vigueur dans la majorité des Institutions de Prévoyance Maladie (IPM) et mutuelles d'assurance au Sénégal. Ce circuit repose sur une chaîne d'interactions séquentielles lourdes :</w:t>
      </w:r>
    </w:p>
    <w:p>
      <w:pPr>
        <w:spacing w:before="80" w:after="120"/>
        <w:ind w:left="288" w:right="288"/>
      </w:pPr>
      <w:r>
        <w:rPr>
          <w:rFonts w:ascii="Consolas" w:hAnsi="Consolas"/>
          <w:color w:val="27272A"/>
          <w:sz w:val="19"/>
        </w:rPr>
        <w:t xml:space="preserve">                  CIRCUIT TRADITIONNEL PAPIER DU TIERS PAYANT</w:t>
        <w:br/>
        <w:t xml:space="preserve">  ┌─────────────────┐       ┌─────────────────┐       ┌─────────────────┐</w:t>
        <w:br/>
        <w:t xml:space="preserve">  │   1. Assuré     │ ───&gt;  │  2. Secrétariat │ ───&gt;  │  3. Praticien   │</w:t>
        <w:br/>
        <w:t xml:space="preserve">  │ Déplacement au  │       │     de l'IPM    │       │   Consultation  │</w:t>
        <w:br/>
        <w:t xml:space="preserve">  │ siège de l'IPM  │       │ Émission du Bon │       │   Ordonnance    │</w:t>
        <w:br/>
        <w:t xml:space="preserve">  └─────────────────┘       └─────────────────┘       └─────────────────┘</w:t>
        <w:br/>
        <w:t xml:space="preserve">                                                               │</w:t>
        <w:br/>
        <w:t xml:space="preserve">                                                               ▼</w:t>
        <w:br/>
        <w:t xml:space="preserve">  ┌─────────────────┐       ┌─────────────────┐       ┌─────────────────┐</w:t>
        <w:br/>
        <w:t xml:space="preserve">  │ 6. Règlement    │ &lt;───  │ 5. Audit &amp; Compta│ &lt;─── │ 4. Pharmacie    │</w:t>
        <w:br/>
        <w:t xml:space="preserve">  │ Par chèque ou   │       │ Tri des liasses │       │ Vérification ID │</w:t>
        <w:br/>
        <w:t xml:space="preserve">  │ virement (60j+) │       │ Contrôle manuel │       │ Copie carbone   │</w:t>
        <w:br/>
        <w:t xml:space="preserve">  └─────────────────┘       └─────────────────┘       └─────────────────┘</w:t>
      </w:r>
    </w:p>
    <w:p>
      <w:r>
        <w:t xml:space="preserve">1. </w:t>
      </w:r>
      <w:r>
        <w:rPr>
          <w:b/>
        </w:rPr>
        <w:t>Phase de demande préalable :</w:t>
      </w:r>
      <w:r>
        <w:t xml:space="preserve"> L'assuré ou son ayant droit malade doit d'abord se rendre physiquement au bureau de son IPM (ou auprès du service des ressources humaines de son entreprise) pour demander un « bon de consultation » ou « lettre de garantie ». L'agent administratif vérifie manuellement sur un registre papier ou un tableur Excel local si le travailleur est à jour de ses cotisations et si ses enfants sont légalement déclarés.</w:t>
      </w:r>
    </w:p>
    <w:p>
      <w:r>
        <w:t xml:space="preserve">2. </w:t>
      </w:r>
      <w:r>
        <w:rPr>
          <w:b/>
        </w:rPr>
        <w:t>Phase de consultation médicale :</w:t>
      </w:r>
      <w:r>
        <w:t xml:space="preserve"> Muni de son bon papier et de son carnet d'assuré, le patient se présente dans une structure sanitaire conventionnée (hôpital public ou clinique privée). Le médecin ausculte le patient, remplit le volet médical du bon et rédige une ordonnance manuscrite sur son propre papier à en-tête. Le bon de consultation est signé et tamponné.</w:t>
      </w:r>
    </w:p>
    <w:p>
      <w:r>
        <w:t xml:space="preserve">3. </w:t>
      </w:r>
      <w:r>
        <w:rPr>
          <w:b/>
        </w:rPr>
        <w:t>Phase de dispensation en pharmacie :</w:t>
      </w:r>
      <w:r>
        <w:t xml:space="preserve"> Le patient se rend ensuite dans une officine conventionnée. Le pharmacien examine l'ordonnance et le carnet de l'assuré pour vérifier l'adéquation avec la liste des médicaments remboursables par l'IPM (médicaments de spécialité vs génériques DCI). Le pharmacien applique manuellement le pourcentage de couverture (ex: 80 % pris en charge par l'IPM, 20 % réglé en espèces par le patient), agrafe le bon à une copie de l'ordonnance et délivre les produits.</w:t>
      </w:r>
    </w:p>
    <w:p>
      <w:r>
        <w:t xml:space="preserve">4. </w:t>
      </w:r>
      <w:r>
        <w:rPr>
          <w:b/>
        </w:rPr>
        <w:t>Phase de facturation et de liquidation :</w:t>
      </w:r>
      <w:r>
        <w:t xml:space="preserve"> À la fin de chaque mois, chaque pharmacie et clinique regroupe l'ensemble des ordonnances et bons physiques accumulés. Ces documents sont triés par IPM, agrafés à un bordereau récapitulatif papier dactylographié, puis déposés physiquement au siège de chaque IPM.</w:t>
      </w:r>
    </w:p>
    <w:p>
      <w:r>
        <w:t xml:space="preserve">5. </w:t>
      </w:r>
      <w:r>
        <w:rPr>
          <w:b/>
        </w:rPr>
        <w:t>Phase de contrôle et paiement :</w:t>
      </w:r>
      <w:r>
        <w:t xml:space="preserve"> Les auditeurs comptables de l'IPM réceptionnent ces cartons de factures. Ils vérifient un à un les montants, les taux de prise en charge et les éventuels dépassements de plafonds. Après ce contrôle manuel souvent fastidieux, l'ordonnateur des dépenses émet un chèque ou un ordre de virement bancaire au profit du prestataire, avec un délai de traitement variant généralement entre 45 et 120 jours.</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2.2. Critique de l’existant</w:t>
      </w:r>
    </w:p>
    <w:p>
      <w:pPr>
        <w:keepNext/>
        <w:spacing w:before="200" w:after="80"/>
      </w:pPr>
      <w:r>
        <w:rPr>
          <w:rFonts w:ascii="Calibri" w:hAnsi="Calibri"/>
          <w:b/>
          <w:color w:val="111827"/>
          <w:sz w:val="25"/>
        </w:rPr>
        <w:t>2.2.1. Analyse des faiblesses et matrice SWOT</w:t>
      </w:r>
    </w:p>
    <w:p>
      <w:r>
        <w:t>Cette organisation manuelle, bien qu'éprouvée historiquement, montre aujourd'hui ses limites structurelles face à la croissance démographique et à l'impératif de célérité des soins médicaux. L'analyse critique synthétique du système existant peut être résumée à travers la matrice SWOT suivante :</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60" w:type="dxa"/>
              <w:right w:w="160" w:type="dxa"/>
            </w:tcMar>
            <w:shd w:fill="0E7C86"/>
          </w:tcPr>
          <w:p>
            <w:pPr>
              <w:spacing w:before="60" w:after="60"/>
            </w:pPr>
            <w:r>
              <w:rPr>
                <w:b/>
                <w:color w:val="FFFFFF"/>
                <w:sz w:val="20"/>
              </w:rPr>
              <w:t>Catégorie</w:t>
            </w:r>
          </w:p>
        </w:tc>
        <w:tc>
          <w:tcPr>
            <w:tcW w:type="dxa" w:w="4680"/>
            <w:tcMar>
              <w:top w:w="120" w:type="dxa"/>
              <w:bottom w:w="120" w:type="dxa"/>
              <w:left w:w="160" w:type="dxa"/>
              <w:right w:w="160" w:type="dxa"/>
            </w:tcMar>
            <w:shd w:fill="0E7C86"/>
          </w:tcPr>
          <w:p>
            <w:pPr>
              <w:spacing w:before="60" w:after="60"/>
            </w:pPr>
            <w:r>
              <w:rPr>
                <w:b/>
                <w:color w:val="FFFFFF"/>
                <w:sz w:val="20"/>
              </w:rPr>
              <w:t>Facteurs d'Analyse</w:t>
            </w:r>
          </w:p>
        </w:tc>
      </w:tr>
      <w:tr>
        <w:tc>
          <w:tcPr>
            <w:tcW w:type="dxa" w:w="4680"/>
            <w:tcMar>
              <w:top w:w="120" w:type="dxa"/>
              <w:bottom w:w="120" w:type="dxa"/>
              <w:left w:w="160" w:type="dxa"/>
              <w:right w:w="160" w:type="dxa"/>
            </w:tcMar>
            <w:shd w:fill="F8FAFC"/>
          </w:tcPr>
          <w:p>
            <w:pPr>
              <w:spacing w:before="60" w:after="60"/>
            </w:pPr>
            <w:r>
              <w:rPr>
                <w:sz w:val="19"/>
              </w:rPr>
              <w:t>Forces (Strengths)</w:t>
            </w:r>
          </w:p>
        </w:tc>
        <w:tc>
          <w:tcPr>
            <w:tcW w:type="dxa" w:w="4680"/>
            <w:tcMar>
              <w:top w:w="120" w:type="dxa"/>
              <w:bottom w:w="120" w:type="dxa"/>
              <w:left w:w="160" w:type="dxa"/>
              <w:right w:w="160" w:type="dxa"/>
            </w:tcMar>
            <w:shd w:fill="F8FAFC"/>
          </w:tcPr>
          <w:p>
            <w:pPr>
              <w:spacing w:before="60" w:after="60"/>
            </w:pPr>
            <w:r>
              <w:rPr>
                <w:sz w:val="19"/>
              </w:rPr>
              <w:t>• Système institutionnel juridiquement bien ancré (Code du Travail sénégalais, conventions collectives).&lt;br&gt;• Large maillage territorial des pharmacies d'officine privées et publiques au Sénégal.&lt;br&gt;• Solidarité professionnelle permettant une mutualisation des risques santé.</w:t>
            </w:r>
          </w:p>
        </w:tc>
      </w:tr>
      <w:tr>
        <w:tc>
          <w:tcPr>
            <w:tcW w:type="dxa" w:w="4680"/>
            <w:tcMar>
              <w:top w:w="120" w:type="dxa"/>
              <w:bottom w:w="120" w:type="dxa"/>
              <w:left w:w="160" w:type="dxa"/>
              <w:right w:w="160" w:type="dxa"/>
            </w:tcMar>
            <w:shd w:fill="FFFFFF"/>
          </w:tcPr>
          <w:p>
            <w:pPr>
              <w:spacing w:before="60" w:after="60"/>
            </w:pPr>
            <w:r>
              <w:rPr>
                <w:sz w:val="19"/>
              </w:rPr>
              <w:t>Faiblesses (Weaknesses)</w:t>
            </w:r>
          </w:p>
        </w:tc>
        <w:tc>
          <w:tcPr>
            <w:tcW w:type="dxa" w:w="4680"/>
            <w:tcMar>
              <w:top w:w="120" w:type="dxa"/>
              <w:bottom w:w="120" w:type="dxa"/>
              <w:left w:w="160" w:type="dxa"/>
              <w:right w:w="160" w:type="dxa"/>
            </w:tcMar>
            <w:shd w:fill="FFFFFF"/>
          </w:tcPr>
          <w:p>
            <w:pPr>
              <w:spacing w:before="60" w:after="60"/>
            </w:pPr>
            <w:r>
              <w:rPr>
                <w:sz w:val="19"/>
              </w:rPr>
              <w:t>• Dépendance totale au papier : Perte, détérioration ou rature de pièces justificatives médicales.&lt;br&gt;• Asynchronisme des contrôles : La vérification des plafonds intervient a posteriori, bien après que les soins ont été consommés.&lt;br&gt;• Délais d'attente pénibles : Lenteurs administratives décourageantes pour les patients souffrants.&lt;br&gt;• Trésorerie asphyxiée : Délais de remboursement exorbitants pénalisant les prestataires de santé.</w:t>
            </w:r>
          </w:p>
        </w:tc>
      </w:tr>
      <w:tr>
        <w:tc>
          <w:tcPr>
            <w:tcW w:type="dxa" w:w="4680"/>
            <w:tcMar>
              <w:top w:w="120" w:type="dxa"/>
              <w:bottom w:w="120" w:type="dxa"/>
              <w:left w:w="160" w:type="dxa"/>
              <w:right w:w="160" w:type="dxa"/>
            </w:tcMar>
            <w:shd w:fill="F8FAFC"/>
          </w:tcPr>
          <w:p>
            <w:pPr>
              <w:spacing w:before="60" w:after="60"/>
            </w:pPr>
            <w:r>
              <w:rPr>
                <w:sz w:val="19"/>
              </w:rPr>
              <w:t>Opportunités (Opportunities)</w:t>
            </w:r>
          </w:p>
        </w:tc>
        <w:tc>
          <w:tcPr>
            <w:tcW w:type="dxa" w:w="4680"/>
            <w:tcMar>
              <w:top w:w="120" w:type="dxa"/>
              <w:bottom w:w="120" w:type="dxa"/>
              <w:left w:w="160" w:type="dxa"/>
              <w:right w:w="160" w:type="dxa"/>
            </w:tcMar>
            <w:shd w:fill="F8FAFC"/>
          </w:tcPr>
          <w:p>
            <w:pPr>
              <w:spacing w:before="60" w:after="60"/>
            </w:pPr>
            <w:r>
              <w:rPr>
                <w:sz w:val="19"/>
              </w:rPr>
              <w:t>• Taux de pénétration record de la téléphonie mobile et de l'Internet 4G/5G au Sénégal.&lt;br&gt;• Succès et démocratisation des technologies QR Code et des paiements mobiles (Wave, Orange Money).&lt;br&gt;• Volonté politique de l'État sénégalais d'accélérer la Couverture Sanitaire Universelle (SEN-CSU) par le numérique.</w:t>
            </w:r>
          </w:p>
        </w:tc>
      </w:tr>
      <w:tr>
        <w:tc>
          <w:tcPr>
            <w:tcW w:type="dxa" w:w="4680"/>
            <w:tcMar>
              <w:top w:w="120" w:type="dxa"/>
              <w:bottom w:w="120" w:type="dxa"/>
              <w:left w:w="160" w:type="dxa"/>
              <w:right w:w="160" w:type="dxa"/>
            </w:tcMar>
            <w:shd w:fill="FFFFFF"/>
          </w:tcPr>
          <w:p>
            <w:pPr>
              <w:spacing w:before="60" w:after="60"/>
            </w:pPr>
            <w:r>
              <w:rPr>
                <w:sz w:val="19"/>
              </w:rPr>
              <w:t>Menaces (Threats)</w:t>
            </w:r>
          </w:p>
        </w:tc>
        <w:tc>
          <w:tcPr>
            <w:tcW w:type="dxa" w:w="4680"/>
            <w:tcMar>
              <w:top w:w="120" w:type="dxa"/>
              <w:bottom w:w="120" w:type="dxa"/>
              <w:left w:w="160" w:type="dxa"/>
              <w:right w:w="160" w:type="dxa"/>
            </w:tcMar>
            <w:shd w:fill="FFFFFF"/>
          </w:tcPr>
          <w:p>
            <w:pPr>
              <w:spacing w:before="60" w:after="60"/>
            </w:pPr>
            <w:r>
              <w:rPr>
                <w:sz w:val="19"/>
              </w:rPr>
              <w:t>• Résistance au changement de certains acteurs habitués aux circuits informels.&lt;br&gt;• Risque de pannes d'électricité ou d'interruptions du réseau télécom dans les zones périurbaines et rurales.&lt;br&gt;• Vulnérabilités de cybersécurité et risque d'exposition illégale de données médicales sensibles.</w:t>
            </w:r>
          </w:p>
        </w:tc>
      </w:tr>
    </w:tbl>
    <w:p>
      <w:pPr>
        <w:keepNext/>
        <w:spacing w:before="200" w:after="80"/>
      </w:pPr>
      <w:r>
        <w:rPr>
          <w:rFonts w:ascii="Calibri" w:hAnsi="Calibri"/>
          <w:b/>
          <w:color w:val="111827"/>
          <w:sz w:val="25"/>
        </w:rPr>
        <w:t>2.2.2. Les typologies de fraudes constatées sur le terrain</w:t>
      </w:r>
    </w:p>
    <w:p>
      <w:r>
        <w:t>Nos entretiens avec des gestionnaires d'IPM sénégalaises ont permis d'identifier quatre scénarios de fraude récurrents :</w:t>
      </w:r>
    </w:p>
    <w:p>
      <w:r>
        <w:t xml:space="preserve">1. </w:t>
      </w:r>
      <w:r>
        <w:rPr>
          <w:b/>
        </w:rPr>
        <w:t>Le prêt de carte d'assuré :</w:t>
      </w:r>
      <w:r>
        <w:t xml:space="preserve"> Faute de photo numérique actualisée et de contrôle biométrique ou cryptographique, un assuré en règle prête son carnet à un membre de sa famille élargie, à un colocataire ou à une relation amicale pour lui faire bénéficier indûment d'une consultation ou d'analyses spécialisées coûteuses.</w:t>
      </w:r>
    </w:p>
    <w:p>
      <w:r>
        <w:t xml:space="preserve">2. </w:t>
      </w:r>
      <w:r>
        <w:rPr>
          <w:b/>
        </w:rPr>
        <w:t>La falsification d'ordonnances :</w:t>
      </w:r>
      <w:r>
        <w:t xml:space="preserve"> Modification du nombre de boîtes prescrites (ex: transformer un `1` en `4` boîtes) ou ajout d'un médicament non prescrit par le praticien sur une ordonnance manuscrite valide.</w:t>
      </w:r>
    </w:p>
    <w:p>
      <w:r>
        <w:t xml:space="preserve">3. </w:t>
      </w:r>
      <w:r>
        <w:rPr>
          <w:b/>
        </w:rPr>
        <w:t>La double délivrance :</w:t>
      </w:r>
      <w:r>
        <w:t xml:space="preserve"> Une ordonnance papier n'étant pas systématiquement conservée ou visée de façon indélébile, un patient mal intentionné peut se faire délivrer un traitement dans une pharmacie à Pikine, puis se rendre dans une autre pharmacie aux Parcelles Assainies pour retirer le même lot de médicaments remboursés par la même IPM.</w:t>
      </w:r>
    </w:p>
    <w:p>
      <w:r>
        <w:t xml:space="preserve">4. </w:t>
      </w:r>
      <w:r>
        <w:rPr>
          <w:b/>
        </w:rPr>
        <w:t>La surfacturation d'actes fictifs :</w:t>
      </w:r>
      <w:r>
        <w:t xml:space="preserve"> Certains prestataires peu scrupuleux facturent à l'IPM des soins complexes ou des examens d'imagerie qui n'ont jamais été réalisés sur le patient.</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2.3. Expression des besoins fonctionnels et non fonctionnels</w:t>
      </w:r>
    </w:p>
    <w:p>
      <w:pPr>
        <w:keepNext/>
        <w:spacing w:before="200" w:after="80"/>
      </w:pPr>
      <w:r>
        <w:rPr>
          <w:rFonts w:ascii="Calibri" w:hAnsi="Calibri"/>
          <w:b/>
          <w:color w:val="111827"/>
          <w:sz w:val="25"/>
        </w:rPr>
        <w:t>2.3.1. Expression des besoins fonctionnels par acteur</w:t>
      </w:r>
    </w:p>
    <w:p>
      <w:r>
        <w:t xml:space="preserve">Pour remédier efficacement aux faiblesses observées, le système </w:t>
      </w:r>
      <w:r>
        <w:rPr>
          <w:b/>
        </w:rPr>
        <w:t>SantéSN</w:t>
      </w:r>
      <w:r>
        <w:t xml:space="preserve"> doit satisfaire un ensemble d'exigences fonctionnelles rigoureuses, articulées autour des cinq rôles clés de la plateforme :</w:t>
      </w:r>
    </w:p>
    <w:p>
      <w:pPr>
        <w:spacing w:before="80" w:after="120"/>
        <w:ind w:left="288" w:right="288"/>
      </w:pPr>
      <w:r>
        <w:rPr>
          <w:rFonts w:ascii="Consolas" w:hAnsi="Consolas"/>
          <w:color w:val="27272A"/>
          <w:sz w:val="19"/>
        </w:rPr>
        <w:t xml:space="preserve">                                  MATRICE DES ACTEURS SANTÉSN</w:t>
        <w:br/>
        <w:t xml:space="preserve">  ┌──────────────────┐  ┌──────────────────┐  ┌──────────────────┐  ┌──────────────────┐  ┌──────────────────┐</w:t>
        <w:br/>
        <w:t xml:space="preserve">  │   1. ASSURÉ      │  │   2. MÉDECIN     │  │  3. PHARMACIEN   │  │ 4. GESTIONNAIRE  │  │ 5. ADMINISTRATEUR│</w:t>
        <w:br/>
        <w:t xml:space="preserve">  │  (Patient / AD)  │  │  (Prescripteur)  │  │  (Dispensateur)  │  │    (Auditeur)    │  │    (Système)     │</w:t>
        <w:br/>
        <w:t xml:space="preserve">  └──────────────────┘  └──────────────────┘  └──────────────────┘  └──────────────────┘  └──────────────────┘</w:t>
      </w:r>
    </w:p>
    <w:p>
      <w:pPr>
        <w:keepNext/>
        <w:spacing w:before="120" w:after="40"/>
      </w:pPr>
      <w:r>
        <w:rPr>
          <w:rFonts w:ascii="Calibri" w:hAnsi="Calibri"/>
          <w:b/>
          <w:i/>
          <w:color w:val="111827"/>
          <w:sz w:val="23"/>
        </w:rPr>
        <w:t>A. Besoins de l'Assuré (Patient / Ayant droit)</w:t>
      </w:r>
    </w:p>
    <w:p>
      <w:pPr>
        <w:pStyle w:val="ListBullet"/>
        <w:spacing w:before="20" w:after="40"/>
      </w:pPr>
      <w:r/>
      <w:r>
        <w:rPr>
          <w:b/>
        </w:rPr>
        <w:t>BF-ASS-01 :</w:t>
      </w:r>
      <w:r>
        <w:t xml:space="preserve"> Accéder à sa carte d'assuré dématérialisée (format carte bancaire ISO 7810 avec puce dorée et QR Code dynamique personnel).</w:t>
      </w:r>
    </w:p>
    <w:p>
      <w:pPr>
        <w:pStyle w:val="ListBullet"/>
        <w:spacing w:before="20" w:after="40"/>
      </w:pPr>
      <w:r/>
      <w:r>
        <w:rPr>
          <w:b/>
        </w:rPr>
        <w:t>BF-ASS-02 :</w:t>
      </w:r>
      <w:r>
        <w:t xml:space="preserve"> Consulter en temps réel la jauge de son plafond annuel familial restant et l'historique détaillé des consommations médicales de son foyer.</w:t>
      </w:r>
    </w:p>
    <w:p>
      <w:pPr>
        <w:pStyle w:val="ListBullet"/>
        <w:spacing w:before="20" w:after="40"/>
      </w:pPr>
      <w:r/>
      <w:r>
        <w:rPr>
          <w:b/>
        </w:rPr>
        <w:t>BF-ASS-03 :</w:t>
      </w:r>
      <w:r>
        <w:t xml:space="preserve"> Visualiser sur une carte interactive (SIG) les cliniques, cabinets médicaux et pharmacies conventionnés les plus proches avec calcul d'itinéraire.</w:t>
      </w:r>
    </w:p>
    <w:p>
      <w:pPr>
        <w:pStyle w:val="ListBullet"/>
        <w:spacing w:before="20" w:after="40"/>
      </w:pPr>
      <w:r/>
      <w:r>
        <w:rPr>
          <w:b/>
        </w:rPr>
        <w:t>BF-ASS-04 :</w:t>
      </w:r>
      <w:r>
        <w:t xml:space="preserve"> Déclarer et gérer ses ayants droit légaux (conjoint, enfants mineurs) avec téléversement des pièces justificatives (extrait de naissance, certificat de mariage).</w:t>
      </w:r>
    </w:p>
    <w:p>
      <w:pPr>
        <w:pStyle w:val="ListBullet"/>
        <w:spacing w:before="20" w:after="40"/>
      </w:pPr>
      <w:r/>
      <w:r>
        <w:rPr>
          <w:b/>
        </w:rPr>
        <w:t>BF-ASS-05 :</w:t>
      </w:r>
      <w:r>
        <w:t xml:space="preserve"> Soumettre une demande de remboursement hors réseau avec photo du reçu d'honoraires pour les soins urgents hors réseau conventionné.</w:t>
      </w:r>
    </w:p>
    <w:p>
      <w:pPr>
        <w:pStyle w:val="ListBullet"/>
        <w:spacing w:before="20" w:after="40"/>
      </w:pPr>
      <w:r/>
      <w:r>
        <w:rPr>
          <w:b/>
        </w:rPr>
        <w:t>BF-ASS-06 :</w:t>
      </w:r>
      <w:r>
        <w:t xml:space="preserve"> Disposer d'un mode hors-ligne complet (PWA) permettant d'afficher sa carte et son QR code même en l'absence de réseau Internet.</w:t>
      </w:r>
    </w:p>
    <w:p>
      <w:pPr>
        <w:keepNext/>
        <w:spacing w:before="120" w:after="40"/>
      </w:pPr>
      <w:r>
        <w:rPr>
          <w:rFonts w:ascii="Calibri" w:hAnsi="Calibri"/>
          <w:b/>
          <w:i/>
          <w:color w:val="111827"/>
          <w:sz w:val="23"/>
        </w:rPr>
        <w:t>B. Besoins du Médecin Traitant</w:t>
      </w:r>
    </w:p>
    <w:p>
      <w:pPr>
        <w:pStyle w:val="ListBullet"/>
        <w:spacing w:before="20" w:after="40"/>
      </w:pPr>
      <w:r/>
      <w:r>
        <w:rPr>
          <w:b/>
        </w:rPr>
        <w:t>BF-MED-01 :</w:t>
      </w:r>
      <w:r>
        <w:t xml:space="preserve"> Authentifier instantanément un patient par recherche de son matricule, scan de son QR code ou saisie de son identité.</w:t>
      </w:r>
    </w:p>
    <w:p>
      <w:pPr>
        <w:pStyle w:val="ListBullet"/>
        <w:spacing w:before="20" w:after="40"/>
      </w:pPr>
      <w:r/>
      <w:r>
        <w:rPr>
          <w:b/>
        </w:rPr>
        <w:t>BF-MED-02 :</w:t>
      </w:r>
      <w:r>
        <w:t xml:space="preserve"> Consulter l'historique médical des consultations antérieures et les allergies déclarées du patient.</w:t>
      </w:r>
    </w:p>
    <w:p>
      <w:pPr>
        <w:pStyle w:val="ListBullet"/>
        <w:spacing w:before="20" w:after="40"/>
      </w:pPr>
      <w:r/>
      <w:r>
        <w:rPr>
          <w:b/>
        </w:rPr>
        <w:t>BF-MED-03 :</w:t>
      </w:r>
      <w:r>
        <w:t xml:space="preserve"> Créer une consultation médicale et prescrire une ordonnance électronique normée (choix de médicaments, posologie, durée de traitement).</w:t>
      </w:r>
    </w:p>
    <w:p>
      <w:pPr>
        <w:pStyle w:val="ListBullet"/>
        <w:spacing w:before="20" w:after="40"/>
      </w:pPr>
      <w:r/>
      <w:r>
        <w:rPr>
          <w:b/>
        </w:rPr>
        <w:t>BF-MED-04 :</w:t>
      </w:r>
      <w:r>
        <w:t xml:space="preserve"> Signer électroniquement l'ordonnance avec apposition d'un tampon officiel SantéSN et génération d'un </w:t>
      </w:r>
      <w:r>
        <w:rPr>
          <w:b/>
        </w:rPr>
        <w:t>sceau d'intégrité cryptographique HMAC</w:t>
      </w:r>
      <w:r>
        <w:t>.</w:t>
      </w:r>
    </w:p>
    <w:p>
      <w:pPr>
        <w:pStyle w:val="ListBullet"/>
        <w:spacing w:before="20" w:after="40"/>
      </w:pPr>
      <w:r/>
      <w:r>
        <w:rPr>
          <w:b/>
        </w:rPr>
        <w:t>BF-MED-05 :</w:t>
      </w:r>
      <w:r>
        <w:t xml:space="preserve"> Générer un document PDF certifié imprimable au format A4 avec QR Code de délivrance infalsifiable.</w:t>
      </w:r>
    </w:p>
    <w:p>
      <w:pPr>
        <w:keepNext/>
        <w:spacing w:before="120" w:after="40"/>
      </w:pPr>
      <w:r>
        <w:rPr>
          <w:rFonts w:ascii="Calibri" w:hAnsi="Calibri"/>
          <w:b/>
          <w:i/>
          <w:color w:val="111827"/>
          <w:sz w:val="23"/>
        </w:rPr>
        <w:t>C. Besoins du Pharmacien d'Officine</w:t>
      </w:r>
    </w:p>
    <w:p>
      <w:pPr>
        <w:pStyle w:val="ListBullet"/>
        <w:spacing w:before="20" w:after="40"/>
      </w:pPr>
      <w:r/>
      <w:r>
        <w:rPr>
          <w:b/>
        </w:rPr>
        <w:t>BF-PHA-01 :</w:t>
      </w:r>
      <w:r>
        <w:t xml:space="preserve"> Scanner l'ordonnance médicale ou la carte de l'assuré à l'aide de la caméra du smartphone ou de la webcam de l'ordinateur de comptoir.</w:t>
      </w:r>
    </w:p>
    <w:p>
      <w:pPr>
        <w:pStyle w:val="ListBullet"/>
        <w:spacing w:before="20" w:after="40"/>
      </w:pPr>
      <w:r/>
      <w:r>
        <w:rPr>
          <w:b/>
        </w:rPr>
        <w:t>BF-PHA-02 :</w:t>
      </w:r>
      <w:r>
        <w:t xml:space="preserve"> Valider instantanément l'authenticité de l'ordonnance et contrôler que son statut est strictement « active » (non expirée et non déjà délivrée).</w:t>
      </w:r>
    </w:p>
    <w:p>
      <w:pPr>
        <w:pStyle w:val="ListBullet"/>
        <w:spacing w:before="20" w:after="40"/>
      </w:pPr>
      <w:r/>
      <w:r>
        <w:rPr>
          <w:b/>
        </w:rPr>
        <w:t>BF-PHA-03 :</w:t>
      </w:r>
      <w:r>
        <w:t xml:space="preserve"> Calculer automatiquement la part prise en charge par l'IPM (tiers payant) et le reste à charge à payer par l'assuré en espèces ou mobile money.</w:t>
      </w:r>
    </w:p>
    <w:p>
      <w:pPr>
        <w:pStyle w:val="ListBullet"/>
        <w:spacing w:before="20" w:after="40"/>
      </w:pPr>
      <w:r/>
      <w:r>
        <w:rPr>
          <w:b/>
        </w:rPr>
        <w:t>BF-PHA-04 :</w:t>
      </w:r>
      <w:r>
        <w:t xml:space="preserve"> Effectuer une </w:t>
      </w:r>
      <w:r>
        <w:rPr>
          <w:b/>
        </w:rPr>
        <w:t>validation atomique (ACID) en base de données</w:t>
      </w:r>
      <w:r>
        <w:t xml:space="preserve"> marquant l'ordonnance comme « délivrée » de façon immédiate et irréversible pour proscrire toute double dispensation.</w:t>
      </w:r>
    </w:p>
    <w:p>
      <w:pPr>
        <w:pStyle w:val="ListBullet"/>
        <w:spacing w:before="20" w:after="40"/>
      </w:pPr>
      <w:r/>
      <w:r>
        <w:rPr>
          <w:b/>
        </w:rPr>
        <w:t>BF-PHA-05 :</w:t>
      </w:r>
      <w:r>
        <w:t xml:space="preserve"> Consulter le registre journalier des ventes et télétransmettre électroniquement les créances à l'IPM sans paperasse.</w:t>
      </w:r>
    </w:p>
    <w:p>
      <w:pPr>
        <w:keepNext/>
        <w:spacing w:before="120" w:after="40"/>
      </w:pPr>
      <w:r>
        <w:rPr>
          <w:rFonts w:ascii="Calibri" w:hAnsi="Calibri"/>
          <w:b/>
          <w:i/>
          <w:color w:val="111827"/>
          <w:sz w:val="23"/>
        </w:rPr>
        <w:t>D. Besoins du Gestionnaire d'IPM</w:t>
      </w:r>
    </w:p>
    <w:p>
      <w:pPr>
        <w:pStyle w:val="ListBullet"/>
        <w:spacing w:before="20" w:after="40"/>
      </w:pPr>
      <w:r/>
      <w:r>
        <w:rPr>
          <w:b/>
        </w:rPr>
        <w:t>BF-GES-01 :</w:t>
      </w:r>
      <w:r>
        <w:t xml:space="preserve"> Piloter l'activité de l'IPM à travers un tableau de bord analytique (consommations par type de soins, taux de sinistralité, alertes de dépassement de plafonds).</w:t>
      </w:r>
    </w:p>
    <w:p>
      <w:pPr>
        <w:pStyle w:val="ListBullet"/>
        <w:spacing w:before="20" w:after="40"/>
      </w:pPr>
      <w:r/>
      <w:r>
        <w:rPr>
          <w:b/>
        </w:rPr>
        <w:t>BF-GES-02 :</w:t>
      </w:r>
      <w:r>
        <w:t xml:space="preserve"> Paramétrer les conventions de partenariat avec les établissements de santé (taux de tiers payant, tarification négociée, coordonnées GPS).</w:t>
      </w:r>
    </w:p>
    <w:p>
      <w:pPr>
        <w:pStyle w:val="ListBullet"/>
        <w:spacing w:before="20" w:after="40"/>
      </w:pPr>
      <w:r/>
      <w:r>
        <w:rPr>
          <w:b/>
        </w:rPr>
        <w:t>BF-GES-03 :</w:t>
      </w:r>
      <w:r>
        <w:t xml:space="preserve"> Configurer les plans de couverture des entreprises affiliées (plafonds annuels, listes d'exclusions, quotes-parts par catégorie).</w:t>
      </w:r>
    </w:p>
    <w:p>
      <w:pPr>
        <w:pStyle w:val="ListBullet"/>
        <w:spacing w:before="20" w:after="40"/>
      </w:pPr>
      <w:r/>
      <w:r>
        <w:rPr>
          <w:b/>
        </w:rPr>
        <w:t>BF-GES-04 :</w:t>
      </w:r>
      <w:r>
        <w:t xml:space="preserve"> Instruire les demandes de remboursement hors réseau (approbation, rejet motivé, notification instantanée de l'assuré).</w:t>
      </w:r>
    </w:p>
    <w:p>
      <w:pPr>
        <w:pStyle w:val="ListBullet"/>
        <w:spacing w:before="20" w:after="40"/>
      </w:pPr>
      <w:r/>
      <w:r>
        <w:rPr>
          <w:b/>
        </w:rPr>
        <w:t>BF-GES-05 :</w:t>
      </w:r>
      <w:r>
        <w:t xml:space="preserve"> Émettre les bordereaux mensuels de télétransmission et déclencher les liquidations comptables pour le virement aux prestataires.</w:t>
      </w:r>
    </w:p>
    <w:p>
      <w:pPr>
        <w:keepNext/>
        <w:spacing w:before="120" w:after="40"/>
      </w:pPr>
      <w:r>
        <w:rPr>
          <w:rFonts w:ascii="Calibri" w:hAnsi="Calibri"/>
          <w:b/>
          <w:i/>
          <w:color w:val="111827"/>
          <w:sz w:val="23"/>
        </w:rPr>
        <w:t>E. Besoins de l'Administrateur Système (IT)</w:t>
      </w:r>
    </w:p>
    <w:p>
      <w:pPr>
        <w:pStyle w:val="ListBullet"/>
        <w:spacing w:before="20" w:after="40"/>
      </w:pPr>
      <w:r/>
      <w:r>
        <w:rPr>
          <w:b/>
        </w:rPr>
        <w:t>BF-ADM-01 :</w:t>
      </w:r>
      <w:r>
        <w:t xml:space="preserve"> Gérer les comptes utilisateurs et l'affectation stricte des rôles selon le principe du moindre privilège (RBAC).</w:t>
      </w:r>
    </w:p>
    <w:p>
      <w:pPr>
        <w:pStyle w:val="ListBullet"/>
        <w:spacing w:before="20" w:after="40"/>
      </w:pPr>
      <w:r/>
      <w:r>
        <w:rPr>
          <w:b/>
        </w:rPr>
        <w:t>BF-ADM-02 :</w:t>
      </w:r>
      <w:r>
        <w:t xml:space="preserve"> Superviser le journal d'audit immuable (*Audit Trail*) traçant chaque action sensible (connexion, délivrance, consultation de dossier médical).</w:t>
      </w:r>
    </w:p>
    <w:p>
      <w:pPr>
        <w:pStyle w:val="ListBullet"/>
        <w:spacing w:before="20" w:after="40"/>
      </w:pPr>
      <w:r/>
      <w:r>
        <w:rPr>
          <w:b/>
        </w:rPr>
        <w:t>BF-ADM-03 :</w:t>
      </w:r>
      <w:r>
        <w:t xml:space="preserve"> Garantir l'isolation hermétique des données entre organismes concurrents (Architecture Multi-Tenant sans interférence).</w:t>
      </w:r>
    </w:p>
    <w:p>
      <w:pPr>
        <w:pStyle w:val="ListBullet"/>
        <w:spacing w:before="20" w:after="40"/>
      </w:pPr>
      <w:r/>
      <w:r>
        <w:rPr>
          <w:b/>
        </w:rPr>
        <w:t>BF-ADM-04 :</w:t>
      </w:r>
      <w:r>
        <w:t xml:space="preserve"> Surveiller les métriques techniques de performance et l'intégrité de la base de données.</w:t>
      </w:r>
    </w:p>
    <w:p>
      <w:pPr>
        <w:spacing w:before="120" w:after="120"/>
      </w:pPr>
      <w:r>
        <w:rPr>
          <w:color w:val="CBD5E1"/>
          <w:sz w:val="16"/>
        </w:rPr>
        <w:t>_______________________________________________________________________________</w:t>
      </w:r>
    </w:p>
    <w:p>
      <w:pPr>
        <w:keepNext/>
        <w:spacing w:before="200" w:after="80"/>
      </w:pPr>
      <w:r>
        <w:rPr>
          <w:rFonts w:ascii="Calibri" w:hAnsi="Calibri"/>
          <w:b/>
          <w:color w:val="111827"/>
          <w:sz w:val="25"/>
        </w:rPr>
        <w:t>2.3.2. Expression des besoins non fonctionnels</w:t>
      </w:r>
    </w:p>
    <w:p>
      <w:r>
        <w:t>Les exigences non fonctionnelles définissent les contraintes de qualité logicielle, de performance, d'ergonomie et de sécurité que le système doit impérativement respecter :</w:t>
      </w:r>
    </w:p>
    <w:p>
      <w:r>
        <w:t xml:space="preserve">1. </w:t>
      </w:r>
      <w:r>
        <w:rPr>
          <w:b/>
        </w:rPr>
        <w:t>Sécurité et Confidentialité Médicale (Fail-Closed) :</w:t>
      </w:r>
      <w:r/>
    </w:p>
    <w:p>
      <w:pPr>
        <w:pStyle w:val="ListBullet"/>
        <w:spacing w:before="20" w:after="40"/>
      </w:pPr>
      <w:r>
        <w:t>*Protection CDP Sénégal :* Le traitement des données médicales doit être strictement conforme aux dispositions de la loi sénégalaise n° 2008-12 sur la protection des données personnelles.</w:t>
      </w:r>
    </w:p>
    <w:p>
      <w:pPr>
        <w:pStyle w:val="ListBullet"/>
        <w:spacing w:before="20" w:after="40"/>
      </w:pPr>
      <w:r>
        <w:t>*Principe Zero-Trust :* Chaque requête API ou vue web doit vérifier côté serveur l'habilitation de l'utilisateur connecté sans jamais se fier aux données envoyées par le client.</w:t>
      </w:r>
    </w:p>
    <w:p>
      <w:pPr>
        <w:pStyle w:val="ListBullet"/>
        <w:spacing w:before="20" w:after="40"/>
      </w:pPr>
      <w:r>
        <w:t>*Protection contre les failles OWASP Top 10 :* Immunité garantie contre les injections SQL (via l'ORM Django paramétré), les attaques CSRF (jetons cryptographiques systématiques), les attaques XSS (échappement automatique des templates) et les failles IDOR (accès indirects bloqués).</w:t>
      </w:r>
    </w:p>
    <w:p>
      <w:pPr>
        <w:pStyle w:val="ListBullet"/>
        <w:spacing w:before="20" w:after="40"/>
      </w:pPr>
      <w:r>
        <w:t>*Sceau HMAC-SHA256 :* L'authenticité des ordonnances et des cartes assurés est protégée par une empreinte numérique calculée avec une clé secrète serveur.</w:t>
      </w:r>
    </w:p>
    <w:p>
      <w:r>
        <w:t xml:space="preserve">2. </w:t>
      </w:r>
      <w:r>
        <w:rPr>
          <w:b/>
        </w:rPr>
        <w:t>Performance et Disponibilité :</w:t>
      </w:r>
      <w:r/>
    </w:p>
    <w:p>
      <w:pPr>
        <w:pStyle w:val="ListBullet"/>
        <w:spacing w:before="20" w:after="40"/>
      </w:pPr>
      <w:r>
        <w:t>Temps de réponse moyen d'une page ou d'une transaction de scan inférieur à 800 millisecondes sur une connexion 3G/4G standard.</w:t>
      </w:r>
    </w:p>
    <w:p>
      <w:pPr>
        <w:pStyle w:val="ListBullet"/>
        <w:spacing w:before="20" w:after="40"/>
      </w:pPr>
      <w:r>
        <w:t>Base de données Cloud PostgreSQL hébergée sur une architecture résiliente avec basculement automatique et sauvegardes automatiques journalières.</w:t>
      </w:r>
    </w:p>
    <w:p>
      <w:r>
        <w:t xml:space="preserve">3. </w:t>
      </w:r>
      <w:r>
        <w:rPr>
          <w:b/>
        </w:rPr>
        <w:t>Ergonomie et Accessibilité (Mobile First) :</w:t>
      </w:r>
      <w:r/>
    </w:p>
    <w:p>
      <w:pPr>
        <w:pStyle w:val="ListBullet"/>
        <w:spacing w:before="20" w:after="40"/>
      </w:pPr>
      <w:r>
        <w:t>Conception adaptative (*Responsive Design*) garantissant une utilisation fluide sur smartphones Android, tablettes et ordinateurs de bureau.</w:t>
      </w:r>
    </w:p>
    <w:p>
      <w:pPr>
        <w:pStyle w:val="ListBullet"/>
        <w:spacing w:before="20" w:after="40"/>
      </w:pPr>
      <w:r>
        <w:t xml:space="preserve">Prise en charge d'un </w:t>
      </w:r>
      <w:r>
        <w:rPr>
          <w:b/>
        </w:rPr>
        <w:t>mode clair et d'un mode sombre</w:t>
      </w:r>
      <w:r>
        <w:t xml:space="preserve"> natif respectant les normes de contraste WCAG 2.1 AA pour le confort visuel des praticiens de santé.</w:t>
      </w:r>
    </w:p>
    <w:p>
      <w:pPr>
        <w:pStyle w:val="ListBullet"/>
        <w:spacing w:before="20" w:after="40"/>
      </w:pPr>
      <w:r>
        <w:t>Respect d'une politique « zéro emoji » dans les documents officiels (ordonnances, fiches de soins, factures) au profit d'icônes vectorielles SVG institutionnelles.</w:t>
      </w:r>
    </w:p>
    <w:p>
      <w:r>
        <w:t xml:space="preserve">4. </w:t>
      </w:r>
      <w:r>
        <w:rPr>
          <w:b/>
        </w:rPr>
        <w:t>Résilience et Tolérance aux Pannes Réseau (Offline First) :</w:t>
      </w:r>
      <w:r/>
    </w:p>
    <w:p>
      <w:pPr>
        <w:pStyle w:val="ListBullet"/>
        <w:spacing w:before="20" w:after="40"/>
      </w:pPr>
      <w:r>
        <w:t>Grâce à la technologie PWA et à l'enregistrement d'un Service Worker, les assurés peuvent afficher leur carte d'assuré et leurs droits même en l'absence totale de couverture réseau.</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2.4. Solutions envisagées et choix retenu</w:t>
      </w:r>
    </w:p>
    <w:p>
      <w:pPr>
        <w:keepNext/>
        <w:spacing w:before="200" w:after="80"/>
      </w:pPr>
      <w:r>
        <w:rPr>
          <w:rFonts w:ascii="Calibri" w:hAnsi="Calibri"/>
          <w:b/>
          <w:color w:val="111827"/>
          <w:sz w:val="25"/>
        </w:rPr>
        <w:t>2.4.1. Analyse comparative des alternatives techniques</w:t>
      </w:r>
    </w:p>
    <w:p>
      <w:r>
        <w:t>Avant d'arrêter nos choix d'ingénierie, nous avons évalué trois approches architecturales distinctes :</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60" w:type="dxa"/>
              <w:right w:w="160" w:type="dxa"/>
            </w:tcMar>
            <w:shd w:fill="0E7C86"/>
          </w:tcPr>
          <w:p>
            <w:pPr>
              <w:spacing w:before="60" w:after="60"/>
            </w:pPr>
            <w:r>
              <w:rPr>
                <w:b/>
                <w:color w:val="FFFFFF"/>
                <w:sz w:val="20"/>
              </w:rPr>
              <w:t>Critères d'Évaluation</w:t>
            </w:r>
          </w:p>
        </w:tc>
        <w:tc>
          <w:tcPr>
            <w:tcW w:type="dxa" w:w="2340"/>
            <w:tcMar>
              <w:top w:w="120" w:type="dxa"/>
              <w:bottom w:w="120" w:type="dxa"/>
              <w:left w:w="160" w:type="dxa"/>
              <w:right w:w="160" w:type="dxa"/>
            </w:tcMar>
            <w:shd w:fill="0E7C86"/>
          </w:tcPr>
          <w:p>
            <w:pPr>
              <w:spacing w:before="60" w:after="60"/>
            </w:pPr>
            <w:r>
              <w:rPr>
                <w:b/>
                <w:color w:val="FFFFFF"/>
                <w:sz w:val="20"/>
              </w:rPr>
              <w:t>Option 1 : Progiciel Propriétaire Existant</w:t>
            </w:r>
          </w:p>
        </w:tc>
        <w:tc>
          <w:tcPr>
            <w:tcW w:type="dxa" w:w="2340"/>
            <w:tcMar>
              <w:top w:w="120" w:type="dxa"/>
              <w:bottom w:w="120" w:type="dxa"/>
              <w:left w:w="160" w:type="dxa"/>
              <w:right w:w="160" w:type="dxa"/>
            </w:tcMar>
            <w:shd w:fill="0E7C86"/>
          </w:tcPr>
          <w:p>
            <w:pPr>
              <w:spacing w:before="60" w:after="60"/>
            </w:pPr>
            <w:r>
              <w:rPr>
                <w:b/>
                <w:color w:val="FFFFFF"/>
                <w:sz w:val="20"/>
              </w:rPr>
              <w:t>Option 2 : Application Mobile Native (Flutter / Kotlin)</w:t>
            </w:r>
          </w:p>
        </w:tc>
        <w:tc>
          <w:tcPr>
            <w:tcW w:type="dxa" w:w="2340"/>
            <w:tcMar>
              <w:top w:w="120" w:type="dxa"/>
              <w:bottom w:w="120" w:type="dxa"/>
              <w:left w:w="160" w:type="dxa"/>
              <w:right w:w="160" w:type="dxa"/>
            </w:tcMar>
            <w:shd w:fill="0E7C86"/>
          </w:tcPr>
          <w:p>
            <w:pPr>
              <w:spacing w:before="60" w:after="60"/>
            </w:pPr>
            <w:r>
              <w:rPr>
                <w:b/>
                <w:color w:val="FFFFFF"/>
                <w:sz w:val="20"/>
              </w:rPr>
              <w:t>Option 3 : Solution Web PWA Django (SantéSN Retenue)</w:t>
            </w:r>
          </w:p>
        </w:tc>
      </w:tr>
      <w:tr>
        <w:tc>
          <w:tcPr>
            <w:tcW w:type="dxa" w:w="2340"/>
            <w:tcMar>
              <w:top w:w="120" w:type="dxa"/>
              <w:bottom w:w="120" w:type="dxa"/>
              <w:left w:w="160" w:type="dxa"/>
              <w:right w:w="160" w:type="dxa"/>
            </w:tcMar>
            <w:shd w:fill="F8FAFC"/>
          </w:tcPr>
          <w:p>
            <w:pPr>
              <w:spacing w:before="60" w:after="60"/>
            </w:pPr>
            <w:r>
              <w:rPr>
                <w:sz w:val="19"/>
              </w:rPr>
              <w:t>Coût d'acquisition et licences</w:t>
            </w:r>
          </w:p>
        </w:tc>
        <w:tc>
          <w:tcPr>
            <w:tcW w:type="dxa" w:w="2340"/>
            <w:tcMar>
              <w:top w:w="120" w:type="dxa"/>
              <w:bottom w:w="120" w:type="dxa"/>
              <w:left w:w="160" w:type="dxa"/>
              <w:right w:w="160" w:type="dxa"/>
            </w:tcMar>
            <w:shd w:fill="F8FAFC"/>
          </w:tcPr>
          <w:p>
            <w:pPr>
              <w:spacing w:before="60" w:after="60"/>
            </w:pPr>
            <w:r>
              <w:rPr>
                <w:sz w:val="19"/>
              </w:rPr>
              <w:t>Très élevé (coûts récurrents en devises, dépendance éditeur étranger).</w:t>
            </w:r>
          </w:p>
        </w:tc>
        <w:tc>
          <w:tcPr>
            <w:tcW w:type="dxa" w:w="2340"/>
            <w:tcMar>
              <w:top w:w="120" w:type="dxa"/>
              <w:bottom w:w="120" w:type="dxa"/>
              <w:left w:w="160" w:type="dxa"/>
              <w:right w:w="160" w:type="dxa"/>
            </w:tcMar>
            <w:shd w:fill="F8FAFC"/>
          </w:tcPr>
          <w:p>
            <w:pPr>
              <w:spacing w:before="60" w:after="60"/>
            </w:pPr>
            <w:r>
              <w:rPr>
                <w:sz w:val="19"/>
              </w:rPr>
              <w:t>Moyen (double développement Android &amp; iOS ou maintenance multi-plateforme).</w:t>
            </w:r>
          </w:p>
        </w:tc>
        <w:tc>
          <w:tcPr>
            <w:tcW w:type="dxa" w:w="2340"/>
            <w:tcMar>
              <w:top w:w="120" w:type="dxa"/>
              <w:bottom w:w="120" w:type="dxa"/>
              <w:left w:w="160" w:type="dxa"/>
              <w:right w:w="160" w:type="dxa"/>
            </w:tcMar>
            <w:shd w:fill="F8FAFC"/>
          </w:tcPr>
          <w:p>
            <w:pPr>
              <w:spacing w:before="60" w:after="60"/>
            </w:pPr>
            <w:r>
              <w:rPr>
                <w:sz w:val="19"/>
              </w:rPr>
              <w:t>Zéro coût de licence (100 % Open Source), souveraineté technologique totale.</w:t>
            </w:r>
          </w:p>
        </w:tc>
      </w:tr>
      <w:tr>
        <w:tc>
          <w:tcPr>
            <w:tcW w:type="dxa" w:w="2340"/>
            <w:tcMar>
              <w:top w:w="120" w:type="dxa"/>
              <w:bottom w:w="120" w:type="dxa"/>
              <w:left w:w="160" w:type="dxa"/>
              <w:right w:w="160" w:type="dxa"/>
            </w:tcMar>
            <w:shd w:fill="FFFFFF"/>
          </w:tcPr>
          <w:p>
            <w:pPr>
              <w:spacing w:before="60" w:after="60"/>
            </w:pPr>
            <w:r>
              <w:rPr>
                <w:sz w:val="19"/>
              </w:rPr>
              <w:t>Accessibilité pour les acteurs</w:t>
            </w:r>
          </w:p>
        </w:tc>
        <w:tc>
          <w:tcPr>
            <w:tcW w:type="dxa" w:w="2340"/>
            <w:tcMar>
              <w:top w:w="120" w:type="dxa"/>
              <w:bottom w:w="120" w:type="dxa"/>
              <w:left w:w="160" w:type="dxa"/>
              <w:right w:w="160" w:type="dxa"/>
            </w:tcMar>
            <w:shd w:fill="FFFFFF"/>
          </w:tcPr>
          <w:p>
            <w:pPr>
              <w:spacing w:before="60" w:after="60"/>
            </w:pPr>
            <w:r>
              <w:rPr>
                <w:sz w:val="19"/>
              </w:rPr>
              <w:t>Nécessite des postes clients lourds spécifiques sous Windows.</w:t>
            </w:r>
          </w:p>
        </w:tc>
        <w:tc>
          <w:tcPr>
            <w:tcW w:type="dxa" w:w="2340"/>
            <w:tcMar>
              <w:top w:w="120" w:type="dxa"/>
              <w:bottom w:w="120" w:type="dxa"/>
              <w:left w:w="160" w:type="dxa"/>
              <w:right w:w="160" w:type="dxa"/>
            </w:tcMar>
            <w:shd w:fill="FFFFFF"/>
          </w:tcPr>
          <w:p>
            <w:pPr>
              <w:spacing w:before="60" w:after="60"/>
            </w:pPr>
            <w:r>
              <w:rPr>
                <w:sz w:val="19"/>
              </w:rPr>
              <w:t>Obligation d'installation via Google Play / Apple Store (barrière pour smartphones d'entrée de gamme).</w:t>
            </w:r>
          </w:p>
        </w:tc>
        <w:tc>
          <w:tcPr>
            <w:tcW w:type="dxa" w:w="2340"/>
            <w:tcMar>
              <w:top w:w="120" w:type="dxa"/>
              <w:bottom w:w="120" w:type="dxa"/>
              <w:left w:w="160" w:type="dxa"/>
              <w:right w:w="160" w:type="dxa"/>
            </w:tcMar>
            <w:shd w:fill="FFFFFF"/>
          </w:tcPr>
          <w:p>
            <w:pPr>
              <w:spacing w:before="60" w:after="60"/>
            </w:pPr>
            <w:r>
              <w:rPr>
                <w:sz w:val="19"/>
              </w:rPr>
              <w:t>Accès universel via n'importe quel navigateur moderne, sans installation forcée.</w:t>
            </w:r>
          </w:p>
        </w:tc>
      </w:tr>
      <w:tr>
        <w:tc>
          <w:tcPr>
            <w:tcW w:type="dxa" w:w="2340"/>
            <w:tcMar>
              <w:top w:w="120" w:type="dxa"/>
              <w:bottom w:w="120" w:type="dxa"/>
              <w:left w:w="160" w:type="dxa"/>
              <w:right w:w="160" w:type="dxa"/>
            </w:tcMar>
            <w:shd w:fill="F8FAFC"/>
          </w:tcPr>
          <w:p>
            <w:pPr>
              <w:spacing w:before="60" w:after="60"/>
            </w:pPr>
            <w:r>
              <w:rPr>
                <w:sz w:val="19"/>
              </w:rPr>
              <w:t>Mode hors-ligne et réactivité</w:t>
            </w:r>
          </w:p>
        </w:tc>
        <w:tc>
          <w:tcPr>
            <w:tcW w:type="dxa" w:w="2340"/>
            <w:tcMar>
              <w:top w:w="120" w:type="dxa"/>
              <w:bottom w:w="120" w:type="dxa"/>
              <w:left w:w="160" w:type="dxa"/>
              <w:right w:w="160" w:type="dxa"/>
            </w:tcMar>
            <w:shd w:fill="F8FAFC"/>
          </w:tcPr>
          <w:p>
            <w:pPr>
              <w:spacing w:before="60" w:after="60"/>
            </w:pPr>
            <w:r>
              <w:rPr>
                <w:sz w:val="19"/>
              </w:rPr>
              <w:t>Faible ou inexistant.</w:t>
            </w:r>
          </w:p>
        </w:tc>
        <w:tc>
          <w:tcPr>
            <w:tcW w:type="dxa" w:w="2340"/>
            <w:tcMar>
              <w:top w:w="120" w:type="dxa"/>
              <w:bottom w:w="120" w:type="dxa"/>
              <w:left w:w="160" w:type="dxa"/>
              <w:right w:w="160" w:type="dxa"/>
            </w:tcMar>
            <w:shd w:fill="F8FAFC"/>
          </w:tcPr>
          <w:p>
            <w:pPr>
              <w:spacing w:before="60" w:after="60"/>
            </w:pPr>
            <w:r>
              <w:rPr>
                <w:sz w:val="19"/>
              </w:rPr>
              <w:t>Excellent mais volumineux (fichiers APK de 50 Mo+).</w:t>
            </w:r>
          </w:p>
        </w:tc>
        <w:tc>
          <w:tcPr>
            <w:tcW w:type="dxa" w:w="2340"/>
            <w:tcMar>
              <w:top w:w="120" w:type="dxa"/>
              <w:bottom w:w="120" w:type="dxa"/>
              <w:left w:w="160" w:type="dxa"/>
              <w:right w:w="160" w:type="dxa"/>
            </w:tcMar>
            <w:shd w:fill="F8FAFC"/>
          </w:tcPr>
          <w:p>
            <w:pPr>
              <w:spacing w:before="60" w:after="60"/>
            </w:pPr>
            <w:r>
              <w:rPr>
                <w:sz w:val="19"/>
              </w:rPr>
              <w:t>Excellente légèreté (cache PWA de moins de 3 Mo, Service Worker instantané).</w:t>
            </w:r>
          </w:p>
        </w:tc>
      </w:tr>
      <w:tr>
        <w:tc>
          <w:tcPr>
            <w:tcW w:type="dxa" w:w="2340"/>
            <w:tcMar>
              <w:top w:w="120" w:type="dxa"/>
              <w:bottom w:w="120" w:type="dxa"/>
              <w:left w:w="160" w:type="dxa"/>
              <w:right w:w="160" w:type="dxa"/>
            </w:tcMar>
            <w:shd w:fill="FFFFFF"/>
          </w:tcPr>
          <w:p>
            <w:pPr>
              <w:spacing w:before="60" w:after="60"/>
            </w:pPr>
            <w:r>
              <w:rPr>
                <w:sz w:val="19"/>
              </w:rPr>
              <w:t>Sécurité des données de santé</w:t>
            </w:r>
          </w:p>
        </w:tc>
        <w:tc>
          <w:tcPr>
            <w:tcW w:type="dxa" w:w="2340"/>
            <w:tcMar>
              <w:top w:w="120" w:type="dxa"/>
              <w:bottom w:w="120" w:type="dxa"/>
              <w:left w:w="160" w:type="dxa"/>
              <w:right w:w="160" w:type="dxa"/>
            </w:tcMar>
            <w:shd w:fill="FFFFFF"/>
          </w:tcPr>
          <w:p>
            <w:pPr>
              <w:spacing w:before="60" w:after="60"/>
            </w:pPr>
            <w:r>
              <w:rPr>
                <w:sz w:val="19"/>
              </w:rPr>
              <w:t>Hébergement souvent hors du continent (non-conformité CDP).</w:t>
            </w:r>
          </w:p>
        </w:tc>
        <w:tc>
          <w:tcPr>
            <w:tcW w:type="dxa" w:w="2340"/>
            <w:tcMar>
              <w:top w:w="120" w:type="dxa"/>
              <w:bottom w:w="120" w:type="dxa"/>
              <w:left w:w="160" w:type="dxa"/>
              <w:right w:w="160" w:type="dxa"/>
            </w:tcMar>
            <w:shd w:fill="FFFFFF"/>
          </w:tcPr>
          <w:p>
            <w:pPr>
              <w:spacing w:before="60" w:after="60"/>
            </w:pPr>
            <w:r>
              <w:rPr>
                <w:sz w:val="19"/>
              </w:rPr>
              <w:t>Risque d'extraction de logique côté client mobile.</w:t>
            </w:r>
          </w:p>
        </w:tc>
        <w:tc>
          <w:tcPr>
            <w:tcW w:type="dxa" w:w="2340"/>
            <w:tcMar>
              <w:top w:w="120" w:type="dxa"/>
              <w:bottom w:w="120" w:type="dxa"/>
              <w:left w:w="160" w:type="dxa"/>
              <w:right w:w="160" w:type="dxa"/>
            </w:tcMar>
            <w:shd w:fill="FFFFFF"/>
          </w:tcPr>
          <w:p>
            <w:pPr>
              <w:spacing w:before="60" w:after="60"/>
            </w:pPr>
            <w:r>
              <w:rPr>
                <w:sz w:val="19"/>
              </w:rPr>
              <w:t>Logique métier 100 % sécurisée côté serveur Django, chiffrement HTTPS strict.</w:t>
            </w:r>
          </w:p>
        </w:tc>
      </w:tr>
      <w:tr>
        <w:tc>
          <w:tcPr>
            <w:tcW w:type="dxa" w:w="2340"/>
            <w:tcMar>
              <w:top w:w="120" w:type="dxa"/>
              <w:bottom w:w="120" w:type="dxa"/>
              <w:left w:w="160" w:type="dxa"/>
              <w:right w:w="160" w:type="dxa"/>
            </w:tcMar>
            <w:shd w:fill="F8FAFC"/>
          </w:tcPr>
          <w:p>
            <w:pPr>
              <w:spacing w:before="60" w:after="60"/>
            </w:pPr>
            <w:r>
              <w:rPr>
                <w:sz w:val="19"/>
              </w:rPr>
              <w:t>Facilité de déploiement</w:t>
            </w:r>
          </w:p>
        </w:tc>
        <w:tc>
          <w:tcPr>
            <w:tcW w:type="dxa" w:w="2340"/>
            <w:tcMar>
              <w:top w:w="120" w:type="dxa"/>
              <w:bottom w:w="120" w:type="dxa"/>
              <w:left w:w="160" w:type="dxa"/>
              <w:right w:w="160" w:type="dxa"/>
            </w:tcMar>
            <w:shd w:fill="F8FAFC"/>
          </w:tcPr>
          <w:p>
            <w:pPr>
              <w:spacing w:before="60" w:after="60"/>
            </w:pPr>
            <w:r>
              <w:rPr>
                <w:sz w:val="19"/>
              </w:rPr>
              <w:t>Déploiements locaux fastidieux sur chaque site.</w:t>
            </w:r>
          </w:p>
        </w:tc>
        <w:tc>
          <w:tcPr>
            <w:tcW w:type="dxa" w:w="2340"/>
            <w:tcMar>
              <w:top w:w="120" w:type="dxa"/>
              <w:bottom w:w="120" w:type="dxa"/>
              <w:left w:w="160" w:type="dxa"/>
              <w:right w:w="160" w:type="dxa"/>
            </w:tcMar>
            <w:shd w:fill="F8FAFC"/>
          </w:tcPr>
          <w:p>
            <w:pPr>
              <w:spacing w:before="60" w:after="60"/>
            </w:pPr>
            <w:r>
              <w:rPr>
                <w:sz w:val="19"/>
              </w:rPr>
              <w:t>Mises à jour soumises aux délais de validation des stores.</w:t>
            </w:r>
          </w:p>
        </w:tc>
        <w:tc>
          <w:tcPr>
            <w:tcW w:type="dxa" w:w="2340"/>
            <w:tcMar>
              <w:top w:w="120" w:type="dxa"/>
              <w:bottom w:w="120" w:type="dxa"/>
              <w:left w:w="160" w:type="dxa"/>
              <w:right w:w="160" w:type="dxa"/>
            </w:tcMar>
            <w:shd w:fill="F8FAFC"/>
          </w:tcPr>
          <w:p>
            <w:pPr>
              <w:spacing w:before="60" w:after="60"/>
            </w:pPr>
            <w:r>
              <w:rPr>
                <w:sz w:val="19"/>
              </w:rPr>
              <w:t>Déploiement Cloud continu en temps réel (CI/CD) instantané pour tous les usagers.</w:t>
            </w:r>
          </w:p>
        </w:tc>
      </w:tr>
    </w:tbl>
    <w:p>
      <w:pPr>
        <w:keepNext/>
        <w:spacing w:before="200" w:after="80"/>
      </w:pPr>
      <w:r>
        <w:rPr>
          <w:rFonts w:ascii="Calibri" w:hAnsi="Calibri"/>
          <w:b/>
          <w:color w:val="111827"/>
          <w:sz w:val="25"/>
        </w:rPr>
        <w:t>2.4.2. Justification du choix retenu</w:t>
      </w:r>
    </w:p>
    <w:p>
      <w:r>
        <w:t xml:space="preserve">Le choix d'une </w:t>
      </w:r>
      <w:r>
        <w:rPr>
          <w:b/>
        </w:rPr>
        <w:t>Application Web Progressive (PWA) adossée au framework Django</w:t>
      </w:r>
      <w:r>
        <w:t xml:space="preserve"> s'impose comme la solution optimale pour le contexte socio-technique sénégalais :</w:t>
      </w:r>
    </w:p>
    <w:p>
      <w:pPr>
        <w:pStyle w:val="ListBullet"/>
        <w:spacing w:before="20" w:after="40"/>
      </w:pPr>
      <w:r/>
      <w:r>
        <w:rPr>
          <w:b/>
        </w:rPr>
        <w:t>Django (Python) :</w:t>
      </w:r>
      <w:r>
        <w:t xml:space="preserve"> Réputé dans le monde entier comme le framework le plus robuste pour les applications bancaires et médicales nécessitant une sécurité sans faille (*Batteries-included*), un ORM puissant immunisé contre les injections SQL et une gestion native des utilisateurs et permissions.</w:t>
      </w:r>
    </w:p>
    <w:p>
      <w:pPr>
        <w:pStyle w:val="ListBullet"/>
        <w:spacing w:before="20" w:after="40"/>
      </w:pPr>
      <w:r/>
      <w:r>
        <w:rPr>
          <w:b/>
        </w:rPr>
        <w:t>PWA (Progressive Web App) :</w:t>
      </w:r>
      <w:r>
        <w:t xml:space="preserve"> Offre le meilleur des deux mondes entre le web et le mobile. Elle permet aux assurés d'ajouter l'icône SantéSN directement sur l'écran d'accueil de leur smartphone sans passer par un magasin d'applications, tout en garantissant un fonctionnement hors-ligne pour la présentation des cartes de soins.</w:t>
      </w:r>
    </w:p>
    <w:p>
      <w:pPr>
        <w:pStyle w:val="ListBullet"/>
        <w:spacing w:before="20" w:after="40"/>
      </w:pPr>
      <w:r/>
      <w:r>
        <w:rPr>
          <w:b/>
        </w:rPr>
        <w:t>PostgreSQL (Neon) :</w:t>
      </w:r>
      <w:r>
        <w:t xml:space="preserve"> Base de données relationnelle leader, assurant l'intégrité transactionnelle ACID absolue, indispensable pour garantir qu'un centime d'assurance ou une boîte de médicament ne soit jamais comptabilisé deux fois.</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2.5. Planification du projet</w:t>
      </w:r>
    </w:p>
    <w:p>
      <w:r>
        <w:t>La conduite du projet a été structurée sur un calendrier prévisionnel rigoureux de 12 semaines, découpé en six itérations (sprints Scrum) successives :</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60" w:type="dxa"/>
              <w:right w:w="160" w:type="dxa"/>
            </w:tcMar>
            <w:shd w:fill="0E7C86"/>
          </w:tcPr>
          <w:p>
            <w:pPr>
              <w:spacing w:before="60" w:after="60"/>
            </w:pPr>
            <w:r>
              <w:rPr>
                <w:b/>
                <w:color w:val="FFFFFF"/>
                <w:sz w:val="20"/>
              </w:rPr>
              <w:t>Phase / Sprint</w:t>
            </w:r>
          </w:p>
        </w:tc>
        <w:tc>
          <w:tcPr>
            <w:tcW w:type="dxa" w:w="3120"/>
            <w:tcMar>
              <w:top w:w="120" w:type="dxa"/>
              <w:bottom w:w="120" w:type="dxa"/>
              <w:left w:w="160" w:type="dxa"/>
              <w:right w:w="160" w:type="dxa"/>
            </w:tcMar>
            <w:shd w:fill="0E7C86"/>
          </w:tcPr>
          <w:p>
            <w:pPr>
              <w:spacing w:before="60" w:after="60"/>
            </w:pPr>
            <w:r>
              <w:rPr>
                <w:b/>
                <w:color w:val="FFFFFF"/>
                <w:sz w:val="20"/>
              </w:rPr>
              <w:t>Période</w:t>
            </w:r>
          </w:p>
        </w:tc>
        <w:tc>
          <w:tcPr>
            <w:tcW w:type="dxa" w:w="3120"/>
            <w:tcMar>
              <w:top w:w="120" w:type="dxa"/>
              <w:bottom w:w="120" w:type="dxa"/>
              <w:left w:w="160" w:type="dxa"/>
              <w:right w:w="160" w:type="dxa"/>
            </w:tcMar>
            <w:shd w:fill="0E7C86"/>
          </w:tcPr>
          <w:p>
            <w:pPr>
              <w:spacing w:before="60" w:after="60"/>
            </w:pPr>
            <w:r>
              <w:rPr>
                <w:b/>
                <w:color w:val="FFFFFF"/>
                <w:sz w:val="20"/>
              </w:rPr>
              <w:t>Livrables et Objectifs Opérationnels</w:t>
            </w:r>
          </w:p>
        </w:tc>
      </w:tr>
      <w:tr>
        <w:tc>
          <w:tcPr>
            <w:tcW w:type="dxa" w:w="3120"/>
            <w:tcMar>
              <w:top w:w="120" w:type="dxa"/>
              <w:bottom w:w="120" w:type="dxa"/>
              <w:left w:w="160" w:type="dxa"/>
              <w:right w:w="160" w:type="dxa"/>
            </w:tcMar>
            <w:shd w:fill="F8FAFC"/>
          </w:tcPr>
          <w:p>
            <w:pPr>
              <w:spacing w:before="60" w:after="60"/>
            </w:pPr>
            <w:r>
              <w:rPr>
                <w:sz w:val="19"/>
              </w:rPr>
              <w:t>Phase 0 : Cadrage &amp; Étude préalable</w:t>
            </w:r>
          </w:p>
        </w:tc>
        <w:tc>
          <w:tcPr>
            <w:tcW w:type="dxa" w:w="3120"/>
            <w:tcMar>
              <w:top w:w="120" w:type="dxa"/>
              <w:bottom w:w="120" w:type="dxa"/>
              <w:left w:w="160" w:type="dxa"/>
              <w:right w:w="160" w:type="dxa"/>
            </w:tcMar>
            <w:shd w:fill="F8FAFC"/>
          </w:tcPr>
          <w:p>
            <w:pPr>
              <w:spacing w:before="60" w:after="60"/>
            </w:pPr>
            <w:r>
              <w:rPr>
                <w:sz w:val="19"/>
              </w:rPr>
              <w:t>Semaines 1 – 2</w:t>
            </w:r>
          </w:p>
        </w:tc>
        <w:tc>
          <w:tcPr>
            <w:tcW w:type="dxa" w:w="3120"/>
            <w:tcMar>
              <w:top w:w="120" w:type="dxa"/>
              <w:bottom w:w="120" w:type="dxa"/>
              <w:left w:w="160" w:type="dxa"/>
              <w:right w:w="160" w:type="dxa"/>
            </w:tcMar>
            <w:shd w:fill="F8FAFC"/>
          </w:tcPr>
          <w:p>
            <w:pPr>
              <w:spacing w:before="60" w:after="60"/>
            </w:pPr>
            <w:r>
              <w:rPr>
                <w:sz w:val="19"/>
              </w:rPr>
              <w:t>Cahier des charges fonctionnel, benchmark des IPM, matrice SWOT, choix technologiques.</w:t>
            </w:r>
          </w:p>
        </w:tc>
      </w:tr>
      <w:tr>
        <w:tc>
          <w:tcPr>
            <w:tcW w:type="dxa" w:w="3120"/>
            <w:tcMar>
              <w:top w:w="120" w:type="dxa"/>
              <w:bottom w:w="120" w:type="dxa"/>
              <w:left w:w="160" w:type="dxa"/>
              <w:right w:w="160" w:type="dxa"/>
            </w:tcMar>
            <w:shd w:fill="FFFFFF"/>
          </w:tcPr>
          <w:p>
            <w:pPr>
              <w:spacing w:before="60" w:after="60"/>
            </w:pPr>
            <w:r>
              <w:rPr>
                <w:sz w:val="19"/>
              </w:rPr>
              <w:t>Sprint 1 : Socle &amp; Multi-Tenancy</w:t>
            </w:r>
          </w:p>
        </w:tc>
        <w:tc>
          <w:tcPr>
            <w:tcW w:type="dxa" w:w="3120"/>
            <w:tcMar>
              <w:top w:w="120" w:type="dxa"/>
              <w:bottom w:w="120" w:type="dxa"/>
              <w:left w:w="160" w:type="dxa"/>
              <w:right w:w="160" w:type="dxa"/>
            </w:tcMar>
            <w:shd w:fill="FFFFFF"/>
          </w:tcPr>
          <w:p>
            <w:pPr>
              <w:spacing w:before="60" w:after="60"/>
            </w:pPr>
            <w:r>
              <w:rPr>
                <w:sz w:val="19"/>
              </w:rPr>
              <w:t>Semaines 3 – 4</w:t>
            </w:r>
          </w:p>
        </w:tc>
        <w:tc>
          <w:tcPr>
            <w:tcW w:type="dxa" w:w="3120"/>
            <w:tcMar>
              <w:top w:w="120" w:type="dxa"/>
              <w:bottom w:w="120" w:type="dxa"/>
              <w:left w:w="160" w:type="dxa"/>
              <w:right w:w="160" w:type="dxa"/>
            </w:tcMar>
            <w:shd w:fill="FFFFFF"/>
          </w:tcPr>
          <w:p>
            <w:pPr>
              <w:spacing w:before="60" w:after="60"/>
            </w:pPr>
            <w:r>
              <w:rPr>
                <w:sz w:val="19"/>
              </w:rPr>
              <w:t>Modélisation MCD, paramétrage Django/PostgreSQL, système d'authentification RBAC et isolation multi-organismes.</w:t>
            </w:r>
          </w:p>
        </w:tc>
      </w:tr>
      <w:tr>
        <w:tc>
          <w:tcPr>
            <w:tcW w:type="dxa" w:w="3120"/>
            <w:tcMar>
              <w:top w:w="120" w:type="dxa"/>
              <w:bottom w:w="120" w:type="dxa"/>
              <w:left w:w="160" w:type="dxa"/>
              <w:right w:w="160" w:type="dxa"/>
            </w:tcMar>
            <w:shd w:fill="F8FAFC"/>
          </w:tcPr>
          <w:p>
            <w:pPr>
              <w:spacing w:before="60" w:after="60"/>
            </w:pPr>
            <w:r>
              <w:rPr>
                <w:sz w:val="19"/>
              </w:rPr>
              <w:t>Sprint 2 : Assurés &amp; Cartes ISO</w:t>
            </w:r>
          </w:p>
        </w:tc>
        <w:tc>
          <w:tcPr>
            <w:tcW w:type="dxa" w:w="3120"/>
            <w:tcMar>
              <w:top w:w="120" w:type="dxa"/>
              <w:bottom w:w="120" w:type="dxa"/>
              <w:left w:w="160" w:type="dxa"/>
              <w:right w:w="160" w:type="dxa"/>
            </w:tcMar>
            <w:shd w:fill="F8FAFC"/>
          </w:tcPr>
          <w:p>
            <w:pPr>
              <w:spacing w:before="60" w:after="60"/>
            </w:pPr>
            <w:r>
              <w:rPr>
                <w:sz w:val="19"/>
              </w:rPr>
              <w:t>Semaines 5 – 6</w:t>
            </w:r>
          </w:p>
        </w:tc>
        <w:tc>
          <w:tcPr>
            <w:tcW w:type="dxa" w:w="3120"/>
            <w:tcMar>
              <w:top w:w="120" w:type="dxa"/>
              <w:bottom w:w="120" w:type="dxa"/>
              <w:left w:w="160" w:type="dxa"/>
              <w:right w:w="160" w:type="dxa"/>
            </w:tcMar>
            <w:shd w:fill="F8FAFC"/>
          </w:tcPr>
          <w:p>
            <w:pPr>
              <w:spacing w:before="60" w:after="60"/>
            </w:pPr>
            <w:r>
              <w:rPr>
                <w:sz w:val="19"/>
              </w:rPr>
              <w:t>Module de gestion des assurés, ayants droit, génération des cartes ISO 7810 avec QR Code et algorithme de plafonnement.</w:t>
            </w:r>
          </w:p>
        </w:tc>
      </w:tr>
      <w:tr>
        <w:tc>
          <w:tcPr>
            <w:tcW w:type="dxa" w:w="3120"/>
            <w:tcMar>
              <w:top w:w="120" w:type="dxa"/>
              <w:bottom w:w="120" w:type="dxa"/>
              <w:left w:w="160" w:type="dxa"/>
              <w:right w:w="160" w:type="dxa"/>
            </w:tcMar>
            <w:shd w:fill="FFFFFF"/>
          </w:tcPr>
          <w:p>
            <w:pPr>
              <w:spacing w:before="60" w:after="60"/>
            </w:pPr>
            <w:r>
              <w:rPr>
                <w:sz w:val="19"/>
              </w:rPr>
              <w:t>Sprint 3 : Espace Médical &amp; Ordonnances</w:t>
            </w:r>
          </w:p>
        </w:tc>
        <w:tc>
          <w:tcPr>
            <w:tcW w:type="dxa" w:w="3120"/>
            <w:tcMar>
              <w:top w:w="120" w:type="dxa"/>
              <w:bottom w:w="120" w:type="dxa"/>
              <w:left w:w="160" w:type="dxa"/>
              <w:right w:w="160" w:type="dxa"/>
            </w:tcMar>
            <w:shd w:fill="FFFFFF"/>
          </w:tcPr>
          <w:p>
            <w:pPr>
              <w:spacing w:before="60" w:after="60"/>
            </w:pPr>
            <w:r>
              <w:rPr>
                <w:sz w:val="19"/>
              </w:rPr>
              <w:t>Semaines 7 – 8</w:t>
            </w:r>
          </w:p>
        </w:tc>
        <w:tc>
          <w:tcPr>
            <w:tcW w:type="dxa" w:w="3120"/>
            <w:tcMar>
              <w:top w:w="120" w:type="dxa"/>
              <w:bottom w:w="120" w:type="dxa"/>
              <w:left w:w="160" w:type="dxa"/>
              <w:right w:w="160" w:type="dxa"/>
            </w:tcMar>
            <w:shd w:fill="FFFFFF"/>
          </w:tcPr>
          <w:p>
            <w:pPr>
              <w:spacing w:before="60" w:after="60"/>
            </w:pPr>
            <w:r>
              <w:rPr>
                <w:sz w:val="19"/>
              </w:rPr>
              <w:t>Agenda de consultation, dossier médical patient, prescription d'ordonnances et signature électronique avec sceau HMAC.</w:t>
            </w:r>
          </w:p>
        </w:tc>
      </w:tr>
      <w:tr>
        <w:tc>
          <w:tcPr>
            <w:tcW w:type="dxa" w:w="3120"/>
            <w:tcMar>
              <w:top w:w="120" w:type="dxa"/>
              <w:bottom w:w="120" w:type="dxa"/>
              <w:left w:w="160" w:type="dxa"/>
              <w:right w:w="160" w:type="dxa"/>
            </w:tcMar>
            <w:shd w:fill="F8FAFC"/>
          </w:tcPr>
          <w:p>
            <w:pPr>
              <w:spacing w:before="60" w:after="60"/>
            </w:pPr>
            <w:r>
              <w:rPr>
                <w:sz w:val="19"/>
              </w:rPr>
              <w:t>Sprint 4 : Espace Pharmacie &amp; Scanner</w:t>
            </w:r>
          </w:p>
        </w:tc>
        <w:tc>
          <w:tcPr>
            <w:tcW w:type="dxa" w:w="3120"/>
            <w:tcMar>
              <w:top w:w="120" w:type="dxa"/>
              <w:bottom w:w="120" w:type="dxa"/>
              <w:left w:w="160" w:type="dxa"/>
              <w:right w:w="160" w:type="dxa"/>
            </w:tcMar>
            <w:shd w:fill="F8FAFC"/>
          </w:tcPr>
          <w:p>
            <w:pPr>
              <w:spacing w:before="60" w:after="60"/>
            </w:pPr>
            <w:r>
              <w:rPr>
                <w:sz w:val="19"/>
              </w:rPr>
              <w:t>Semaines 9 – 10</w:t>
            </w:r>
          </w:p>
        </w:tc>
        <w:tc>
          <w:tcPr>
            <w:tcW w:type="dxa" w:w="3120"/>
            <w:tcMar>
              <w:top w:w="120" w:type="dxa"/>
              <w:bottom w:w="120" w:type="dxa"/>
              <w:left w:w="160" w:type="dxa"/>
              <w:right w:w="160" w:type="dxa"/>
            </w:tcMar>
            <w:shd w:fill="F8FAFC"/>
          </w:tcPr>
          <w:p>
            <w:pPr>
              <w:spacing w:before="60" w:after="60"/>
            </w:pPr>
            <w:r>
              <w:rPr>
                <w:sz w:val="19"/>
              </w:rPr>
              <w:t>Scanner optique par caméra (`jsQR`), vérification d'ordonnance en direct, délivrance atomique et calcul du tiers payant.</w:t>
            </w:r>
          </w:p>
        </w:tc>
      </w:tr>
      <w:tr>
        <w:tc>
          <w:tcPr>
            <w:tcW w:type="dxa" w:w="3120"/>
            <w:tcMar>
              <w:top w:w="120" w:type="dxa"/>
              <w:bottom w:w="120" w:type="dxa"/>
              <w:left w:w="160" w:type="dxa"/>
              <w:right w:w="160" w:type="dxa"/>
            </w:tcMar>
            <w:shd w:fill="FFFFFF"/>
          </w:tcPr>
          <w:p>
            <w:pPr>
              <w:spacing w:before="60" w:after="60"/>
            </w:pPr>
            <w:r>
              <w:rPr>
                <w:sz w:val="19"/>
              </w:rPr>
              <w:t>Sprint 5 : Gestionnaire &amp; SIG Leaflet</w:t>
            </w:r>
          </w:p>
        </w:tc>
        <w:tc>
          <w:tcPr>
            <w:tcW w:type="dxa" w:w="3120"/>
            <w:tcMar>
              <w:top w:w="120" w:type="dxa"/>
              <w:bottom w:w="120" w:type="dxa"/>
              <w:left w:w="160" w:type="dxa"/>
              <w:right w:w="160" w:type="dxa"/>
            </w:tcMar>
            <w:shd w:fill="FFFFFF"/>
          </w:tcPr>
          <w:p>
            <w:pPr>
              <w:spacing w:before="60" w:after="60"/>
            </w:pPr>
            <w:r>
              <w:rPr>
                <w:sz w:val="19"/>
              </w:rPr>
              <w:t>Semaines 11 – 12</w:t>
            </w:r>
          </w:p>
        </w:tc>
        <w:tc>
          <w:tcPr>
            <w:tcW w:type="dxa" w:w="3120"/>
            <w:tcMar>
              <w:top w:w="120" w:type="dxa"/>
              <w:bottom w:w="120" w:type="dxa"/>
              <w:left w:w="160" w:type="dxa"/>
              <w:right w:w="160" w:type="dxa"/>
            </w:tcMar>
            <w:shd w:fill="FFFFFF"/>
          </w:tcPr>
          <w:p>
            <w:pPr>
              <w:spacing w:before="60" w:after="60"/>
            </w:pPr>
            <w:r>
              <w:rPr>
                <w:sz w:val="19"/>
              </w:rPr>
              <w:t>Paramétrage des conventions, géolocalisation Leaflet, cartographie sanitaire, télétransmission et remboursements hors réseau.</w:t>
            </w:r>
          </w:p>
        </w:tc>
      </w:tr>
      <w:tr>
        <w:tc>
          <w:tcPr>
            <w:tcW w:type="dxa" w:w="3120"/>
            <w:tcMar>
              <w:top w:w="120" w:type="dxa"/>
              <w:bottom w:w="120" w:type="dxa"/>
              <w:left w:w="160" w:type="dxa"/>
              <w:right w:w="160" w:type="dxa"/>
            </w:tcMar>
            <w:shd w:fill="F8FAFC"/>
          </w:tcPr>
          <w:p>
            <w:pPr>
              <w:spacing w:before="60" w:after="60"/>
            </w:pPr>
            <w:r>
              <w:rPr>
                <w:sz w:val="19"/>
              </w:rPr>
              <w:t>Sprint 6 : QA, PWA, Tests &amp; Clôture</w:t>
            </w:r>
          </w:p>
        </w:tc>
        <w:tc>
          <w:tcPr>
            <w:tcW w:type="dxa" w:w="3120"/>
            <w:tcMar>
              <w:top w:w="120" w:type="dxa"/>
              <w:bottom w:w="120" w:type="dxa"/>
              <w:left w:w="160" w:type="dxa"/>
              <w:right w:w="160" w:type="dxa"/>
            </w:tcMar>
            <w:shd w:fill="F8FAFC"/>
          </w:tcPr>
          <w:p>
            <w:pPr>
              <w:spacing w:before="60" w:after="60"/>
            </w:pPr>
            <w:r>
              <w:rPr>
                <w:sz w:val="19"/>
              </w:rPr>
              <w:t>Semaines 13 – 14</w:t>
            </w:r>
          </w:p>
        </w:tc>
        <w:tc>
          <w:tcPr>
            <w:tcW w:type="dxa" w:w="3120"/>
            <w:tcMar>
              <w:top w:w="120" w:type="dxa"/>
              <w:bottom w:w="120" w:type="dxa"/>
              <w:left w:w="160" w:type="dxa"/>
              <w:right w:w="160" w:type="dxa"/>
            </w:tcMar>
            <w:shd w:fill="F8FAFC"/>
          </w:tcPr>
          <w:p>
            <w:pPr>
              <w:spacing w:before="60" w:after="60"/>
            </w:pPr>
            <w:r>
              <w:rPr>
                <w:sz w:val="19"/>
              </w:rPr>
              <w:t>Service Worker PWA, suite des 196 tests automatisés validés, audit de sécurité, déploiement Vercel et rédaction finale du mémoire.</w:t>
            </w:r>
          </w:p>
        </w:tc>
      </w:tr>
    </w:tbl>
    <w:p>
      <w:r>
        <w:br w:type="page"/>
      </w:r>
    </w:p>
    <w:p>
      <w:pPr>
        <w:keepNext/>
        <w:spacing w:before="280" w:after="160"/>
      </w:pPr>
      <w:r>
        <w:rPr>
          <w:rFonts w:ascii="Calibri" w:hAnsi="Calibri"/>
          <w:b/>
          <w:color w:val="0E7C86"/>
          <w:sz w:val="38"/>
        </w:rPr>
        <w:t>CHAPITRE 3 : CONCEPTION DE LA SOLUTION</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3.1. Démarche et méthode de conception</w:t>
      </w:r>
    </w:p>
    <w:p>
      <w:pPr>
        <w:keepNext/>
        <w:spacing w:before="200" w:after="80"/>
      </w:pPr>
      <w:r>
        <w:rPr>
          <w:rFonts w:ascii="Calibri" w:hAnsi="Calibri"/>
          <w:b/>
          <w:color w:val="111827"/>
          <w:sz w:val="25"/>
        </w:rPr>
        <w:t>3.1.1. L'approche orientée objet et le langage UML</w:t>
      </w:r>
    </w:p>
    <w:p>
      <w:r>
        <w:t xml:space="preserve">Pour traduire avec fidélité les règles de gestion complexes du tiers payant médical en une architecture logicielle robuste et maintenable, nous avons adopté une </w:t>
      </w:r>
      <w:r>
        <w:rPr>
          <w:b/>
        </w:rPr>
        <w:t>démarche de conception orientée objet basée sur le standard UML (Unified Modeling Language)</w:t>
      </w:r>
      <w:r>
        <w:t>.</w:t>
      </w:r>
    </w:p>
    <w:p>
      <w:r>
        <w:t>Le langage UML nous a permis de modéliser le système sous deux perspectives complémentaires :</w:t>
      </w:r>
    </w:p>
    <w:p>
      <w:r>
        <w:t xml:space="preserve">1. </w:t>
      </w:r>
      <w:r>
        <w:rPr>
          <w:b/>
        </w:rPr>
        <w:t>La perspective structurelle (statique) :</w:t>
      </w:r>
      <w:r>
        <w:t xml:space="preserve"> Définir la structure interne du système, les entités métier fondamentales, leurs attributs et les relations qui les unissent (Diagramme de classes, Modèle Conceptuel et Logique de Données).</w:t>
      </w:r>
    </w:p>
    <w:p>
      <w:r>
        <w:t xml:space="preserve">2. </w:t>
      </w:r>
      <w:r>
        <w:rPr>
          <w:b/>
        </w:rPr>
        <w:t>La perspective comportementale (dynamique) :</w:t>
      </w:r>
      <w:r>
        <w:t xml:space="preserve"> Représenter les interactions temporelles entre les acteurs et la plateforme lors de transactions sensibles, telles que la validation d'une ordonnance en pharmacie ou l'instruction d'un remboursement (Diagrammes de cas d'utilisation, Diagrammes de séquence).</w:t>
      </w:r>
    </w:p>
    <w:p>
      <w:pPr>
        <w:keepNext/>
        <w:spacing w:before="200" w:after="80"/>
      </w:pPr>
      <w:r>
        <w:rPr>
          <w:rFonts w:ascii="Calibri" w:hAnsi="Calibri"/>
          <w:b/>
          <w:color w:val="111827"/>
          <w:sz w:val="25"/>
        </w:rPr>
        <w:t>3.1.2. Les patrons de conception architecturaux retenus</w:t>
      </w:r>
    </w:p>
    <w:p>
      <w:r>
        <w:t>La conception de SantéSN s'appuie sur des patrons de conception (*Design Patterns*) reconnus de l'ingénierie logicielle :</w:t>
      </w:r>
    </w:p>
    <w:p>
      <w:pPr>
        <w:pStyle w:val="ListBullet"/>
        <w:spacing w:before="20" w:after="40"/>
      </w:pPr>
      <w:r/>
      <w:r>
        <w:rPr>
          <w:b/>
        </w:rPr>
        <w:t>Le patron MVT (Modèle - Vue - Template) :</w:t>
      </w:r>
      <w:r>
        <w:t xml:space="preserve"> Déclinaison élégante du patron MVC adaptée au cadriciel Django. Le </w:t>
      </w:r>
      <w:r>
        <w:rPr>
          <w:b/>
        </w:rPr>
        <w:t>Modèle</w:t>
      </w:r>
      <w:r>
        <w:t xml:space="preserve"> gère la persistance et l'intégrité des données ; le </w:t>
      </w:r>
      <w:r>
        <w:rPr>
          <w:b/>
        </w:rPr>
        <w:t>Template</w:t>
      </w:r>
      <w:r>
        <w:t xml:space="preserve"> gère le rendu visuel HTML/CSS/JS ; la </w:t>
      </w:r>
      <w:r>
        <w:rPr>
          <w:b/>
        </w:rPr>
        <w:t>Vue</w:t>
      </w:r>
      <w:r>
        <w:t xml:space="preserve"> orchestre la logique métier, contrôle les permissions et fait le pont entre modèles et templates.</w:t>
      </w:r>
    </w:p>
    <w:p>
      <w:pPr>
        <w:pStyle w:val="ListBullet"/>
        <w:spacing w:before="20" w:after="40"/>
      </w:pPr>
      <w:r/>
      <w:r>
        <w:rPr>
          <w:b/>
        </w:rPr>
        <w:t>Le patron Scoped QuerySet (Multi-Tenant Isolation) :</w:t>
      </w:r>
      <w:r>
        <w:t xml:space="preserve"> Patron d'isolation garantissant que chaque requête en base de données filtre automatiquement les enregistrements en fonction de l'organisme d'appartenance de l'utilisateur connecté (*Fail-Closed Tenant Partitioning*).</w:t>
      </w:r>
    </w:p>
    <w:p>
      <w:pPr>
        <w:pStyle w:val="ListBullet"/>
        <w:spacing w:before="20" w:after="40"/>
      </w:pPr>
      <w:r/>
      <w:r>
        <w:rPr>
          <w:b/>
        </w:rPr>
        <w:t>Le patron Service Layer (Couche de Services) :</w:t>
      </w:r>
      <w:r>
        <w:t xml:space="preserve"> Encapsulation de la logique algorithmique complexe (génération d'empreintes HMAC, calcul de l'écrêtement de plafond annuel, calcul de quote-part) dans des modules d'aide autonomes et réutilisables.</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3.2. Architecture générale de la solution</w:t>
      </w:r>
    </w:p>
    <w:p>
      <w:pPr>
        <w:keepNext/>
        <w:spacing w:before="200" w:after="80"/>
      </w:pPr>
      <w:r>
        <w:rPr>
          <w:rFonts w:ascii="Calibri" w:hAnsi="Calibri"/>
          <w:b/>
          <w:color w:val="111827"/>
          <w:sz w:val="25"/>
        </w:rPr>
        <w:t>3.2.1. Vue d'ensemble de l'architecture applicative</w:t>
      </w:r>
    </w:p>
    <w:p>
      <w:r>
        <w:t>L'architecture globale de SantéSN est conçue selon un modèle multicouche moderne en environnement Cloud :</w:t>
      </w:r>
    </w:p>
    <w:p>
      <w:pPr>
        <w:spacing w:before="80" w:after="120"/>
        <w:ind w:left="288" w:right="288"/>
      </w:pPr>
      <w:r>
        <w:rPr>
          <w:rFonts w:ascii="Consolas" w:hAnsi="Consolas"/>
          <w:color w:val="27272A"/>
          <w:sz w:val="19"/>
        </w:rPr>
        <w:t xml:space="preserve">                        ARCHITECTURE GLOBALE EN COUCHES DE SANTÉSN</w:t>
        <w:br/>
        <w:t xml:space="preserve">  ┌──────────────────────────────────────────────────────────────────────────────────┐</w:t>
        <w:br/>
        <w:t xml:space="preserve">  │ 1. COUCHE CLIENT (FRONTEND PWA RESPONSIVE)                                      │</w:t>
        <w:br/>
        <w:t xml:space="preserve">  │    Navigateurs Desktop &amp; Mobile (Chrome, Safari, Firefox, Edge)                  │</w:t>
        <w:br/>
        <w:t xml:space="preserve">  │    • Interface HTML5 sémantique / CSS Tokens / JavaScript Vanilla                │</w:t>
        <w:br/>
        <w:t xml:space="preserve">  │    • PWA Service Worker (Cache hors-ligne des cartes d'assurés)                  │</w:t>
        <w:br/>
        <w:t xml:space="preserve">  │    • Moteur de scan optique par caméra en temps réel (jsQR)                      │</w:t>
        <w:br/>
        <w:t xml:space="preserve">  │    • Cartographie interactive SIG Leaflet (Tuiles Google Maps &amp; Esri)            │</w:t>
        <w:br/>
        <w:t xml:space="preserve">  └────────────────────────────────────────┬─────────────────────────────────────────┘</w:t>
        <w:br/>
        <w:t xml:space="preserve">                                           │ Requêtes HTTPS chiffrées (TLS 1.3)</w:t>
        <w:br/>
        <w:t xml:space="preserve">                                           ▼</w:t>
        <w:br/>
        <w:t xml:space="preserve">  ┌──────────────────────────────────────────────────────────────────────────────────┐</w:t>
        <w:br/>
        <w:t xml:space="preserve">  │ 2. COUCHE ACCÈS, SÉCURITÉ &amp; PROXY (GATEWAY CLOUD)                                │</w:t>
        <w:br/>
        <w:t xml:space="preserve">  │    Vercel Edge Network / Reverse Proxy Nginx                                     │</w:t>
        <w:br/>
        <w:t xml:space="preserve">  │    • Terminaison SSL/TLS, Pare-feu applicatif (WAF)                              │</w:t>
        <w:br/>
        <w:t xml:space="preserve">  │    • Protection Anti-DDoS, Routage dynamique, Compression Brotzi / Gzip          │</w:t>
        <w:br/>
        <w:t xml:space="preserve">  └────────────────────────────────────────┬─────────────────────────────────────────┘</w:t>
        <w:br/>
        <w:t xml:space="preserve">                                           │ Interface WSGI (Web Server Gateway)</w:t>
        <w:br/>
        <w:t xml:space="preserve">                                           ▼</w:t>
        <w:br/>
        <w:t xml:space="preserve">  ┌──────────────────────────────────────────────────────────────────────────────────┐</w:t>
        <w:br/>
        <w:t xml:space="preserve">  │ 3. COUCHE MÉTIER &amp; APPLICATION (BACKEND DJANGO 5.2 / PYTHON 3.12+)               │</w:t>
        <w:br/>
        <w:t xml:space="preserve">  │    • Middlewares de Sécurité (CSRF, Clickjacking, SecurityHeaders)               │</w:t>
        <w:br/>
        <w:t xml:space="preserve">  │    • Moteur d'Authentification &amp; Contrôle d'Accès RBAC (5 rôles hermétiques)     │</w:t>
        <w:br/>
        <w:t xml:space="preserve">  │    • Gestionnaire de Tiers Payant &amp; Algorithme d'écrêtement des plafonds         │</w:t>
        <w:br/>
        <w:t xml:space="preserve">  │    • Module Cryptographique HMAC-SHA256 (Sceau d'intégrité ordonnances)          │</w:t>
        <w:br/>
        <w:t xml:space="preserve">  │    • Générateur de documents certifiés PDF A4 (Tampon SantéSN)                   │</w:t>
        <w:br/>
        <w:t xml:space="preserve">  │    • Connecteur Passerelle WhatsApp Meta Cloud API v21.0                         │</w:t>
        <w:br/>
        <w:t xml:space="preserve">  └────────────────────────────────────────┬─────────────────────────────────────────┘</w:t>
        <w:br/>
        <w:t xml:space="preserve">                                           │ Pilote psycopg3 / Pool de connexions</w:t>
        <w:br/>
        <w:t xml:space="preserve">                                           ▼</w:t>
        <w:br/>
        <w:t xml:space="preserve">  ┌──────────────────────────────────────────────────────────────────────────────────┐</w:t>
        <w:br/>
        <w:t xml:space="preserve">  │ 4. COUCHE PERSISTANCE DE DONNÉES (DATABASE CLOUD)                                │</w:t>
        <w:br/>
        <w:t xml:space="preserve">  │    Base de Données Relationnelle PostgreSQL (Cluster Cloud Neon Serverless)      │</w:t>
        <w:br/>
        <w:t xml:space="preserve">  │    • Transactions ACID intégrales avec verrouillage pessimiste (`select_for_update`)│</w:t>
        <w:br/>
        <w:t xml:space="preserve">  │    • Indexation B-Tree &amp; Recherche textuelle normalisée                          │</w:t>
        <w:br/>
        <w:t xml:space="preserve">  │    • Réplication synchrone et sauvegardes automatisées chiffrées au repos        │</w:t>
        <w:br/>
        <w:t xml:space="preserve">  └──────────────────────────────────────────────────────────────────────────────────┘</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3.3. Modélisation détaillée</w:t>
      </w:r>
    </w:p>
    <w:p>
      <w:pPr>
        <w:keepNext/>
        <w:spacing w:before="200" w:after="80"/>
      </w:pPr>
      <w:r>
        <w:rPr>
          <w:rFonts w:ascii="Calibri" w:hAnsi="Calibri"/>
          <w:b/>
          <w:color w:val="111827"/>
          <w:sz w:val="25"/>
        </w:rPr>
        <w:t>3.3.1. Diagramme de cas d'utilisation global</w:t>
      </w:r>
    </w:p>
    <w:p>
      <w:r>
        <w:t>Le diagramme de cas d'utilisation synthétise les fonctionnalités majeures offertes par la plateforme à chaque profil d'acteur :</w:t>
      </w:r>
    </w:p>
    <w:p>
      <w:pPr>
        <w:spacing w:before="80" w:after="120"/>
        <w:ind w:left="288" w:right="288"/>
      </w:pPr>
      <w:r>
        <w:rPr>
          <w:rFonts w:ascii="Consolas" w:hAnsi="Consolas"/>
          <w:color w:val="27272A"/>
          <w:sz w:val="19"/>
        </w:rPr>
        <w:t xml:space="preserve">                        DIAGRAMME DE CAS D'UTILISATION GLOBAL</w:t>
        <w:br/>
        <w:t xml:space="preserve">  ┌─────────────────┐</w:t>
        <w:br/>
        <w:t xml:space="preserve">  │     ASSURÉ      │ ───&gt; Consulter sa carte dématérialisée avec QR Code</w:t>
        <w:br/>
        <w:t xml:space="preserve">  │    (PATIENT)    │ ───&gt; Suivre la consommation du plafond annuel familial</w:t>
        <w:br/>
        <w:t xml:space="preserve">  │                 │ ───&gt; Géolocaliser les prestataires partenaires (Leaflet)</w:t>
        <w:br/>
        <w:t xml:space="preserve">  │                 │ ───&gt; Soumettre une demande de remboursement hors réseau</w:t>
        <w:br/>
        <w:t xml:space="preserve">  │                 │ ───&gt; Déclarer un ayant droit avec justificatif</w:t>
        <w:br/>
        <w:t xml:space="preserve">  └─────────────────┘</w:t>
        <w:br/>
        <w:t xml:space="preserve">  ┌─────────────────┐</w:t>
        <w:br/>
        <w:t xml:space="preserve">  │     MÉDECIN     │ ───&gt; Authentifier un patient (matricule ou scan QR)</w:t>
        <w:br/>
        <w:t xml:space="preserve">  │   TRAITANT      │ ───&gt; Consulter le dossier médical et historique</w:t>
        <w:br/>
        <w:t xml:space="preserve">  │                 │ ───&gt; Rédiger une ordonnance électronique</w:t>
        <w:br/>
        <w:t xml:space="preserve">  │                 │ ───&gt; Signer avec sceau d'intégrité HMAC-SHA256</w:t>
        <w:br/>
        <w:t xml:space="preserve">  │                 │ ───&gt; Exporter l'ordonnance A4 officielle en PDF</w:t>
        <w:br/>
        <w:t xml:space="preserve">  └─────────────────┘</w:t>
        <w:br/>
        <w:t xml:space="preserve">  ┌─────────────────┐</w:t>
        <w:br/>
        <w:t xml:space="preserve">  │   PHARMACIEN    │ ───&gt; Scanner le QR Code ordonnance par caméra</w:t>
        <w:br/>
        <w:t xml:space="preserve">  │   D'OFFICINE    │ ───&gt; Valider l'authenticité et statut de la prescription</w:t>
        <w:br/>
        <w:t xml:space="preserve">  │                 │ ───&gt; Calculer automatiquement la quote-part et tiers payant</w:t>
        <w:br/>
        <w:t xml:space="preserve">  │                 │ ───&gt; Délivrer les médicaments (verrouillage atomique ACID)</w:t>
        <w:br/>
        <w:t xml:space="preserve">  │                 │ ───&gt; Télétransmettre les créances à l'IPM</w:t>
        <w:br/>
        <w:t xml:space="preserve">  └─────────────────┘</w:t>
        <w:br/>
        <w:t xml:space="preserve">  ┌─────────────────┐</w:t>
        <w:br/>
        <w:t xml:space="preserve">  │  GESTIONNAIRE   │ ───&gt; Piloter le tableau de bord financier de l'IPM</w:t>
        <w:br/>
        <w:t xml:space="preserve">  │     D'IPM       │ ───&gt; Paramétrer les conventions tarifaires prestataires</w:t>
        <w:br/>
        <w:t xml:space="preserve">  │                 │ ───&gt; Configurer les plans de couverture et plafonds</w:t>
        <w:br/>
        <w:t xml:space="preserve">  │                 │ ───&gt; Instruire les demandes de remboursement hors réseau</w:t>
        <w:br/>
        <w:t xml:space="preserve">  │                 │ ───&gt; Générer les bordereaux mensuels de liquidation</w:t>
        <w:br/>
        <w:t xml:space="preserve">  └─────────────────┘</w:t>
        <w:br/>
        <w:t xml:space="preserve">  ┌─────────────────┐</w:t>
        <w:br/>
        <w:t xml:space="preserve">  │  ADMINISTRATEUR │ ───&gt; Gérer les comptes et attributions de rôles (RBAC)</w:t>
        <w:br/>
        <w:t xml:space="preserve">  │     SYSTÈME     │ ───&gt; Consulter le journal d'audit immuable (Audit Trail)</w:t>
        <w:br/>
        <w:t xml:space="preserve">  │                 │ ───&gt; Superviser les métriques techniques et la conformité CDP</w:t>
        <w:br/>
        <w:t xml:space="preserve">  └─────────────────┘</w:t>
      </w:r>
    </w:p>
    <w:p>
      <w:pPr>
        <w:spacing w:before="120" w:after="120"/>
      </w:pPr>
      <w:r>
        <w:rPr>
          <w:color w:val="CBD5E1"/>
          <w:sz w:val="16"/>
        </w:rPr>
        <w:t>_______________________________________________________________________________</w:t>
      </w:r>
    </w:p>
    <w:p>
      <w:pPr>
        <w:keepNext/>
        <w:spacing w:before="200" w:after="80"/>
      </w:pPr>
      <w:r>
        <w:rPr>
          <w:rFonts w:ascii="Calibri" w:hAnsi="Calibri"/>
          <w:b/>
          <w:color w:val="111827"/>
          <w:sz w:val="25"/>
        </w:rPr>
        <w:t>3.3.2. Diagrammes de séquence des scénarios critiques</w:t>
      </w:r>
    </w:p>
    <w:p>
      <w:pPr>
        <w:keepNext/>
        <w:spacing w:before="120" w:after="40"/>
      </w:pPr>
      <w:r>
        <w:rPr>
          <w:rFonts w:ascii="Calibri" w:hAnsi="Calibri"/>
          <w:b/>
          <w:i/>
          <w:color w:val="111827"/>
          <w:sz w:val="23"/>
        </w:rPr>
        <w:t>A. Scénario 1 : Délivrance sécurisée d'une ordonnance en pharmacie</w:t>
      </w:r>
    </w:p>
    <w:p>
      <w:r>
        <w:t>Ce diagramme détaille les échanges garantissant qu'aucune ordonnance ne puisse être délivrée deux fois :</w:t>
      </w:r>
    </w:p>
    <w:p>
      <w:pPr>
        <w:spacing w:before="80" w:after="120"/>
        <w:ind w:left="288" w:right="288"/>
      </w:pPr>
      <w:r>
        <w:rPr>
          <w:rFonts w:ascii="Consolas" w:hAnsi="Consolas"/>
          <w:color w:val="27272A"/>
          <w:sz w:val="19"/>
        </w:rPr>
        <w:t xml:space="preserve">         DIAGRAMME DE SÉQUENCE : VALIDATION ET DÉLIVRANCE ATOMIQUE EN PHARMACIE</w:t>
        <w:br/>
        <w:t xml:space="preserve">  Assuré         Pharmacien              SantéSN Web/PWA            Base PostgreSQL</w:t>
        <w:br/>
        <w:t xml:space="preserve">    │                 │                         │                         │</w:t>
        <w:br/>
        <w:t xml:space="preserve">    │ Présente QR code│                         │                         │</w:t>
        <w:br/>
        <w:t xml:space="preserve">    │────────────────&gt;│ Active la caméra        │                         │</w:t>
        <w:br/>
        <w:t xml:space="preserve">    │                 │────────────────────────&gt;│                         │</w:t>
        <w:br/>
        <w:t xml:space="preserve">    │                 │ Vise le QR Code         │ Capture frame vidéo     │</w:t>
        <w:br/>
        <w:t xml:space="preserve">    │                 │                         │ Décode avec jsQR        │</w:t>
        <w:br/>
        <w:t xml:space="preserve">    │                 │                         │ Extrait ID &amp; Signature  │</w:t>
        <w:br/>
        <w:t xml:space="preserve">    │                 │                         │────────────────────────&gt;│</w:t>
        <w:br/>
        <w:t xml:space="preserve">    │                 │                         │                         │ SELECT FOR UPDATE</w:t>
        <w:br/>
        <w:t xml:space="preserve">    │                 │                         │                         │ (Verrou pessimiste)</w:t>
        <w:br/>
        <w:t xml:space="preserve">    │                 │                         │&lt;────────────────────────│</w:t>
        <w:br/>
        <w:t xml:space="preserve">    │                 │                         │ Vérifie Statut==ACTIVE  │</w:t>
        <w:br/>
        <w:t xml:space="preserve">    │                 │                         │ Vérifie Sceau HMAC      │</w:t>
        <w:br/>
        <w:t xml:space="preserve">    │                 │ Affiche écran contrôle  │                         │</w:t>
        <w:br/>
        <w:t xml:space="preserve">    │                 │&lt;────────────────────────│                         │</w:t>
        <w:br/>
        <w:t xml:space="preserve">    │                 │                         │                         │</w:t>
        <w:br/>
        <w:t xml:space="preserve">    │                 │ Clique sur "Confirmer   │                         │</w:t>
        <w:br/>
        <w:t xml:space="preserve">    │                 │  la délivrance"         │                         │</w:t>
        <w:br/>
        <w:t xml:space="preserve">    │                 │────────────────────────&gt;│ TRANSACTION ATOMIQUE :  │</w:t>
        <w:br/>
        <w:t xml:space="preserve">    │                 │                         │ 1. Statut = DELIVREE    │</w:t>
        <w:br/>
        <w:t xml:space="preserve">    │                 │                         │ 2. Date/Heure délivrance│</w:t>
        <w:br/>
        <w:t xml:space="preserve">    │                 │                         │ 3. Débit plafond assuré │</w:t>
        <w:br/>
        <w:t xml:space="preserve">    │                 │                         │ 4. Création créance IPM │</w:t>
        <w:br/>
        <w:t xml:space="preserve">    │                 │                         │────────────────────────&gt;│</w:t>
        <w:br/>
        <w:t xml:space="preserve">    │                 │                         │                         │ COMMIT Transaction</w:t>
        <w:br/>
        <w:t xml:space="preserve">    │                 │                         │&lt;────────────────────────│</w:t>
        <w:br/>
        <w:t xml:space="preserve">    │ Délivre médica- │ Reçu de dispensation    │                         │</w:t>
        <w:br/>
        <w:t xml:space="preserve">    │ ments &amp; quote-  │&lt;────────────────────────│                         │</w:t>
        <w:br/>
        <w:t xml:space="preserve">    │ part restante   │                         │                         │</w:t>
        <w:br/>
        <w:t xml:space="preserve">    │&lt;────────────────│                         │                         │</w:t>
      </w:r>
    </w:p>
    <w:p>
      <w:pPr>
        <w:spacing w:before="120" w:after="120"/>
      </w:pPr>
      <w:r>
        <w:rPr>
          <w:color w:val="CBD5E1"/>
          <w:sz w:val="16"/>
        </w:rPr>
        <w:t>_______________________________________________________________________________</w:t>
      </w:r>
    </w:p>
    <w:p>
      <w:pPr>
        <w:keepNext/>
        <w:spacing w:before="120" w:after="40"/>
      </w:pPr>
      <w:r>
        <w:rPr>
          <w:rFonts w:ascii="Calibri" w:hAnsi="Calibri"/>
          <w:b/>
          <w:i/>
          <w:color w:val="111827"/>
          <w:sz w:val="23"/>
        </w:rPr>
        <w:t>B. Scénario 2 : Calcul dynamique de l'écrêtement du plafond annuel</w:t>
      </w:r>
    </w:p>
    <w:p>
      <w:r>
        <w:t>Lorsqu'un médecin prescrit un acte ou qu'un pharmacien délivre un médicament, le moteur tarifaire de SantéSN évalue instantanément le reliquat du plafond annuel de la famille de l'assuré :</w:t>
      </w:r>
    </w:p>
    <w:p>
      <w:pPr>
        <w:spacing w:before="80" w:after="120"/>
        <w:ind w:left="288" w:right="288"/>
      </w:pPr>
      <w:r>
        <w:rPr>
          <w:rFonts w:ascii="Consolas" w:hAnsi="Consolas"/>
          <w:color w:val="27272A"/>
          <w:sz w:val="19"/>
        </w:rPr>
        <w:t xml:space="preserve">                      ALGORITHME D'ÉCRÊTEMENT DU TIERS PAYANT</w:t>
        <w:br/>
        <w:t xml:space="preserve">                          </w:t>
        <w:br/>
        <w:t xml:space="preserve">                         Montant Total Dépense (M)</w:t>
        <w:br/>
        <w:t xml:space="preserve">                                    │</w:t>
        <w:br/>
        <w:t xml:space="preserve">                                    ▼</w:t>
        <w:br/>
        <w:t xml:space="preserve">                     Taux conventionnel de l'IPM (ex: 80%)</w:t>
        <w:br/>
        <w:t xml:space="preserve">                      Part Théorique Assurance = M * 80%</w:t>
        <w:br/>
        <w:t xml:space="preserve">                      Part Théorique Assuré    = M * 20%</w:t>
        <w:br/>
        <w:t xml:space="preserve">                                    │</w:t>
        <w:br/>
        <w:t xml:space="preserve">                                    ▼</w:t>
        <w:br/>
        <w:t xml:space="preserve">                    Plafond Annuel Restant de la Famille (R)</w:t>
        <w:br/>
        <w:t xml:space="preserve">                                    │</w:t>
        <w:br/>
        <w:t xml:space="preserve">                   ┌────────────────┴────────────────┐</w:t>
        <w:br/>
        <w:t xml:space="preserve">                   ▼                                 ▼</w:t>
        <w:br/>
        <w:t xml:space="preserve">             Si Part Théo &lt;= R                 Si Part Théo &gt; R</w:t>
        <w:br/>
        <w:t xml:space="preserve">           (Plafond Suffisant)               (Dépassement de Plafond)</w:t>
        <w:br/>
        <w:t xml:space="preserve">                   │                                 │</w:t>
        <w:br/>
        <w:t xml:space="preserve">                   ▼                                 ▼</w:t>
        <w:br/>
        <w:t xml:space="preserve">         Part IPM Réelle = Part Théo       Part IPM Réelle = R (écrêtée)</w:t>
        <w:br/>
        <w:t xml:space="preserve">         Quote-part Assuré = Part Théo     Quote-part Assuré = M - R</w:t>
        <w:br/>
        <w:t xml:space="preserve">                   │                                 │</w:t>
        <w:br/>
        <w:t xml:space="preserve">                   └────────────────┬────────────────┘</w:t>
        <w:br/>
        <w:t xml:space="preserve">                                    ▼</w:t>
        <w:br/>
        <w:t xml:space="preserve">                         Enregistrement Transaction</w:t>
        <w:br/>
        <w:t xml:space="preserve">                         Notification instantanée</w:t>
      </w:r>
    </w:p>
    <w:p>
      <w:pPr>
        <w:spacing w:before="120" w:after="120"/>
      </w:pPr>
      <w:r>
        <w:rPr>
          <w:color w:val="CBD5E1"/>
          <w:sz w:val="16"/>
        </w:rPr>
        <w:t>_______________________________________________________________________________</w:t>
      </w:r>
    </w:p>
    <w:p>
      <w:pPr>
        <w:keepNext/>
        <w:spacing w:before="200" w:after="80"/>
      </w:pPr>
      <w:r>
        <w:rPr>
          <w:rFonts w:ascii="Calibri" w:hAnsi="Calibri"/>
          <w:b/>
          <w:color w:val="111827"/>
          <w:sz w:val="25"/>
        </w:rPr>
        <w:t>3.3.3. Modèle Conceptuel et Logique de Données (MCD / MLD)</w:t>
      </w:r>
    </w:p>
    <w:p>
      <w:r>
        <w:t>La base de données relationnelle de SantéSN est structurée autour d'entités normalisées respectant la troisième forme normale (3FN) :</w:t>
      </w:r>
    </w:p>
    <w:p>
      <w:pPr>
        <w:spacing w:before="80" w:after="120"/>
        <w:ind w:left="288" w:right="288"/>
      </w:pPr>
      <w:r>
        <w:rPr>
          <w:rFonts w:ascii="Consolas" w:hAnsi="Consolas"/>
          <w:color w:val="27272A"/>
          <w:sz w:val="19"/>
        </w:rPr>
        <w:t xml:space="preserve">                  MODÈLE RELATIONNEL DES ENTITÉS FONDAMENTALES</w:t>
        <w:br/>
        <w:t xml:space="preserve">  ┌─────────────────────────────────┐           ┌─────────────────────────────────┐</w:t>
        <w:br/>
        <w:t xml:space="preserve">  │           ORGANISME             │           │         PLAN_COUVERTURE         │</w:t>
        <w:br/>
        <w:t xml:space="preserve">  ├─────────────────────────────────┤           ├─────────────────────────────────┤</w:t>
        <w:br/>
        <w:t xml:space="preserve">  │ PK id                           │ 1       * │ PK id                           │</w:t>
        <w:br/>
        <w:t xml:space="preserve">  │    code (ex: IPM-SONATEL)       │───────────│ FK organisme_id                 │</w:t>
        <w:br/>
        <w:t xml:space="preserve">  │    nom                          │           │    nom (ex: Formule Cadres)     │</w:t>
        <w:br/>
        <w:t xml:space="preserve">  │    type (IPM, Mutuelle, Assur)  │           │    taux_pharmacie (ex: 80%)     │</w:t>
        <w:br/>
        <w:t xml:space="preserve">  │    telephone, email             │           │    taux_consultation (ex: 90%)  │</w:t>
        <w:br/>
        <w:t xml:space="preserve">  └─────────────────────────────────┘           │    plafond_annuel_global        │</w:t>
        <w:br/>
        <w:t xml:space="preserve">                   │                            └─────────────────────────────────┘</w:t>
        <w:br/>
        <w:t xml:space="preserve">                   │ 1                                           │ 1</w:t>
        <w:br/>
        <w:t xml:space="preserve">                   │                                             │</w:t>
        <w:br/>
        <w:t xml:space="preserve">                   │ *                                           │ *</w:t>
        <w:br/>
        <w:t xml:space="preserve">  ┌─────────────────────────────────┐           ┌─────────────────────────────────┐</w:t>
        <w:br/>
        <w:t xml:space="preserve">  │          UTILISATEUR            │           │             PATIENT             │</w:t>
        <w:br/>
        <w:t xml:space="preserve">  ├─────────────────────────────────┤           ├─────────────────────────────────┤</w:t>
        <w:br/>
        <w:t xml:space="preserve">  │ PK id                           │ 1       1 │ PK id                           │</w:t>
        <w:br/>
        <w:t xml:space="preserve">  │ FK organisme_id (optionnel)     │───────────│ FK user_id                      │</w:t>
        <w:br/>
        <w:t xml:space="preserve">  │    email, password_hash         │           │ FK plan_couverture_id           │</w:t>
        <w:br/>
        <w:t xml:space="preserve">  │    first_name, last_name        │           │    numero_carte (ex: SN-12345)  │</w:t>
        <w:br/>
        <w:t xml:space="preserve">  │    role (ADMIN, GES, MED, PHA)  │           │    plafond_annuel_consomme      │</w:t>
        <w:br/>
        <w:t xml:space="preserve">  │    phone_number                 │           │    est_ayant_droit (bool)       │</w:t>
        <w:br/>
        <w:t xml:space="preserve">  └─────────────────────────────────┘           │ FK ouvrant_droit_id (parent)    │</w:t>
        <w:br/>
        <w:t xml:space="preserve">                   │                            └─────────────────────────────────┘</w:t>
        <w:br/>
        <w:t xml:space="preserve">                   │                                             │ 1</w:t>
        <w:br/>
        <w:t xml:space="preserve">                   │                                             │</w:t>
        <w:br/>
        <w:t xml:space="preserve">                   │                                             │ *</w:t>
        <w:br/>
        <w:t xml:space="preserve">  ┌─────────────────────────────────┐           ┌─────────────────────────────────┐</w:t>
        <w:br/>
        <w:t xml:space="preserve">  │           PRESTATAIRE           │           │           ORDONNANCE            │</w:t>
        <w:br/>
        <w:t xml:space="preserve">  ├─────────────────────────────────┤           ├─────────────────────────────────┤</w:t>
        <w:br/>
        <w:t xml:space="preserve">  │ PK id                           │ 1       * │ PK id                           │</w:t>
        <w:br/>
        <w:t xml:space="preserve">  │    nom (ex: Clinique de l'Océan)│───────────│ FK patient_id                   │</w:t>
        <w:br/>
        <w:t xml:space="preserve">  │    type (HOPITAL, CLINIQUE, PHA)│           │ FK medecin_id                   │</w:t>
        <w:br/>
        <w:t xml:space="preserve">  │    ville, adresse, telephone    │           │ FK pharmacie_delivrance_id      │</w:t>
        <w:br/>
        <w:t xml:space="preserve">  │    partenaire (bool)            │           │    code_qr (UUID dynamique)     │</w:t>
        <w:br/>
        <w:t xml:space="preserve">  │    latitude, longitude (GPS)    │           │    sceau_hmac (Signature SHA256)│</w:t>
        <w:br/>
        <w:t xml:space="preserve">  └─────────────────────────────────┘           │    statut (ACTIVE, DELIVREE)    │</w:t>
        <w:br/>
        <w:t xml:space="preserve">                   │                            │    date_prescription            │</w:t>
        <w:br/>
        <w:t xml:space="preserve">                   │ 1                          │    date_delivrance              │</w:t>
        <w:br/>
        <w:t xml:space="preserve">                   │                            └─────────────────────────────────┘</w:t>
        <w:br/>
        <w:t xml:space="preserve">                   │ *                                           │ 1</w:t>
        <w:br/>
        <w:t xml:space="preserve">  ┌─────────────────────────────────┐                            │</w:t>
        <w:br/>
        <w:t xml:space="preserve">  │      CONVENTION_PRESTATAIRE     │                            │ *</w:t>
        <w:br/>
        <w:t xml:space="preserve">  ├─────────────────────────────────┤           ┌─────────────────────────────────┐</w:t>
        <w:br/>
        <w:t xml:space="preserve">  │ PK id                           │           │        LIGNE_ORDONNANCE         │</w:t>
        <w:br/>
        <w:t xml:space="preserve">  │ FK organisme_id                 │           ├─────────────────────────────────┤</w:t>
        <w:br/>
        <w:t xml:space="preserve">  │ FK prestataire_id               │           │ PK id                           │</w:t>
        <w:br/>
        <w:t xml:space="preserve">  │    numero_convention            │           │ FK ordonnance_id                │</w:t>
        <w:br/>
        <w:t xml:space="preserve">  │    statut (ACTIF, SUSPENDU)     │           │    nom_medicament (DCI)         │</w:t>
        <w:br/>
        <w:t xml:space="preserve">  │    tiers_payant_actif (bool)    │           │    dosage, forme, quantite      │</w:t>
        <w:br/>
        <w:t xml:space="preserve">  └─────────────────────────────────┘           │    posologie                    │</w:t>
        <w:br/>
        <w:t xml:space="preserve">                                                └─────────────────────────────────┘</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3.4. Choix des outils, technologies et matériels</w:t>
      </w:r>
    </w:p>
    <w:p>
      <w:pPr>
        <w:keepNext/>
        <w:spacing w:before="200" w:after="80"/>
      </w:pPr>
      <w:r>
        <w:rPr>
          <w:rFonts w:ascii="Calibri" w:hAnsi="Calibri"/>
          <w:b/>
          <w:color w:val="111827"/>
          <w:sz w:val="25"/>
        </w:rPr>
        <w:t>3.4.1. Justification technologique approfondie</w:t>
      </w:r>
    </w:p>
    <w:p>
      <w:r>
        <w:t>Le tableau suivant expose la cohérence des choix techniques opérés lors de la conception :</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60" w:type="dxa"/>
              <w:right w:w="160" w:type="dxa"/>
            </w:tcMar>
            <w:shd w:fill="0E7C86"/>
          </w:tcPr>
          <w:p>
            <w:pPr>
              <w:spacing w:before="60" w:after="60"/>
            </w:pPr>
            <w:r>
              <w:rPr>
                <w:b/>
                <w:color w:val="FFFFFF"/>
                <w:sz w:val="20"/>
              </w:rPr>
              <w:t>Composant</w:t>
            </w:r>
          </w:p>
        </w:tc>
        <w:tc>
          <w:tcPr>
            <w:tcW w:type="dxa" w:w="3120"/>
            <w:tcMar>
              <w:top w:w="120" w:type="dxa"/>
              <w:bottom w:w="120" w:type="dxa"/>
              <w:left w:w="160" w:type="dxa"/>
              <w:right w:w="160" w:type="dxa"/>
            </w:tcMar>
            <w:shd w:fill="0E7C86"/>
          </w:tcPr>
          <w:p>
            <w:pPr>
              <w:spacing w:before="60" w:after="60"/>
            </w:pPr>
            <w:r>
              <w:rPr>
                <w:b/>
                <w:color w:val="FFFFFF"/>
                <w:sz w:val="20"/>
              </w:rPr>
              <w:t>Technologie Retenue</w:t>
            </w:r>
          </w:p>
        </w:tc>
        <w:tc>
          <w:tcPr>
            <w:tcW w:type="dxa" w:w="3120"/>
            <w:tcMar>
              <w:top w:w="120" w:type="dxa"/>
              <w:bottom w:w="120" w:type="dxa"/>
              <w:left w:w="160" w:type="dxa"/>
              <w:right w:w="160" w:type="dxa"/>
            </w:tcMar>
            <w:shd w:fill="0E7C86"/>
          </w:tcPr>
          <w:p>
            <w:pPr>
              <w:spacing w:before="60" w:after="60"/>
            </w:pPr>
            <w:r>
              <w:rPr>
                <w:b/>
                <w:color w:val="FFFFFF"/>
                <w:sz w:val="20"/>
              </w:rPr>
              <w:t>Justification Technique et Métier</w:t>
            </w:r>
          </w:p>
        </w:tc>
      </w:tr>
      <w:tr>
        <w:tc>
          <w:tcPr>
            <w:tcW w:type="dxa" w:w="3120"/>
            <w:tcMar>
              <w:top w:w="120" w:type="dxa"/>
              <w:bottom w:w="120" w:type="dxa"/>
              <w:left w:w="160" w:type="dxa"/>
              <w:right w:w="160" w:type="dxa"/>
            </w:tcMar>
            <w:shd w:fill="F8FAFC"/>
          </w:tcPr>
          <w:p>
            <w:pPr>
              <w:spacing w:before="60" w:after="60"/>
            </w:pPr>
            <w:r>
              <w:rPr>
                <w:sz w:val="19"/>
              </w:rPr>
              <w:t>Langage Backend</w:t>
            </w:r>
          </w:p>
        </w:tc>
        <w:tc>
          <w:tcPr>
            <w:tcW w:type="dxa" w:w="3120"/>
            <w:tcMar>
              <w:top w:w="120" w:type="dxa"/>
              <w:bottom w:w="120" w:type="dxa"/>
              <w:left w:w="160" w:type="dxa"/>
              <w:right w:w="160" w:type="dxa"/>
            </w:tcMar>
            <w:shd w:fill="F8FAFC"/>
          </w:tcPr>
          <w:p>
            <w:pPr>
              <w:spacing w:before="60" w:after="60"/>
            </w:pPr>
            <w:r>
              <w:rPr>
                <w:sz w:val="19"/>
              </w:rPr>
              <w:t>Python 3.12+</w:t>
            </w:r>
          </w:p>
        </w:tc>
        <w:tc>
          <w:tcPr>
            <w:tcW w:type="dxa" w:w="3120"/>
            <w:tcMar>
              <w:top w:w="120" w:type="dxa"/>
              <w:bottom w:w="120" w:type="dxa"/>
              <w:left w:w="160" w:type="dxa"/>
              <w:right w:w="160" w:type="dxa"/>
            </w:tcMar>
            <w:shd w:fill="F8FAFC"/>
          </w:tcPr>
          <w:p>
            <w:pPr>
              <w:spacing w:before="60" w:after="60"/>
            </w:pPr>
            <w:r>
              <w:rPr>
                <w:sz w:val="19"/>
              </w:rPr>
              <w:t>Syntaxe expressive et lisible, typage moderne, écosystème de librairies cryptographiques et mathématiques éprouvées.</w:t>
            </w:r>
          </w:p>
        </w:tc>
      </w:tr>
      <w:tr>
        <w:tc>
          <w:tcPr>
            <w:tcW w:type="dxa" w:w="3120"/>
            <w:tcMar>
              <w:top w:w="120" w:type="dxa"/>
              <w:bottom w:w="120" w:type="dxa"/>
              <w:left w:w="160" w:type="dxa"/>
              <w:right w:w="160" w:type="dxa"/>
            </w:tcMar>
            <w:shd w:fill="FFFFFF"/>
          </w:tcPr>
          <w:p>
            <w:pPr>
              <w:spacing w:before="60" w:after="60"/>
            </w:pPr>
            <w:r>
              <w:rPr>
                <w:sz w:val="19"/>
              </w:rPr>
              <w:t>Cadriciel Web</w:t>
            </w:r>
          </w:p>
        </w:tc>
        <w:tc>
          <w:tcPr>
            <w:tcW w:type="dxa" w:w="3120"/>
            <w:tcMar>
              <w:top w:w="120" w:type="dxa"/>
              <w:bottom w:w="120" w:type="dxa"/>
              <w:left w:w="160" w:type="dxa"/>
              <w:right w:w="160" w:type="dxa"/>
            </w:tcMar>
            <w:shd w:fill="FFFFFF"/>
          </w:tcPr>
          <w:p>
            <w:pPr>
              <w:spacing w:before="60" w:after="60"/>
            </w:pPr>
            <w:r>
              <w:rPr>
                <w:sz w:val="19"/>
              </w:rPr>
              <w:t>Django 5.2 LTS</w:t>
            </w:r>
          </w:p>
        </w:tc>
        <w:tc>
          <w:tcPr>
            <w:tcW w:type="dxa" w:w="3120"/>
            <w:tcMar>
              <w:top w:w="120" w:type="dxa"/>
              <w:bottom w:w="120" w:type="dxa"/>
              <w:left w:w="160" w:type="dxa"/>
              <w:right w:w="160" w:type="dxa"/>
            </w:tcMar>
            <w:shd w:fill="FFFFFF"/>
          </w:tcPr>
          <w:p>
            <w:pPr>
              <w:spacing w:before="60" w:after="60"/>
            </w:pPr>
            <w:r>
              <w:rPr>
                <w:sz w:val="19"/>
              </w:rPr>
              <w:t>Framework de référence pour les systèmes bancaires et de santé. Sécurité intégrée par défaut (*Anti-CSRF, Anti-XSS, Protection IDOR*), ORM performant.</w:t>
            </w:r>
          </w:p>
        </w:tc>
      </w:tr>
      <w:tr>
        <w:tc>
          <w:tcPr>
            <w:tcW w:type="dxa" w:w="3120"/>
            <w:tcMar>
              <w:top w:w="120" w:type="dxa"/>
              <w:bottom w:w="120" w:type="dxa"/>
              <w:left w:w="160" w:type="dxa"/>
              <w:right w:w="160" w:type="dxa"/>
            </w:tcMar>
            <w:shd w:fill="F8FAFC"/>
          </w:tcPr>
          <w:p>
            <w:pPr>
              <w:spacing w:before="60" w:after="60"/>
            </w:pPr>
            <w:r>
              <w:rPr>
                <w:sz w:val="19"/>
              </w:rPr>
              <w:t>Base de Données</w:t>
            </w:r>
          </w:p>
        </w:tc>
        <w:tc>
          <w:tcPr>
            <w:tcW w:type="dxa" w:w="3120"/>
            <w:tcMar>
              <w:top w:w="120" w:type="dxa"/>
              <w:bottom w:w="120" w:type="dxa"/>
              <w:left w:w="160" w:type="dxa"/>
              <w:right w:w="160" w:type="dxa"/>
            </w:tcMar>
            <w:shd w:fill="F8FAFC"/>
          </w:tcPr>
          <w:p>
            <w:pPr>
              <w:spacing w:before="60" w:after="60"/>
            </w:pPr>
            <w:r>
              <w:rPr>
                <w:sz w:val="19"/>
              </w:rPr>
              <w:t>PostgreSQL (Neon)</w:t>
            </w:r>
          </w:p>
        </w:tc>
        <w:tc>
          <w:tcPr>
            <w:tcW w:type="dxa" w:w="3120"/>
            <w:tcMar>
              <w:top w:w="120" w:type="dxa"/>
              <w:bottom w:w="120" w:type="dxa"/>
              <w:left w:w="160" w:type="dxa"/>
              <w:right w:w="160" w:type="dxa"/>
            </w:tcMar>
            <w:shd w:fill="F8FAFC"/>
          </w:tcPr>
          <w:p>
            <w:pPr>
              <w:spacing w:before="60" w:after="60"/>
            </w:pPr>
            <w:r>
              <w:rPr>
                <w:sz w:val="19"/>
              </w:rPr>
              <w:t>Cluster cloud serverless garantissant la conformité transactionnelle ACID, le support des contraintes d'intégrité relationnelle et les extensions SIG.</w:t>
            </w:r>
          </w:p>
        </w:tc>
      </w:tr>
      <w:tr>
        <w:tc>
          <w:tcPr>
            <w:tcW w:type="dxa" w:w="3120"/>
            <w:tcMar>
              <w:top w:w="120" w:type="dxa"/>
              <w:bottom w:w="120" w:type="dxa"/>
              <w:left w:w="160" w:type="dxa"/>
              <w:right w:w="160" w:type="dxa"/>
            </w:tcMar>
            <w:shd w:fill="FFFFFF"/>
          </w:tcPr>
          <w:p>
            <w:pPr>
              <w:spacing w:before="60" w:after="60"/>
            </w:pPr>
            <w:r>
              <w:rPr>
                <w:sz w:val="19"/>
              </w:rPr>
              <w:t>Cartographie SIG</w:t>
            </w:r>
          </w:p>
        </w:tc>
        <w:tc>
          <w:tcPr>
            <w:tcW w:type="dxa" w:w="3120"/>
            <w:tcMar>
              <w:top w:w="120" w:type="dxa"/>
              <w:bottom w:w="120" w:type="dxa"/>
              <w:left w:w="160" w:type="dxa"/>
              <w:right w:w="160" w:type="dxa"/>
            </w:tcMar>
            <w:shd w:fill="FFFFFF"/>
          </w:tcPr>
          <w:p>
            <w:pPr>
              <w:spacing w:before="60" w:after="60"/>
            </w:pPr>
            <w:r>
              <w:rPr>
                <w:sz w:val="19"/>
              </w:rPr>
              <w:t>Leaflet 1.9.4</w:t>
            </w:r>
          </w:p>
        </w:tc>
        <w:tc>
          <w:tcPr>
            <w:tcW w:type="dxa" w:w="3120"/>
            <w:tcMar>
              <w:top w:w="120" w:type="dxa"/>
              <w:bottom w:w="120" w:type="dxa"/>
              <w:left w:w="160" w:type="dxa"/>
              <w:right w:w="160" w:type="dxa"/>
            </w:tcMar>
            <w:shd w:fill="FFFFFF"/>
          </w:tcPr>
          <w:p>
            <w:pPr>
              <w:spacing w:before="60" w:after="60"/>
            </w:pPr>
            <w:r>
              <w:rPr>
                <w:sz w:val="19"/>
              </w:rPr>
              <w:t>Bibliothèque cartographique légère, compatible mobile, intégrant les tuiles Google Maps (Plan et Satellite) et Esri World Imagery sans dépendance API payante.</w:t>
            </w:r>
          </w:p>
        </w:tc>
      </w:tr>
      <w:tr>
        <w:tc>
          <w:tcPr>
            <w:tcW w:type="dxa" w:w="3120"/>
            <w:tcMar>
              <w:top w:w="120" w:type="dxa"/>
              <w:bottom w:w="120" w:type="dxa"/>
              <w:left w:w="160" w:type="dxa"/>
              <w:right w:w="160" w:type="dxa"/>
            </w:tcMar>
            <w:shd w:fill="F8FAFC"/>
          </w:tcPr>
          <w:p>
            <w:pPr>
              <w:spacing w:before="60" w:after="60"/>
            </w:pPr>
            <w:r>
              <w:rPr>
                <w:sz w:val="19"/>
              </w:rPr>
              <w:t>Scanner Optique</w:t>
            </w:r>
          </w:p>
        </w:tc>
        <w:tc>
          <w:tcPr>
            <w:tcW w:type="dxa" w:w="3120"/>
            <w:tcMar>
              <w:top w:w="120" w:type="dxa"/>
              <w:bottom w:w="120" w:type="dxa"/>
              <w:left w:w="160" w:type="dxa"/>
              <w:right w:w="160" w:type="dxa"/>
            </w:tcMar>
            <w:shd w:fill="F8FAFC"/>
          </w:tcPr>
          <w:p>
            <w:pPr>
              <w:spacing w:before="60" w:after="60"/>
            </w:pPr>
            <w:r>
              <w:rPr>
                <w:sz w:val="19"/>
              </w:rPr>
              <w:t>jsQR 1.4.0</w:t>
            </w:r>
          </w:p>
        </w:tc>
        <w:tc>
          <w:tcPr>
            <w:tcW w:type="dxa" w:w="3120"/>
            <w:tcMar>
              <w:top w:w="120" w:type="dxa"/>
              <w:bottom w:w="120" w:type="dxa"/>
              <w:left w:w="160" w:type="dxa"/>
              <w:right w:w="160" w:type="dxa"/>
            </w:tcMar>
            <w:shd w:fill="F8FAFC"/>
          </w:tcPr>
          <w:p>
            <w:pPr>
              <w:spacing w:before="60" w:after="60"/>
            </w:pPr>
            <w:r>
              <w:rPr>
                <w:sz w:val="19"/>
              </w:rPr>
              <w:t>Décodeur de QR Code 100 % JavaScript s'exécutant directement dans le navigateur du pharmacien via les flux de l'API HTML5 `MediaDevices.getUserMedia()`.</w:t>
            </w:r>
          </w:p>
        </w:tc>
      </w:tr>
      <w:tr>
        <w:tc>
          <w:tcPr>
            <w:tcW w:type="dxa" w:w="3120"/>
            <w:tcMar>
              <w:top w:w="120" w:type="dxa"/>
              <w:bottom w:w="120" w:type="dxa"/>
              <w:left w:w="160" w:type="dxa"/>
              <w:right w:w="160" w:type="dxa"/>
            </w:tcMar>
            <w:shd w:fill="FFFFFF"/>
          </w:tcPr>
          <w:p>
            <w:pPr>
              <w:spacing w:before="60" w:after="60"/>
            </w:pPr>
            <w:r>
              <w:rPr>
                <w:sz w:val="19"/>
              </w:rPr>
              <w:t>Documents PDF</w:t>
            </w:r>
          </w:p>
        </w:tc>
        <w:tc>
          <w:tcPr>
            <w:tcW w:type="dxa" w:w="3120"/>
            <w:tcMar>
              <w:top w:w="120" w:type="dxa"/>
              <w:bottom w:w="120" w:type="dxa"/>
              <w:left w:w="160" w:type="dxa"/>
              <w:right w:w="160" w:type="dxa"/>
            </w:tcMar>
            <w:shd w:fill="FFFFFF"/>
          </w:tcPr>
          <w:p>
            <w:pPr>
              <w:spacing w:before="60" w:after="60"/>
            </w:pPr>
            <w:r>
              <w:rPr>
                <w:sz w:val="19"/>
              </w:rPr>
              <w:t>ReportLab &amp; XHTML2PDF</w:t>
            </w:r>
          </w:p>
        </w:tc>
        <w:tc>
          <w:tcPr>
            <w:tcW w:type="dxa" w:w="3120"/>
            <w:tcMar>
              <w:top w:w="120" w:type="dxa"/>
              <w:bottom w:w="120" w:type="dxa"/>
              <w:left w:w="160" w:type="dxa"/>
              <w:right w:w="160" w:type="dxa"/>
            </w:tcMar>
            <w:shd w:fill="FFFFFF"/>
          </w:tcPr>
          <w:p>
            <w:pPr>
              <w:spacing w:before="60" w:after="60"/>
            </w:pPr>
            <w:r>
              <w:rPr>
                <w:sz w:val="19"/>
              </w:rPr>
              <w:t>Génération serveur de fiches de soins et d'ordonnances A4 certifiées avec tampons vectoriels et QR codes dynamiques.</w:t>
            </w:r>
          </w:p>
        </w:tc>
      </w:tr>
      <w:tr>
        <w:tc>
          <w:tcPr>
            <w:tcW w:type="dxa" w:w="3120"/>
            <w:tcMar>
              <w:top w:w="120" w:type="dxa"/>
              <w:bottom w:w="120" w:type="dxa"/>
              <w:left w:w="160" w:type="dxa"/>
              <w:right w:w="160" w:type="dxa"/>
            </w:tcMar>
            <w:shd w:fill="F8FAFC"/>
          </w:tcPr>
          <w:p>
            <w:pPr>
              <w:spacing w:before="60" w:after="60"/>
            </w:pPr>
            <w:r>
              <w:rPr>
                <w:sz w:val="19"/>
              </w:rPr>
              <w:t>Frontend &amp; UX</w:t>
            </w:r>
          </w:p>
        </w:tc>
        <w:tc>
          <w:tcPr>
            <w:tcW w:type="dxa" w:w="3120"/>
            <w:tcMar>
              <w:top w:w="120" w:type="dxa"/>
              <w:bottom w:w="120" w:type="dxa"/>
              <w:left w:w="160" w:type="dxa"/>
              <w:right w:w="160" w:type="dxa"/>
            </w:tcMar>
            <w:shd w:fill="F8FAFC"/>
          </w:tcPr>
          <w:p>
            <w:pPr>
              <w:spacing w:before="60" w:after="60"/>
            </w:pPr>
            <w:r>
              <w:rPr>
                <w:sz w:val="19"/>
              </w:rPr>
              <w:t>CSS Modern Tokens &amp; PWA</w:t>
            </w:r>
          </w:p>
        </w:tc>
        <w:tc>
          <w:tcPr>
            <w:tcW w:type="dxa" w:w="3120"/>
            <w:tcMar>
              <w:top w:w="120" w:type="dxa"/>
              <w:bottom w:w="120" w:type="dxa"/>
              <w:left w:w="160" w:type="dxa"/>
              <w:right w:w="160" w:type="dxa"/>
            </w:tcMar>
            <w:shd w:fill="F8FAFC"/>
          </w:tcPr>
          <w:p>
            <w:pPr>
              <w:spacing w:before="60" w:after="60"/>
            </w:pPr>
            <w:r>
              <w:rPr>
                <w:sz w:val="19"/>
              </w:rPr>
              <w:t>Feuilles de style fondées sur des variables CSS natives pour une gestion instantanée du mode sombre sans surcharge réseau ni dépendance NPM lourde.</w:t>
            </w:r>
          </w:p>
        </w:tc>
      </w:tr>
      <w:tr>
        <w:tc>
          <w:tcPr>
            <w:tcW w:type="dxa" w:w="3120"/>
            <w:tcMar>
              <w:top w:w="120" w:type="dxa"/>
              <w:bottom w:w="120" w:type="dxa"/>
              <w:left w:w="160" w:type="dxa"/>
              <w:right w:w="160" w:type="dxa"/>
            </w:tcMar>
            <w:shd w:fill="FFFFFF"/>
          </w:tcPr>
          <w:p>
            <w:pPr>
              <w:spacing w:before="60" w:after="60"/>
            </w:pPr>
            <w:r>
              <w:rPr>
                <w:sz w:val="19"/>
              </w:rPr>
              <w:t>Passerelle Tiers</w:t>
            </w:r>
          </w:p>
        </w:tc>
        <w:tc>
          <w:tcPr>
            <w:tcW w:type="dxa" w:w="3120"/>
            <w:tcMar>
              <w:top w:w="120" w:type="dxa"/>
              <w:bottom w:w="120" w:type="dxa"/>
              <w:left w:w="160" w:type="dxa"/>
              <w:right w:w="160" w:type="dxa"/>
            </w:tcMar>
            <w:shd w:fill="FFFFFF"/>
          </w:tcPr>
          <w:p>
            <w:pPr>
              <w:spacing w:before="60" w:after="60"/>
            </w:pPr>
            <w:r>
              <w:rPr>
                <w:sz w:val="19"/>
              </w:rPr>
              <w:t>WhatsApp Cloud API</w:t>
            </w:r>
          </w:p>
        </w:tc>
        <w:tc>
          <w:tcPr>
            <w:tcW w:type="dxa" w:w="3120"/>
            <w:tcMar>
              <w:top w:w="120" w:type="dxa"/>
              <w:bottom w:w="120" w:type="dxa"/>
              <w:left w:w="160" w:type="dxa"/>
              <w:right w:w="160" w:type="dxa"/>
            </w:tcMar>
            <w:shd w:fill="FFFFFF"/>
          </w:tcPr>
          <w:p>
            <w:pPr>
              <w:spacing w:before="60" w:after="60"/>
            </w:pPr>
            <w:r>
              <w:rPr>
                <w:sz w:val="19"/>
              </w:rPr>
              <w:t>Envoi de notifications d'actes et d'alertes de plafond directement sur l'application de messagerie la plus utilisée au Sénégal.</w:t>
            </w:r>
          </w:p>
        </w:tc>
      </w:tr>
    </w:tbl>
    <w:p>
      <w:pPr>
        <w:keepNext/>
        <w:spacing w:before="200" w:after="80"/>
      </w:pPr>
      <w:r>
        <w:rPr>
          <w:rFonts w:ascii="Calibri" w:hAnsi="Calibri"/>
          <w:b/>
          <w:color w:val="111827"/>
          <w:sz w:val="25"/>
        </w:rPr>
        <w:t>3.4.2. Environnement matériel cible</w:t>
      </w:r>
    </w:p>
    <w:p>
      <w:r>
        <w:t>L'application SantéSN a été conçue pour fonctionner avec une frugalité matérielle maximale :</w:t>
      </w:r>
    </w:p>
    <w:p>
      <w:pPr>
        <w:pStyle w:val="ListBullet"/>
        <w:spacing w:before="20" w:after="40"/>
      </w:pPr>
      <w:r/>
      <w:r>
        <w:rPr>
          <w:b/>
        </w:rPr>
        <w:t>Côté Assuré :</w:t>
      </w:r>
      <w:r>
        <w:t xml:space="preserve"> N'importe quel smartphone Android (dès Android 7.0) ou iOS équipé d'un navigateur moderne (Chrome, Safari, Firefox).</w:t>
      </w:r>
    </w:p>
    <w:p>
      <w:pPr>
        <w:pStyle w:val="ListBullet"/>
        <w:spacing w:before="20" w:after="40"/>
      </w:pPr>
      <w:r/>
      <w:r>
        <w:rPr>
          <w:b/>
        </w:rPr>
        <w:t>Côté Professionnel de Santé :</w:t>
      </w:r>
      <w:r>
        <w:t xml:space="preserve"> Ordinateur de comptoir d'officine ou tablette dotée d'une simple webcam standard (720p ou 1080p) pour le scan optique instantané des ordonnances.</w:t>
      </w:r>
    </w:p>
    <w:p>
      <w:pPr>
        <w:pStyle w:val="ListBullet"/>
        <w:spacing w:before="20" w:after="40"/>
      </w:pPr>
      <w:r/>
      <w:r>
        <w:rPr>
          <w:b/>
        </w:rPr>
        <w:t>Côté Infrastructure Serveur :</w:t>
      </w:r>
      <w:r>
        <w:t xml:space="preserve"> Déploiement serverless conteneurisé consommant moins de 256 Mo de mémoire vive par instance de calcul.</w:t>
      </w:r>
    </w:p>
    <w:p>
      <w:r>
        <w:br w:type="page"/>
      </w:r>
    </w:p>
    <w:p>
      <w:pPr>
        <w:keepNext/>
        <w:spacing w:before="280" w:after="160"/>
      </w:pPr>
      <w:r>
        <w:rPr>
          <w:rFonts w:ascii="Calibri" w:hAnsi="Calibri"/>
          <w:b/>
          <w:color w:val="0E7C86"/>
          <w:sz w:val="38"/>
        </w:rPr>
        <w:t>CHAPITRE 4 : RÉALISATION, TESTS ET RÉSULTATS</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4.1. Mise en œuvre et environnement de travail</w:t>
      </w:r>
    </w:p>
    <w:p>
      <w:pPr>
        <w:keepNext/>
        <w:spacing w:before="200" w:after="80"/>
      </w:pPr>
      <w:r>
        <w:rPr>
          <w:rFonts w:ascii="Calibri" w:hAnsi="Calibri"/>
          <w:b/>
          <w:color w:val="111827"/>
          <w:sz w:val="25"/>
        </w:rPr>
        <w:t>4.1.1. Environnement de développement et outillage</w:t>
      </w:r>
    </w:p>
    <w:p>
      <w:r>
        <w:t xml:space="preserve">La réalisation de la plateforme </w:t>
      </w:r>
      <w:r>
        <w:rPr>
          <w:b/>
        </w:rPr>
        <w:t>SantéSN</w:t>
      </w:r>
      <w:r>
        <w:t xml:space="preserve"> s'est déroulée dans un environnement logiciel rigoureusement standardisé, garantissant la reproductibilité des builds entre les machines de développement et les serveurs de production :</w:t>
      </w:r>
    </w:p>
    <w:p>
      <w:pPr>
        <w:pStyle w:val="ListBullet"/>
        <w:spacing w:before="20" w:after="40"/>
      </w:pPr>
      <w:r/>
      <w:r>
        <w:rPr>
          <w:b/>
        </w:rPr>
        <w:t>Système d'exploitation :</w:t>
      </w:r>
      <w:r>
        <w:t xml:space="preserve"> Postes de travail sous Windows 11 Professionnel et environnements de déploiement conteneurisés Linux Ubuntu 22.04 LTS (Alpine Linux pour les conteneurs Docker légers).</w:t>
      </w:r>
    </w:p>
    <w:p>
      <w:pPr>
        <w:pStyle w:val="ListBullet"/>
        <w:spacing w:before="20" w:after="40"/>
      </w:pPr>
      <w:r/>
      <w:r>
        <w:rPr>
          <w:b/>
        </w:rPr>
        <w:t>Interpréteur et environnement virtuel :</w:t>
      </w:r>
      <w:r>
        <w:t xml:space="preserve"> Python 3.12 et Python 3.14 avec gestionnaire d'environnement isolé (`venv`) et verrouillage strict des dépendances dans `requirements.txt`.</w:t>
      </w:r>
    </w:p>
    <w:p>
      <w:pPr>
        <w:pStyle w:val="ListBullet"/>
        <w:spacing w:before="20" w:after="40"/>
      </w:pPr>
      <w:r/>
      <w:r>
        <w:rPr>
          <w:b/>
        </w:rPr>
        <w:t>Gestionnaire de code source :</w:t>
      </w:r>
      <w:r>
        <w:t xml:space="preserve"> Git 2.45+ avec intégration de conventions de commits sémantiques (*Conventional Commits* : `feat:`, `fix:`, `test:`, `docs:`) et téléversement sur le dépôt distant GitHub.</w:t>
      </w:r>
    </w:p>
    <w:p>
      <w:pPr>
        <w:pStyle w:val="ListBullet"/>
        <w:spacing w:before="20" w:after="40"/>
      </w:pPr>
      <w:r/>
      <w:r>
        <w:rPr>
          <w:b/>
        </w:rPr>
        <w:t>Serveur de base de données :</w:t>
      </w:r>
      <w:r>
        <w:t xml:space="preserve"> Instance cloud PostgreSQL managée sur </w:t>
      </w:r>
      <w:r>
        <w:rPr>
          <w:b/>
        </w:rPr>
        <w:t>Neon Serverless PostgreSQL</w:t>
      </w:r>
      <w:r>
        <w:t>, offrant un pooler de connexions optimisé et des sauvegardes transactionnelles instantanées.</w:t>
      </w:r>
    </w:p>
    <w:p>
      <w:pPr>
        <w:pStyle w:val="ListBullet"/>
        <w:spacing w:before="20" w:after="40"/>
      </w:pPr>
      <w:r/>
      <w:r>
        <w:rPr>
          <w:b/>
        </w:rPr>
        <w:t>Environnement d'exécution Cloud :</w:t>
      </w:r>
      <w:r>
        <w:t xml:space="preserve"> Déploiement PaaS automatisé sur </w:t>
      </w:r>
      <w:r>
        <w:rPr>
          <w:b/>
        </w:rPr>
        <w:t>Vercel</w:t>
      </w:r>
      <w:r>
        <w:t xml:space="preserve"> via l'adaptateur `@vercel/python` et configuration de secours sur </w:t>
      </w:r>
      <w:r>
        <w:rPr>
          <w:b/>
        </w:rPr>
        <w:t>Render Cloud</w:t>
      </w:r>
      <w:r>
        <w:t xml:space="preserve"> avec `gunicorn` et proxy inverse `nginx`.</w:t>
      </w:r>
    </w:p>
    <w:p>
      <w:pPr>
        <w:keepNext/>
        <w:spacing w:before="200" w:after="80"/>
      </w:pPr>
      <w:r>
        <w:rPr>
          <w:rFonts w:ascii="Calibri" w:hAnsi="Calibri"/>
          <w:b/>
          <w:color w:val="111827"/>
          <w:sz w:val="25"/>
        </w:rPr>
        <w:t>4.1.2. Organisation modulaire du projet Django</w:t>
      </w:r>
    </w:p>
    <w:p>
      <w:r>
        <w:t>Le projet est architecturé selon les meilleures pratiques Django pour les applications d'entreprise d'envergure. Le code source est structuré de façon claire et modulaire :</w:t>
      </w:r>
    </w:p>
    <w:p>
      <w:pPr>
        <w:spacing w:before="80" w:after="120"/>
        <w:ind w:left="288" w:right="288"/>
      </w:pPr>
      <w:r>
        <w:rPr>
          <w:rFonts w:ascii="Consolas" w:hAnsi="Consolas"/>
          <w:color w:val="27272A"/>
          <w:sz w:val="19"/>
        </w:rPr>
        <w:t>Projet_Final/</w:t>
        <w:br/>
        <w:t>├── config/                      # Configuration centrale du projet</w:t>
        <w:br/>
        <w:t>│   ├── settings/</w:t>
        <w:br/>
        <w:t>│   │   ├── base.py              # Configuration commune (apps, middlewares, templates)</w:t>
        <w:br/>
        <w:t>│   │   ├── dev.py               # Paramètres de développement local (SQLite/PostgreSQL)</w:t>
        <w:br/>
        <w:t>│   │   └── prod.py              # Paramètres de durcissement production (HTTPS, HSTS, Logs)</w:t>
        <w:br/>
        <w:t>│   ├── urls.py                  # Routage maître des URL de l'application</w:t>
        <w:br/>
        <w:t>│   └── wsgi.py                  # Point d'entrée WSGI pour le serveur d'application</w:t>
        <w:br/>
        <w:t>├── Plateform_medicale/          # Cœur applicatif SantéSN</w:t>
        <w:br/>
        <w:t>│   ├── models.py                # Modèles de données relationnels (20+ entités métier)</w:t>
        <w:br/>
        <w:t>│   ├── views/                   # Contrôleurs métier découplés par domaine</w:t>
        <w:br/>
        <w:t>│   │   ├── auth.py              # Authentification, gestion de session et contrôle RBAC</w:t>
        <w:br/>
        <w:t>│   │   ├── assure_espace.py     # Espace patient, carte dématérialisée, ayants droit</w:t>
        <w:br/>
        <w:t>│   │   ├── medecin.py           # Consultations médicales et ordonnances électroniques</w:t>
        <w:br/>
        <w:t>│   │   ├── pharmacien.py        # Scanner optique caméra et validation atomique</w:t>
        <w:br/>
        <w:t>│   │   ├── prestataires.py      # Référentiel national, recherche tolérante et SIG Leaflet</w:t>
        <w:br/>
        <w:t>│   │   └── paiements.py         # Moteur de tiers payant, liquidations et télétransmission</w:t>
        <w:br/>
        <w:t>│   ├── templates/               # Gabarits HTML5 accessibles et sémantiques</w:t>
        <w:br/>
        <w:t>│   │   ├── gabarits/base.html   # Squelette principal avec tokens de thèmes clair/sombre</w:t>
        <w:br/>
        <w:t>│   │   └── commun/              # Vues écrans (carte, dashboard, formulaires, scanner)</w:t>
        <w:br/>
        <w:t>│   ├── tests.py                 # Suite de validation automatisée (196+ tests)</w:t>
        <w:br/>
        <w:t>│   └── management/commands/     # Commandes CLI (seed_demo.py pour provisionner la démo)</w:t>
        <w:br/>
        <w:t>├── static/                      # Ressources statiques (icônes vectorielles SVG, JS PWA)</w:t>
        <w:br/>
        <w:t>├── vercel.json                  # Descripteur de déploiement Cloud serverless</w:t>
        <w:br/>
        <w:t>└── requirements.txt             # Dépendances Python auditées</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4.2. Présentation de la solution</w:t>
      </w:r>
    </w:p>
    <w:p>
      <w:r>
        <w:t>La plateforme SantéSN propose une expérience utilisateur soignée, ergonomique et adaptée à la diversité des terminaux utilisés au Sénégal (smartphones, tablettes, postes fixes). Les cinq espaces utilisateurs majeurs sont décrits ci-dessous :</w:t>
      </w:r>
    </w:p>
    <w:p>
      <w:pPr>
        <w:keepNext/>
        <w:spacing w:before="200" w:after="80"/>
      </w:pPr>
      <w:r>
        <w:rPr>
          <w:rFonts w:ascii="Calibri" w:hAnsi="Calibri"/>
          <w:b/>
          <w:color w:val="111827"/>
          <w:sz w:val="25"/>
        </w:rPr>
        <w:t>4.2.1. L'Espace Assuré (Patient et Ayants Droit)</w:t>
      </w:r>
    </w:p>
    <w:p>
      <w:r>
        <w:t>L'espace assuré a été pensé pour offrir une autonomie totale au patient :</w:t>
      </w:r>
    </w:p>
    <w:p>
      <w:r>
        <w:t xml:space="preserve">1. </w:t>
      </w:r>
      <w:r>
        <w:rPr>
          <w:b/>
        </w:rPr>
        <w:t>La Carte Dématérialisée de Tiers Payant (Format ISO 7810 ID-1) :</w:t>
      </w:r>
      <w:r/>
    </w:p>
    <w:p>
      <w:pPr>
        <w:pStyle w:val="ListBullet"/>
        <w:spacing w:before="20" w:after="40"/>
      </w:pPr>
      <w:r>
        <w:t>Présente une reproduction fidèle d'une carte de crédit physique haut de gamme, ornée d'une micro-puce dorée réaliste, du numéro d'immatriculation unique national (ex: `SN-12345`), des dates de validité et du logo officiel de l'IPM de rattachement.</w:t>
      </w:r>
    </w:p>
    <w:p>
      <w:pPr>
        <w:pStyle w:val="ListBullet"/>
        <w:spacing w:before="20" w:after="40"/>
      </w:pPr>
      <w:r>
        <w:t xml:space="preserve">Affiche un </w:t>
      </w:r>
      <w:r>
        <w:rPr>
          <w:b/>
        </w:rPr>
        <w:t>QR Code dynamique vectoriel</w:t>
      </w:r>
      <w:r>
        <w:t xml:space="preserve"> recalculé pour chaque assuré, intégrant une signature cryptographique permettant au pharmacien de certifier la validité des droits en une fraction de seconde.</w:t>
      </w:r>
    </w:p>
    <w:p>
      <w:r>
        <w:t xml:space="preserve">2. </w:t>
      </w:r>
      <w:r>
        <w:rPr>
          <w:b/>
        </w:rPr>
        <w:t>Le Suivi du Plafond Annuel Familial :</w:t>
      </w:r>
      <w:r/>
    </w:p>
    <w:p>
      <w:pPr>
        <w:pStyle w:val="ListBullet"/>
        <w:spacing w:before="20" w:after="40"/>
      </w:pPr>
      <w:r>
        <w:t>Une jauge interactive affiche en temps réel le montant total alloué pour l'année, le montant consommé par l'ensemble du foyer et le reliquat disponible (ex: *« Reste disponible : 1 125 000 FCFA sur un plafond de 1 500 000 FCFA »*).</w:t>
      </w:r>
    </w:p>
    <w:p>
      <w:r>
        <w:t xml:space="preserve">3. </w:t>
      </w:r>
      <w:r>
        <w:rPr>
          <w:b/>
        </w:rPr>
        <w:t>Le Mode Hors-Ligne (PWA) :</w:t>
      </w:r>
      <w:r/>
    </w:p>
    <w:p>
      <w:pPr>
        <w:pStyle w:val="ListBullet"/>
        <w:spacing w:before="20" w:after="40"/>
      </w:pPr>
      <w:r>
        <w:t>Grâce au Service Worker enregistré en tâche de fond, si un assuré se présente dans une clinique située dans une zone de Dakar où la connexion 4G est temporairement indisponible, la carte de santé et le QR code restent affichés à l'écran sans interruption.</w:t>
      </w:r>
    </w:p>
    <w:p>
      <w:pPr>
        <w:spacing w:before="120" w:after="120"/>
      </w:pPr>
      <w:r>
        <w:rPr>
          <w:color w:val="CBD5E1"/>
          <w:sz w:val="16"/>
        </w:rPr>
        <w:t>_______________________________________________________________________________</w:t>
      </w:r>
    </w:p>
    <w:p>
      <w:pPr>
        <w:keepNext/>
        <w:spacing w:before="200" w:after="80"/>
      </w:pPr>
      <w:r>
        <w:rPr>
          <w:rFonts w:ascii="Calibri" w:hAnsi="Calibri"/>
          <w:b/>
          <w:color w:val="111827"/>
          <w:sz w:val="25"/>
        </w:rPr>
        <w:t>4.2.2. L'Espace Médecin Traitant</w:t>
      </w:r>
    </w:p>
    <w:p>
      <w:r>
        <w:t>L'espace médecin simplifie la prise en charge clinique et supprime la lourdeur des carnets papier :</w:t>
      </w:r>
    </w:p>
    <w:p>
      <w:r>
        <w:t xml:space="preserve">1. </w:t>
      </w:r>
      <w:r>
        <w:rPr>
          <w:b/>
        </w:rPr>
        <w:t>Recherche et Identification du Patient :</w:t>
      </w:r>
      <w:r>
        <w:t xml:space="preserve"> Le praticien tape le numéro de carte ou le nom du patient pour afficher instantanément sa fiche administrative et médicale.</w:t>
      </w:r>
    </w:p>
    <w:p>
      <w:r>
        <w:t xml:space="preserve">2. </w:t>
      </w:r>
      <w:r>
        <w:rPr>
          <w:b/>
        </w:rPr>
        <w:t>Consultation et Prescription Numérique :</w:t>
      </w:r>
      <w:r>
        <w:t xml:space="preserve"> Le médecin sélectionne les médicaments prescrits à partir d'une nomenclature actualisée (forme galénique, dosage, posologie journalière et durée du traitement).</w:t>
      </w:r>
    </w:p>
    <w:p>
      <w:r>
        <w:t xml:space="preserve">3. </w:t>
      </w:r>
      <w:r>
        <w:rPr>
          <w:b/>
        </w:rPr>
        <w:t>Signature et Sceau d'Intégrité HMAC-SHA256 :</w:t>
      </w:r>
      <w:r>
        <w:t xml:space="preserve"> Lors de la validation, le serveur SantéSN génère un tampon officiel certifié comportant le numéro d'ordre des médecins du praticien et calcule une empreinte cryptographique unique qui garantit qu'aucune ligne de l'ordonnance ne pourra être altérée ultérieurement.</w:t>
      </w:r>
    </w:p>
    <w:p>
      <w:r>
        <w:t xml:space="preserve">4. </w:t>
      </w:r>
      <w:r>
        <w:rPr>
          <w:b/>
        </w:rPr>
        <w:t>Génération PDF A4 Officielle :</w:t>
      </w:r>
      <w:r>
        <w:t xml:space="preserve"> L'ordonnance peut être visualisée en ligne, imprimée en format A4 avec en-tête institutionnel ou partagée au patient.</w:t>
      </w:r>
    </w:p>
    <w:p>
      <w:pPr>
        <w:spacing w:before="120" w:after="120"/>
      </w:pPr>
      <w:r>
        <w:rPr>
          <w:color w:val="CBD5E1"/>
          <w:sz w:val="16"/>
        </w:rPr>
        <w:t>_______________________________________________________________________________</w:t>
      </w:r>
    </w:p>
    <w:p>
      <w:pPr>
        <w:keepNext/>
        <w:spacing w:before="200" w:after="80"/>
      </w:pPr>
      <w:r>
        <w:rPr>
          <w:rFonts w:ascii="Calibri" w:hAnsi="Calibri"/>
          <w:b/>
          <w:color w:val="111827"/>
          <w:sz w:val="25"/>
        </w:rPr>
        <w:t>4.2.3. L'Espace Pharmacien d'Officine</w:t>
      </w:r>
    </w:p>
    <w:p>
      <w:r>
        <w:t>L'espace pharmacien est conçu pour la rapidité au comptoir et la sécurité anti-fraude :</w:t>
      </w:r>
    </w:p>
    <w:p>
      <w:r>
        <w:t xml:space="preserve">1. </w:t>
      </w:r>
      <w:r>
        <w:rPr>
          <w:b/>
        </w:rPr>
        <w:t>Scanner Optique par Caméra (`jsQR`) :</w:t>
      </w:r>
      <w:r>
        <w:t xml:space="preserve"> Le pharmacien clique sur « Activer la caméra ». En approchant le smartphone du patient ou l'ordonnance imprimée, le scanner décode instantanément le QR Code sans nécessiter l'achat d'une douchette laser coûteuse.</w:t>
      </w:r>
    </w:p>
    <w:p>
      <w:r>
        <w:t xml:space="preserve">2. </w:t>
      </w:r>
      <w:r>
        <w:rPr>
          <w:b/>
        </w:rPr>
        <w:t>Vérification en Temps Réel :</w:t>
      </w:r>
      <w:r>
        <w:t xml:space="preserve"> Le système contrôle immédiatement trois points clés :</w:t>
      </w:r>
    </w:p>
    <w:p>
      <w:pPr>
        <w:pStyle w:val="ListBullet"/>
        <w:spacing w:before="20" w:after="40"/>
      </w:pPr>
      <w:r>
        <w:t>L'authenticité du sceau cryptographique HMAC ;</w:t>
      </w:r>
    </w:p>
    <w:p>
      <w:pPr>
        <w:pStyle w:val="ListBullet"/>
        <w:spacing w:before="20" w:after="40"/>
      </w:pPr>
      <w:r>
        <w:t>La convention active entre l'IPM de l'assuré et la pharmacie ;</w:t>
      </w:r>
    </w:p>
    <w:p>
      <w:pPr>
        <w:pStyle w:val="ListBullet"/>
        <w:spacing w:before="20" w:after="40"/>
      </w:pPr>
      <w:r>
        <w:t>Le statut de l'ordonnance (qui doit impérativement être « Active »).</w:t>
      </w:r>
    </w:p>
    <w:p>
      <w:r>
        <w:t xml:space="preserve">3. </w:t>
      </w:r>
      <w:r>
        <w:rPr>
          <w:b/>
        </w:rPr>
        <w:t>Calcul Automatique de la Quote-Part :</w:t>
      </w:r>
      <w:r>
        <w:t xml:space="preserve"> L'écran affiche clairement la part prise en charge par l'IPM (ex: 80 % = 16 000 FCFA) et le reste à charge que le patient doit régler sur place (ex: 20 % = 4 000 FCFA).</w:t>
      </w:r>
    </w:p>
    <w:p>
      <w:r>
        <w:t xml:space="preserve">4. </w:t>
      </w:r>
      <w:r>
        <w:rPr>
          <w:b/>
        </w:rPr>
        <w:t>Délivrance Transactionnelle Atomique :</w:t>
      </w:r>
      <w:r>
        <w:t xml:space="preserve"> Dès que le pharmacien clique sur « Valider la délivrance », une transaction SQL verrouille la ligne (`select_for_update`) et bascule l'ordonnance à l'état `Délivrée`. Même si l'assuré tente de présenter la même ordonnance dans une autre pharmacie 30 secondes plus tard, l'écran de la seconde officine indiquera en rouge : *« Alerte : Ordonnance déjà délivrée le 25/10/2026 à la Grande Pharmacie Dakaroise »*.</w:t>
      </w:r>
    </w:p>
    <w:p>
      <w:pPr>
        <w:spacing w:before="120" w:after="120"/>
      </w:pPr>
      <w:r>
        <w:rPr>
          <w:color w:val="CBD5E1"/>
          <w:sz w:val="16"/>
        </w:rPr>
        <w:t>_______________________________________________________________________________</w:t>
      </w:r>
    </w:p>
    <w:p>
      <w:pPr>
        <w:keepNext/>
        <w:spacing w:before="200" w:after="80"/>
      </w:pPr>
      <w:r>
        <w:rPr>
          <w:rFonts w:ascii="Calibri" w:hAnsi="Calibri"/>
          <w:b/>
          <w:color w:val="111827"/>
          <w:sz w:val="25"/>
        </w:rPr>
        <w:t>4.2.4. L'Espace Gestionnaire d'IPM</w:t>
      </w:r>
    </w:p>
    <w:p>
      <w:r>
        <w:t>Véritable tour de contrôle financière et médicale, l'espace gestionnaire permet de :</w:t>
      </w:r>
    </w:p>
    <w:p>
      <w:r>
        <w:t xml:space="preserve">1. </w:t>
      </w:r>
      <w:r>
        <w:rPr>
          <w:b/>
        </w:rPr>
        <w:t>Suivre les KPI et Indicateurs de Sinistralité :</w:t>
      </w:r>
      <w:r>
        <w:t xml:space="preserve"> Visualiser les dépenses globales engagées, la répartition par type d'actes (pharmacie, biologie, hospitalisation, optique) et l'évolution mensuelle des remboursements.</w:t>
      </w:r>
    </w:p>
    <w:p>
      <w:r>
        <w:t xml:space="preserve">2. </w:t>
      </w:r>
      <w:r>
        <w:rPr>
          <w:b/>
        </w:rPr>
        <w:t>Gérer les Conventions Prestataires :</w:t>
      </w:r>
      <w:r>
        <w:t xml:space="preserve"> Établir ou suspendre des conventions avec les cliniques, hôpitaux et pharmacies partenaires au Sénégal, avec gestion des numéros de convention officiels.</w:t>
      </w:r>
    </w:p>
    <w:p>
      <w:r>
        <w:t xml:space="preserve">3. </w:t>
      </w:r>
      <w:r>
        <w:rPr>
          <w:b/>
        </w:rPr>
        <w:t>Cartographie Sanitaire et Géolocalisation (SIG / Leaflet) :</w:t>
      </w:r>
      <w:r/>
    </w:p>
    <w:p>
      <w:pPr>
        <w:pStyle w:val="ListBullet"/>
        <w:spacing w:before="20" w:after="40"/>
      </w:pPr>
      <w:r>
        <w:t>Visualiser l'ensemble du maillage des structures partenaires sur une carte interactive Leaflet ;</w:t>
      </w:r>
    </w:p>
    <w:p>
      <w:pPr>
        <w:pStyle w:val="ListBullet"/>
        <w:spacing w:before="20" w:after="40"/>
      </w:pPr>
      <w:r>
        <w:t xml:space="preserve">Permuter entre les calques </w:t>
      </w:r>
      <w:r>
        <w:rPr>
          <w:b/>
        </w:rPr>
        <w:t>Google Maps Plan Urbain</w:t>
      </w:r>
      <w:r>
        <w:t xml:space="preserve">, </w:t>
      </w:r>
      <w:r>
        <w:rPr>
          <w:b/>
        </w:rPr>
        <w:t>Google Satellite Hybride</w:t>
      </w:r>
      <w:r>
        <w:t xml:space="preserve"> et </w:t>
      </w:r>
      <w:r>
        <w:rPr>
          <w:b/>
        </w:rPr>
        <w:t>Esri World Imagery HD</w:t>
      </w:r>
      <w:r>
        <w:t xml:space="preserve"> ;</w:t>
      </w:r>
    </w:p>
    <w:p>
      <w:pPr>
        <w:pStyle w:val="ListBullet"/>
        <w:spacing w:before="20" w:after="40"/>
      </w:pPr>
      <w:r>
        <w:t>Bénéficier d'une parfaite lisibilité quel que soit le thème sélectionné (mode jour clair ou mode nuit sombre avec boutons de contrôle adaptés).</w:t>
      </w:r>
    </w:p>
    <w:p>
      <w:r>
        <w:t xml:space="preserve">4. </w:t>
      </w:r>
      <w:r>
        <w:rPr>
          <w:b/>
        </w:rPr>
        <w:t>Instruction des Remboursements Hors Réseau :</w:t>
      </w:r>
      <w:r>
        <w:t xml:space="preserve"> Examiner les factures téléversées par les assurés pour des soins d'urgence reçus hors réseau conventionné, valider le montant remboursable et ordonnancer le règlement.</w:t>
      </w:r>
    </w:p>
    <w:p>
      <w:r>
        <w:t xml:space="preserve">5. </w:t>
      </w:r>
      <w:r>
        <w:rPr>
          <w:b/>
        </w:rPr>
        <w:t>Télétransmission des Bordereaux Comptables :</w:t>
      </w:r>
      <w:r>
        <w:t xml:space="preserve"> Exporter les relevés de liquidation mensuels certifiés pour transmission aux services financiers et émission des virements aux officines.</w:t>
      </w:r>
    </w:p>
    <w:p>
      <w:pPr>
        <w:spacing w:before="120" w:after="120"/>
      </w:pPr>
      <w:r>
        <w:rPr>
          <w:color w:val="CBD5E1"/>
          <w:sz w:val="16"/>
        </w:rPr>
        <w:t>_______________________________________________________________________________</w:t>
      </w:r>
    </w:p>
    <w:p>
      <w:pPr>
        <w:keepNext/>
        <w:spacing w:before="200" w:after="80"/>
      </w:pPr>
      <w:r>
        <w:rPr>
          <w:rFonts w:ascii="Calibri" w:hAnsi="Calibri"/>
          <w:b/>
          <w:color w:val="111827"/>
          <w:sz w:val="25"/>
        </w:rPr>
        <w:t>4.2.5. L'Espace Administrateur Système (IT)</w:t>
      </w:r>
    </w:p>
    <w:p>
      <w:r>
        <w:t>Dédié à la sécurité et à la conformité institutionnelle :</w:t>
      </w:r>
    </w:p>
    <w:p>
      <w:r>
        <w:t xml:space="preserve">1. </w:t>
      </w:r>
      <w:r>
        <w:rPr>
          <w:b/>
        </w:rPr>
        <w:t>Contrôle d'Accès Basé sur les Rôles (RBAC) :</w:t>
      </w:r>
      <w:r>
        <w:t xml:space="preserve"> Cloisonnement strict empêchant un médecin d'accéder aux données comptables de l'IPM ou un gestionnaire de modifier un diagnostic médical.</w:t>
      </w:r>
    </w:p>
    <w:p>
      <w:r>
        <w:t xml:space="preserve">2. </w:t>
      </w:r>
      <w:r>
        <w:rPr>
          <w:b/>
        </w:rPr>
        <w:t>Journal d'Audit Immuable (*Audit Trail*) :</w:t>
      </w:r>
      <w:r>
        <w:t xml:space="preserve"> Enregistrement de chaque action sensible (date, heure, adresse IP, utilisateur, ressource consultée ou modifiée) assurant la traçabilité exigée par la CDP.</w:t>
      </w:r>
    </w:p>
    <w:p>
      <w:r>
        <w:t xml:space="preserve">3. </w:t>
      </w:r>
      <w:r>
        <w:rPr>
          <w:b/>
        </w:rPr>
        <w:t>Surveillance Technique :</w:t>
      </w:r>
      <w:r>
        <w:t xml:space="preserve"> Suivi de la disponibilité de la base de données PostgreSQL Neon et des métriques de temps de réponse.</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4.3. Tests et validation</w:t>
      </w:r>
    </w:p>
    <w:p>
      <w:pPr>
        <w:keepNext/>
        <w:spacing w:before="200" w:after="80"/>
      </w:pPr>
      <w:r>
        <w:rPr>
          <w:rFonts w:ascii="Calibri" w:hAnsi="Calibri"/>
          <w:b/>
          <w:color w:val="111827"/>
          <w:sz w:val="25"/>
        </w:rPr>
        <w:t>4.3.1. Stratégie de tests et assurance qualité</w:t>
      </w:r>
    </w:p>
    <w:p>
      <w:r>
        <w:t>Pour garantir une fiabilité de niveau industriel à une application manipulant des données médicales et financières sensibles, nous avons élaboré une stratégie de test rigoureuse à plusieurs niveaux :</w:t>
      </w:r>
    </w:p>
    <w:p>
      <w:r>
        <w:t xml:space="preserve">1. </w:t>
      </w:r>
      <w:r>
        <w:rPr>
          <w:b/>
        </w:rPr>
        <w:t>Tests unitaires :</w:t>
      </w:r>
      <w:r>
        <w:t xml:space="preserve"> Vérification unitaire de chaque méthode de calcul (écrêtement de plafond, calcul de quote-part, hachage HMAC, normalisation des recherches textuelles).</w:t>
      </w:r>
    </w:p>
    <w:p>
      <w:r>
        <w:t xml:space="preserve">2. </w:t>
      </w:r>
      <w:r>
        <w:rPr>
          <w:b/>
        </w:rPr>
        <w:t>Tests d'intégration et de permissions (RBAC) :</w:t>
      </w:r>
      <w:r>
        <w:t xml:space="preserve"> Validation que les décorateurs de sécurité bloquent systématiquement les utilisateurs non autorisés (tentative d'accès d'un assuré à l'espace pharmacie, tentative d'un médecin d'accéder aux liquidations de l'IPM).</w:t>
      </w:r>
    </w:p>
    <w:p>
      <w:r>
        <w:t xml:space="preserve">3. </w:t>
      </w:r>
      <w:r>
        <w:rPr>
          <w:b/>
        </w:rPr>
        <w:t>Tests de résistance aux failles IDOR (Insecure Direct Object Reference) :</w:t>
      </w:r>
      <w:r>
        <w:t xml:space="preserve"> Vérification qu'un assuré ne peut en aucun cas consulter l'ordonnance ou la carte d'un autre assuré en modifiant l'identifiant dans l'URL.</w:t>
      </w:r>
    </w:p>
    <w:p>
      <w:r>
        <w:t xml:space="preserve">4. </w:t>
      </w:r>
      <w:r>
        <w:rPr>
          <w:b/>
        </w:rPr>
        <w:t>Tests de non-régression et d'isolation des fixtures :</w:t>
      </w:r>
      <w:r>
        <w:t xml:space="preserve"> Garantir que les jeux d'essais automatisés s'exécutent dans une base isolée sans modifier les données réelles de démonstration.</w:t>
      </w:r>
    </w:p>
    <w:p>
      <w:pPr>
        <w:keepNext/>
        <w:spacing w:before="200" w:after="80"/>
      </w:pPr>
      <w:r>
        <w:rPr>
          <w:rFonts w:ascii="Calibri" w:hAnsi="Calibri"/>
          <w:b/>
          <w:color w:val="111827"/>
          <w:sz w:val="25"/>
        </w:rPr>
        <w:t>4.3.2. Résultats d'exécution du banc de tests</w:t>
      </w:r>
    </w:p>
    <w:p>
      <w:r>
        <w:t xml:space="preserve">La suite de tests automatisés développée dans `Plateform_medicale/tests.py` comprend </w:t>
      </w:r>
      <w:r>
        <w:rPr>
          <w:b/>
        </w:rPr>
        <w:t>196 tests complets</w:t>
      </w:r>
      <w:r>
        <w:t xml:space="preserve"> exécutés avec succès :</w:t>
      </w:r>
    </w:p>
    <w:p>
      <w:pPr>
        <w:spacing w:before="80" w:after="120"/>
        <w:ind w:left="288" w:right="288"/>
      </w:pPr>
      <w:r>
        <w:rPr>
          <w:rFonts w:ascii="Consolas" w:hAnsi="Consolas"/>
          <w:color w:val="27272A"/>
          <w:sz w:val="19"/>
        </w:rPr>
        <w:t>----------------------------------------------------------------------</w:t>
        <w:br/>
        <w:t>Ran 196 tests in 18.420s</w:t>
        <w:br/>
        <w:br/>
        <w:t>OK</w:t>
        <w:br/>
        <w:t>Destroying test database for alias 'default'...</w:t>
        <w:br/>
        <w:t>System check identified no issues (0 silenced).</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60" w:type="dxa"/>
              <w:right w:w="160" w:type="dxa"/>
            </w:tcMar>
            <w:shd w:fill="0E7C86"/>
          </w:tcPr>
          <w:p>
            <w:pPr>
              <w:spacing w:before="60" w:after="60"/>
            </w:pPr>
            <w:r>
              <w:rPr>
                <w:b/>
                <w:color w:val="FFFFFF"/>
                <w:sz w:val="20"/>
              </w:rPr>
              <w:t>Famille de Tests</w:t>
            </w:r>
          </w:p>
        </w:tc>
        <w:tc>
          <w:tcPr>
            <w:tcW w:type="dxa" w:w="2340"/>
            <w:tcMar>
              <w:top w:w="120" w:type="dxa"/>
              <w:bottom w:w="120" w:type="dxa"/>
              <w:left w:w="160" w:type="dxa"/>
              <w:right w:w="160" w:type="dxa"/>
            </w:tcMar>
            <w:shd w:fill="0E7C86"/>
          </w:tcPr>
          <w:p>
            <w:pPr>
              <w:spacing w:before="60" w:after="60"/>
            </w:pPr>
            <w:r>
              <w:rPr>
                <w:b/>
                <w:color w:val="FFFFFF"/>
                <w:sz w:val="20"/>
              </w:rPr>
              <w:t>Nombre de Tests</w:t>
            </w:r>
          </w:p>
        </w:tc>
        <w:tc>
          <w:tcPr>
            <w:tcW w:type="dxa" w:w="2340"/>
            <w:tcMar>
              <w:top w:w="120" w:type="dxa"/>
              <w:bottom w:w="120" w:type="dxa"/>
              <w:left w:w="160" w:type="dxa"/>
              <w:right w:w="160" w:type="dxa"/>
            </w:tcMar>
            <w:shd w:fill="0E7C86"/>
          </w:tcPr>
          <w:p>
            <w:pPr>
              <w:spacing w:before="60" w:after="60"/>
            </w:pPr>
            <w:r>
              <w:rPr>
                <w:b/>
                <w:color w:val="FFFFFF"/>
                <w:sz w:val="20"/>
              </w:rPr>
              <w:t>Statut</w:t>
            </w:r>
          </w:p>
        </w:tc>
        <w:tc>
          <w:tcPr>
            <w:tcW w:type="dxa" w:w="2340"/>
            <w:tcMar>
              <w:top w:w="120" w:type="dxa"/>
              <w:bottom w:w="120" w:type="dxa"/>
              <w:left w:w="160" w:type="dxa"/>
              <w:right w:w="160" w:type="dxa"/>
            </w:tcMar>
            <w:shd w:fill="0E7C86"/>
          </w:tcPr>
          <w:p>
            <w:pPr>
              <w:spacing w:before="60" w:after="60"/>
            </w:pPr>
            <w:r>
              <w:rPr>
                <w:b/>
                <w:color w:val="FFFFFF"/>
                <w:sz w:val="20"/>
              </w:rPr>
              <w:t>Risques Couverts</w:t>
            </w:r>
          </w:p>
        </w:tc>
      </w:tr>
      <w:tr>
        <w:tc>
          <w:tcPr>
            <w:tcW w:type="dxa" w:w="2340"/>
            <w:tcMar>
              <w:top w:w="120" w:type="dxa"/>
              <w:bottom w:w="120" w:type="dxa"/>
              <w:left w:w="160" w:type="dxa"/>
              <w:right w:w="160" w:type="dxa"/>
            </w:tcMar>
            <w:shd w:fill="F8FAFC"/>
          </w:tcPr>
          <w:p>
            <w:pPr>
              <w:spacing w:before="60" w:after="60"/>
            </w:pPr>
            <w:r>
              <w:rPr>
                <w:sz w:val="19"/>
              </w:rPr>
              <w:t>Authentification &amp; Sécurité RBAC</w:t>
            </w:r>
          </w:p>
        </w:tc>
        <w:tc>
          <w:tcPr>
            <w:tcW w:type="dxa" w:w="2340"/>
            <w:tcMar>
              <w:top w:w="120" w:type="dxa"/>
              <w:bottom w:w="120" w:type="dxa"/>
              <w:left w:w="160" w:type="dxa"/>
              <w:right w:w="160" w:type="dxa"/>
            </w:tcMar>
            <w:shd w:fill="F8FAFC"/>
          </w:tcPr>
          <w:p>
            <w:pPr>
              <w:spacing w:before="60" w:after="60"/>
            </w:pPr>
            <w:r>
              <w:rPr>
                <w:sz w:val="19"/>
              </w:rPr>
              <w:t>32 tests</w:t>
            </w:r>
          </w:p>
        </w:tc>
        <w:tc>
          <w:tcPr>
            <w:tcW w:type="dxa" w:w="2340"/>
            <w:tcMar>
              <w:top w:w="120" w:type="dxa"/>
              <w:bottom w:w="120" w:type="dxa"/>
              <w:left w:w="160" w:type="dxa"/>
              <w:right w:w="160" w:type="dxa"/>
            </w:tcMar>
            <w:shd w:fill="F8FAFC"/>
          </w:tcPr>
          <w:p>
            <w:pPr>
              <w:spacing w:before="60" w:after="60"/>
            </w:pPr>
            <w:r>
              <w:rPr>
                <w:sz w:val="19"/>
              </w:rPr>
              <w:t>100 % Succès</w:t>
            </w:r>
          </w:p>
        </w:tc>
        <w:tc>
          <w:tcPr>
            <w:tcW w:type="dxa" w:w="2340"/>
            <w:tcMar>
              <w:top w:w="120" w:type="dxa"/>
              <w:bottom w:w="120" w:type="dxa"/>
              <w:left w:w="160" w:type="dxa"/>
              <w:right w:w="160" w:type="dxa"/>
            </w:tcMar>
            <w:shd w:fill="F8FAFC"/>
          </w:tcPr>
          <w:p>
            <w:pPr>
              <w:spacing w:before="60" w:after="60"/>
            </w:pPr>
            <w:r>
              <w:rPr>
                <w:sz w:val="19"/>
              </w:rPr>
              <w:t>Usurpation de rôle, force brute sur mots de passe, sessions compromises.</w:t>
            </w:r>
          </w:p>
        </w:tc>
      </w:tr>
      <w:tr>
        <w:tc>
          <w:tcPr>
            <w:tcW w:type="dxa" w:w="2340"/>
            <w:tcMar>
              <w:top w:w="120" w:type="dxa"/>
              <w:bottom w:w="120" w:type="dxa"/>
              <w:left w:w="160" w:type="dxa"/>
              <w:right w:w="160" w:type="dxa"/>
            </w:tcMar>
            <w:shd w:fill="FFFFFF"/>
          </w:tcPr>
          <w:p>
            <w:pPr>
              <w:spacing w:before="60" w:after="60"/>
            </w:pPr>
            <w:r>
              <w:rPr>
                <w:sz w:val="19"/>
              </w:rPr>
              <w:t>Espace Assuré &amp; Cartes ISO 7810</w:t>
            </w:r>
          </w:p>
        </w:tc>
        <w:tc>
          <w:tcPr>
            <w:tcW w:type="dxa" w:w="2340"/>
            <w:tcMar>
              <w:top w:w="120" w:type="dxa"/>
              <w:bottom w:w="120" w:type="dxa"/>
              <w:left w:w="160" w:type="dxa"/>
              <w:right w:w="160" w:type="dxa"/>
            </w:tcMar>
            <w:shd w:fill="FFFFFF"/>
          </w:tcPr>
          <w:p>
            <w:pPr>
              <w:spacing w:before="60" w:after="60"/>
            </w:pPr>
            <w:r>
              <w:rPr>
                <w:sz w:val="19"/>
              </w:rPr>
              <w:t>35 tests</w:t>
            </w:r>
          </w:p>
        </w:tc>
        <w:tc>
          <w:tcPr>
            <w:tcW w:type="dxa" w:w="2340"/>
            <w:tcMar>
              <w:top w:w="120" w:type="dxa"/>
              <w:bottom w:w="120" w:type="dxa"/>
              <w:left w:w="160" w:type="dxa"/>
              <w:right w:w="160" w:type="dxa"/>
            </w:tcMar>
            <w:shd w:fill="FFFFFF"/>
          </w:tcPr>
          <w:p>
            <w:pPr>
              <w:spacing w:before="60" w:after="60"/>
            </w:pPr>
            <w:r>
              <w:rPr>
                <w:sz w:val="19"/>
              </w:rPr>
              <w:t>100 % Succès</w:t>
            </w:r>
          </w:p>
        </w:tc>
        <w:tc>
          <w:tcPr>
            <w:tcW w:type="dxa" w:w="2340"/>
            <w:tcMar>
              <w:top w:w="120" w:type="dxa"/>
              <w:bottom w:w="120" w:type="dxa"/>
              <w:left w:w="160" w:type="dxa"/>
              <w:right w:w="160" w:type="dxa"/>
            </w:tcMar>
            <w:shd w:fill="FFFFFF"/>
          </w:tcPr>
          <w:p>
            <w:pPr>
              <w:spacing w:before="60" w:after="60"/>
            </w:pPr>
            <w:r>
              <w:rPr>
                <w:sz w:val="19"/>
              </w:rPr>
              <w:t>Génération QR Code, calcul jauge plafond, affichage ayants droit.</w:t>
            </w:r>
          </w:p>
        </w:tc>
      </w:tr>
      <w:tr>
        <w:tc>
          <w:tcPr>
            <w:tcW w:type="dxa" w:w="2340"/>
            <w:tcMar>
              <w:top w:w="120" w:type="dxa"/>
              <w:bottom w:w="120" w:type="dxa"/>
              <w:left w:w="160" w:type="dxa"/>
              <w:right w:w="160" w:type="dxa"/>
            </w:tcMar>
            <w:shd w:fill="F8FAFC"/>
          </w:tcPr>
          <w:p>
            <w:pPr>
              <w:spacing w:before="60" w:after="60"/>
            </w:pPr>
            <w:r>
              <w:rPr>
                <w:sz w:val="19"/>
              </w:rPr>
              <w:t>Espace Pharmacie &amp; Scanner Optique</w:t>
            </w:r>
          </w:p>
        </w:tc>
        <w:tc>
          <w:tcPr>
            <w:tcW w:type="dxa" w:w="2340"/>
            <w:tcMar>
              <w:top w:w="120" w:type="dxa"/>
              <w:bottom w:w="120" w:type="dxa"/>
              <w:left w:w="160" w:type="dxa"/>
              <w:right w:w="160" w:type="dxa"/>
            </w:tcMar>
            <w:shd w:fill="F8FAFC"/>
          </w:tcPr>
          <w:p>
            <w:pPr>
              <w:spacing w:before="60" w:after="60"/>
            </w:pPr>
            <w:r>
              <w:rPr>
                <w:sz w:val="19"/>
              </w:rPr>
              <w:t>46 tests</w:t>
            </w:r>
          </w:p>
        </w:tc>
        <w:tc>
          <w:tcPr>
            <w:tcW w:type="dxa" w:w="2340"/>
            <w:tcMar>
              <w:top w:w="120" w:type="dxa"/>
              <w:bottom w:w="120" w:type="dxa"/>
              <w:left w:w="160" w:type="dxa"/>
              <w:right w:w="160" w:type="dxa"/>
            </w:tcMar>
            <w:shd w:fill="F8FAFC"/>
          </w:tcPr>
          <w:p>
            <w:pPr>
              <w:spacing w:before="60" w:after="60"/>
            </w:pPr>
            <w:r>
              <w:rPr>
                <w:sz w:val="19"/>
              </w:rPr>
              <w:t>100 % Succès</w:t>
            </w:r>
          </w:p>
        </w:tc>
        <w:tc>
          <w:tcPr>
            <w:tcW w:type="dxa" w:w="2340"/>
            <w:tcMar>
              <w:top w:w="120" w:type="dxa"/>
              <w:bottom w:w="120" w:type="dxa"/>
              <w:left w:w="160" w:type="dxa"/>
              <w:right w:w="160" w:type="dxa"/>
            </w:tcMar>
            <w:shd w:fill="F8FAFC"/>
          </w:tcPr>
          <w:p>
            <w:pPr>
              <w:spacing w:before="60" w:after="60"/>
            </w:pPr>
            <w:r>
              <w:rPr>
                <w:sz w:val="19"/>
              </w:rPr>
              <w:t>Détection double délivrance, verrouillage transactionnel ACID, calcul tiers payant.</w:t>
            </w:r>
          </w:p>
        </w:tc>
      </w:tr>
      <w:tr>
        <w:tc>
          <w:tcPr>
            <w:tcW w:type="dxa" w:w="2340"/>
            <w:tcMar>
              <w:top w:w="120" w:type="dxa"/>
              <w:bottom w:w="120" w:type="dxa"/>
              <w:left w:w="160" w:type="dxa"/>
              <w:right w:w="160" w:type="dxa"/>
            </w:tcMar>
            <w:shd w:fill="FFFFFF"/>
          </w:tcPr>
          <w:p>
            <w:pPr>
              <w:spacing w:before="60" w:after="60"/>
            </w:pPr>
            <w:r>
              <w:rPr>
                <w:sz w:val="19"/>
              </w:rPr>
              <w:t>Espace Médecin &amp; Ordonnances HMAC</w:t>
            </w:r>
          </w:p>
        </w:tc>
        <w:tc>
          <w:tcPr>
            <w:tcW w:type="dxa" w:w="2340"/>
            <w:tcMar>
              <w:top w:w="120" w:type="dxa"/>
              <w:bottom w:w="120" w:type="dxa"/>
              <w:left w:w="160" w:type="dxa"/>
              <w:right w:w="160" w:type="dxa"/>
            </w:tcMar>
            <w:shd w:fill="FFFFFF"/>
          </w:tcPr>
          <w:p>
            <w:pPr>
              <w:spacing w:before="60" w:after="60"/>
            </w:pPr>
            <w:r>
              <w:rPr>
                <w:sz w:val="19"/>
              </w:rPr>
              <w:t>43 tests</w:t>
            </w:r>
          </w:p>
        </w:tc>
        <w:tc>
          <w:tcPr>
            <w:tcW w:type="dxa" w:w="2340"/>
            <w:tcMar>
              <w:top w:w="120" w:type="dxa"/>
              <w:bottom w:w="120" w:type="dxa"/>
              <w:left w:w="160" w:type="dxa"/>
              <w:right w:w="160" w:type="dxa"/>
            </w:tcMar>
            <w:shd w:fill="FFFFFF"/>
          </w:tcPr>
          <w:p>
            <w:pPr>
              <w:spacing w:before="60" w:after="60"/>
            </w:pPr>
            <w:r>
              <w:rPr>
                <w:sz w:val="19"/>
              </w:rPr>
              <w:t>100 % Succès</w:t>
            </w:r>
          </w:p>
        </w:tc>
        <w:tc>
          <w:tcPr>
            <w:tcW w:type="dxa" w:w="2340"/>
            <w:tcMar>
              <w:top w:w="120" w:type="dxa"/>
              <w:bottom w:w="120" w:type="dxa"/>
              <w:left w:w="160" w:type="dxa"/>
              <w:right w:w="160" w:type="dxa"/>
            </w:tcMar>
            <w:shd w:fill="FFFFFF"/>
          </w:tcPr>
          <w:p>
            <w:pPr>
              <w:spacing w:before="60" w:after="60"/>
            </w:pPr>
            <w:r>
              <w:rPr>
                <w:sz w:val="19"/>
              </w:rPr>
              <w:t>Intégrité des prescriptions, signature électronique, génération PDF A4.</w:t>
            </w:r>
          </w:p>
        </w:tc>
      </w:tr>
      <w:tr>
        <w:tc>
          <w:tcPr>
            <w:tcW w:type="dxa" w:w="2340"/>
            <w:tcMar>
              <w:top w:w="120" w:type="dxa"/>
              <w:bottom w:w="120" w:type="dxa"/>
              <w:left w:w="160" w:type="dxa"/>
              <w:right w:w="160" w:type="dxa"/>
            </w:tcMar>
            <w:shd w:fill="F8FAFC"/>
          </w:tcPr>
          <w:p>
            <w:pPr>
              <w:spacing w:before="60" w:after="60"/>
            </w:pPr>
            <w:r>
              <w:rPr>
                <w:sz w:val="19"/>
              </w:rPr>
              <w:t>Gestionnaire &amp; Multi-Tenancy</w:t>
            </w:r>
          </w:p>
        </w:tc>
        <w:tc>
          <w:tcPr>
            <w:tcW w:type="dxa" w:w="2340"/>
            <w:tcMar>
              <w:top w:w="120" w:type="dxa"/>
              <w:bottom w:w="120" w:type="dxa"/>
              <w:left w:w="160" w:type="dxa"/>
              <w:right w:w="160" w:type="dxa"/>
            </w:tcMar>
            <w:shd w:fill="F8FAFC"/>
          </w:tcPr>
          <w:p>
            <w:pPr>
              <w:spacing w:before="60" w:after="60"/>
            </w:pPr>
            <w:r>
              <w:rPr>
                <w:sz w:val="19"/>
              </w:rPr>
              <w:t>22 tests</w:t>
            </w:r>
          </w:p>
        </w:tc>
        <w:tc>
          <w:tcPr>
            <w:tcW w:type="dxa" w:w="2340"/>
            <w:tcMar>
              <w:top w:w="120" w:type="dxa"/>
              <w:bottom w:w="120" w:type="dxa"/>
              <w:left w:w="160" w:type="dxa"/>
              <w:right w:w="160" w:type="dxa"/>
            </w:tcMar>
            <w:shd w:fill="F8FAFC"/>
          </w:tcPr>
          <w:p>
            <w:pPr>
              <w:spacing w:before="60" w:after="60"/>
            </w:pPr>
            <w:r>
              <w:rPr>
                <w:sz w:val="19"/>
              </w:rPr>
              <w:t>100 % Succès</w:t>
            </w:r>
          </w:p>
        </w:tc>
        <w:tc>
          <w:tcPr>
            <w:tcW w:type="dxa" w:w="2340"/>
            <w:tcMar>
              <w:top w:w="120" w:type="dxa"/>
              <w:bottom w:w="120" w:type="dxa"/>
              <w:left w:w="160" w:type="dxa"/>
              <w:right w:w="160" w:type="dxa"/>
            </w:tcMar>
            <w:shd w:fill="F8FAFC"/>
          </w:tcPr>
          <w:p>
            <w:pPr>
              <w:spacing w:before="60" w:after="60"/>
            </w:pPr>
            <w:r>
              <w:rPr>
                <w:sz w:val="19"/>
              </w:rPr>
              <w:t>Isolation stricte IPM SantéSN vs Sonatel, conventions, liquidations.</w:t>
            </w:r>
          </w:p>
        </w:tc>
      </w:tr>
      <w:tr>
        <w:tc>
          <w:tcPr>
            <w:tcW w:type="dxa" w:w="2340"/>
            <w:tcMar>
              <w:top w:w="120" w:type="dxa"/>
              <w:bottom w:w="120" w:type="dxa"/>
              <w:left w:w="160" w:type="dxa"/>
              <w:right w:w="160" w:type="dxa"/>
            </w:tcMar>
            <w:shd w:fill="FFFFFF"/>
          </w:tcPr>
          <w:p>
            <w:pPr>
              <w:spacing w:before="60" w:after="60"/>
            </w:pPr>
            <w:r>
              <w:rPr>
                <w:sz w:val="19"/>
              </w:rPr>
              <w:t>PWA, Mode Hors-Ligne &amp; Légal CDP</w:t>
            </w:r>
          </w:p>
        </w:tc>
        <w:tc>
          <w:tcPr>
            <w:tcW w:type="dxa" w:w="2340"/>
            <w:tcMar>
              <w:top w:w="120" w:type="dxa"/>
              <w:bottom w:w="120" w:type="dxa"/>
              <w:left w:w="160" w:type="dxa"/>
              <w:right w:w="160" w:type="dxa"/>
            </w:tcMar>
            <w:shd w:fill="FFFFFF"/>
          </w:tcPr>
          <w:p>
            <w:pPr>
              <w:spacing w:before="60" w:after="60"/>
            </w:pPr>
            <w:r>
              <w:rPr>
                <w:sz w:val="19"/>
              </w:rPr>
              <w:t>18 tests</w:t>
            </w:r>
          </w:p>
        </w:tc>
        <w:tc>
          <w:tcPr>
            <w:tcW w:type="dxa" w:w="2340"/>
            <w:tcMar>
              <w:top w:w="120" w:type="dxa"/>
              <w:bottom w:w="120" w:type="dxa"/>
              <w:left w:w="160" w:type="dxa"/>
              <w:right w:w="160" w:type="dxa"/>
            </w:tcMar>
            <w:shd w:fill="FFFFFF"/>
          </w:tcPr>
          <w:p>
            <w:pPr>
              <w:spacing w:before="60" w:after="60"/>
            </w:pPr>
            <w:r>
              <w:rPr>
                <w:sz w:val="19"/>
              </w:rPr>
              <w:t>100 % Succès</w:t>
            </w:r>
          </w:p>
        </w:tc>
        <w:tc>
          <w:tcPr>
            <w:tcW w:type="dxa" w:w="2340"/>
            <w:tcMar>
              <w:top w:w="120" w:type="dxa"/>
              <w:bottom w:w="120" w:type="dxa"/>
              <w:left w:w="160" w:type="dxa"/>
              <w:right w:w="160" w:type="dxa"/>
            </w:tcMar>
            <w:shd w:fill="FFFFFF"/>
          </w:tcPr>
          <w:p>
            <w:pPr>
              <w:spacing w:before="60" w:after="60"/>
            </w:pPr>
            <w:r>
              <w:rPr>
                <w:sz w:val="19"/>
              </w:rPr>
              <w:t>Service Worker, conformité loi 2008-12, mentions légales CGU.</w:t>
            </w:r>
          </w:p>
        </w:tc>
      </w:tr>
      <w:tr>
        <w:tc>
          <w:tcPr>
            <w:tcW w:type="dxa" w:w="2340"/>
            <w:tcMar>
              <w:top w:w="120" w:type="dxa"/>
              <w:bottom w:w="120" w:type="dxa"/>
              <w:left w:w="160" w:type="dxa"/>
              <w:right w:w="160" w:type="dxa"/>
            </w:tcMar>
            <w:shd w:fill="F8FAFC"/>
          </w:tcPr>
          <w:p>
            <w:pPr>
              <w:spacing w:before="60" w:after="60"/>
            </w:pPr>
            <w:r>
              <w:rPr>
                <w:sz w:val="19"/>
              </w:rPr>
              <w:t>TOTAL GÉNÉRAL</w:t>
            </w:r>
          </w:p>
        </w:tc>
        <w:tc>
          <w:tcPr>
            <w:tcW w:type="dxa" w:w="2340"/>
            <w:tcMar>
              <w:top w:w="120" w:type="dxa"/>
              <w:bottom w:w="120" w:type="dxa"/>
              <w:left w:w="160" w:type="dxa"/>
              <w:right w:w="160" w:type="dxa"/>
            </w:tcMar>
            <w:shd w:fill="F8FAFC"/>
          </w:tcPr>
          <w:p>
            <w:pPr>
              <w:spacing w:before="60" w:after="60"/>
            </w:pPr>
            <w:r>
              <w:rPr>
                <w:sz w:val="19"/>
              </w:rPr>
              <w:t>196 tests</w:t>
            </w:r>
          </w:p>
        </w:tc>
        <w:tc>
          <w:tcPr>
            <w:tcW w:type="dxa" w:w="2340"/>
            <w:tcMar>
              <w:top w:w="120" w:type="dxa"/>
              <w:bottom w:w="120" w:type="dxa"/>
              <w:left w:w="160" w:type="dxa"/>
              <w:right w:w="160" w:type="dxa"/>
            </w:tcMar>
            <w:shd w:fill="F8FAFC"/>
          </w:tcPr>
          <w:p>
            <w:pPr>
              <w:spacing w:before="60" w:after="60"/>
            </w:pPr>
            <w:r>
              <w:rPr>
                <w:sz w:val="19"/>
              </w:rPr>
              <w:t>100 % Succès</w:t>
            </w:r>
          </w:p>
        </w:tc>
        <w:tc>
          <w:tcPr>
            <w:tcW w:type="dxa" w:w="2340"/>
            <w:tcMar>
              <w:top w:w="120" w:type="dxa"/>
              <w:bottom w:w="120" w:type="dxa"/>
              <w:left w:w="160" w:type="dxa"/>
              <w:right w:w="160" w:type="dxa"/>
            </w:tcMar>
            <w:shd w:fill="F8FAFC"/>
          </w:tcPr>
          <w:p>
            <w:pPr>
              <w:spacing w:before="60" w:after="60"/>
            </w:pPr>
            <w:r>
              <w:rPr>
                <w:sz w:val="19"/>
              </w:rPr>
              <w:t>Zéro régression, fiabilité éprouvée.</w:t>
            </w:r>
          </w:p>
        </w:tc>
      </w:tr>
    </w:tbl>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4.4. Évaluation des coûts</w:t>
      </w:r>
    </w:p>
    <w:p>
      <w:r>
        <w:t>Un projet informatique professionnel doit justifier sa rentabilité économique. L'évaluation financière ci-dessous démontre que le modèle cloud serverless retenu permet d'exploiter SantéSN à un coût dérisoire comparé aux dépenses actuelles en papeterie des IPM :</w:t>
      </w:r>
    </w:p>
    <w:p>
      <w:pPr>
        <w:keepNext/>
        <w:spacing w:before="200" w:after="80"/>
      </w:pPr>
      <w:r>
        <w:rPr>
          <w:rFonts w:ascii="Calibri" w:hAnsi="Calibri"/>
          <w:b/>
          <w:color w:val="111827"/>
          <w:sz w:val="25"/>
        </w:rPr>
        <w:t>4.4.1. Budget prévisionnel d'exploitation annuelle (Infrastructure Cloud)</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60" w:type="dxa"/>
              <w:right w:w="160" w:type="dxa"/>
            </w:tcMar>
            <w:shd w:fill="0E7C86"/>
          </w:tcPr>
          <w:p>
            <w:pPr>
              <w:spacing w:before="60" w:after="60"/>
            </w:pPr>
            <w:r>
              <w:rPr>
                <w:b/>
                <w:color w:val="FFFFFF"/>
                <w:sz w:val="20"/>
              </w:rPr>
              <w:t>Poste de Dépense</w:t>
            </w:r>
          </w:p>
        </w:tc>
        <w:tc>
          <w:tcPr>
            <w:tcW w:type="dxa" w:w="2340"/>
            <w:tcMar>
              <w:top w:w="120" w:type="dxa"/>
              <w:bottom w:w="120" w:type="dxa"/>
              <w:left w:w="160" w:type="dxa"/>
              <w:right w:w="160" w:type="dxa"/>
            </w:tcMar>
            <w:shd w:fill="0E7C86"/>
          </w:tcPr>
          <w:p>
            <w:pPr>
              <w:spacing w:before="60" w:after="60"/>
            </w:pPr>
            <w:r>
              <w:rPr>
                <w:b/>
                <w:color w:val="FFFFFF"/>
                <w:sz w:val="20"/>
              </w:rPr>
              <w:t>Fournisseur / Solution</w:t>
            </w:r>
          </w:p>
        </w:tc>
        <w:tc>
          <w:tcPr>
            <w:tcW w:type="dxa" w:w="2340"/>
            <w:tcMar>
              <w:top w:w="120" w:type="dxa"/>
              <w:bottom w:w="120" w:type="dxa"/>
              <w:left w:w="160" w:type="dxa"/>
              <w:right w:w="160" w:type="dxa"/>
            </w:tcMar>
            <w:shd w:fill="0E7C86"/>
          </w:tcPr>
          <w:p>
            <w:pPr>
              <w:spacing w:before="60" w:after="60"/>
            </w:pPr>
            <w:r>
              <w:rPr>
                <w:b/>
                <w:color w:val="FFFFFF"/>
                <w:sz w:val="20"/>
              </w:rPr>
              <w:t>Coût Mensuel Estimatif</w:t>
            </w:r>
          </w:p>
        </w:tc>
        <w:tc>
          <w:tcPr>
            <w:tcW w:type="dxa" w:w="2340"/>
            <w:tcMar>
              <w:top w:w="120" w:type="dxa"/>
              <w:bottom w:w="120" w:type="dxa"/>
              <w:left w:w="160" w:type="dxa"/>
              <w:right w:w="160" w:type="dxa"/>
            </w:tcMar>
            <w:shd w:fill="0E7C86"/>
          </w:tcPr>
          <w:p>
            <w:pPr>
              <w:spacing w:before="60" w:after="60"/>
            </w:pPr>
            <w:r>
              <w:rPr>
                <w:b/>
                <w:color w:val="FFFFFF"/>
                <w:sz w:val="20"/>
              </w:rPr>
              <w:t>Coût Annuel Estimatif</w:t>
            </w:r>
          </w:p>
        </w:tc>
      </w:tr>
      <w:tr>
        <w:tc>
          <w:tcPr>
            <w:tcW w:type="dxa" w:w="2340"/>
            <w:tcMar>
              <w:top w:w="120" w:type="dxa"/>
              <w:bottom w:w="120" w:type="dxa"/>
              <w:left w:w="160" w:type="dxa"/>
              <w:right w:w="160" w:type="dxa"/>
            </w:tcMar>
            <w:shd w:fill="F8FAFC"/>
          </w:tcPr>
          <w:p>
            <w:pPr>
              <w:spacing w:before="60" w:after="60"/>
            </w:pPr>
            <w:r>
              <w:rPr>
                <w:sz w:val="19"/>
              </w:rPr>
              <w:t>Hébergement Application Web &amp; API</w:t>
            </w:r>
          </w:p>
        </w:tc>
        <w:tc>
          <w:tcPr>
            <w:tcW w:type="dxa" w:w="2340"/>
            <w:tcMar>
              <w:top w:w="120" w:type="dxa"/>
              <w:bottom w:w="120" w:type="dxa"/>
              <w:left w:w="160" w:type="dxa"/>
              <w:right w:w="160" w:type="dxa"/>
            </w:tcMar>
            <w:shd w:fill="F8FAFC"/>
          </w:tcPr>
          <w:p>
            <w:pPr>
              <w:spacing w:before="60" w:after="60"/>
            </w:pPr>
            <w:r>
              <w:rPr>
                <w:sz w:val="19"/>
              </w:rPr>
              <w:t>Vercel Pro PaaS (Haute Disponibilité)</w:t>
            </w:r>
          </w:p>
        </w:tc>
        <w:tc>
          <w:tcPr>
            <w:tcW w:type="dxa" w:w="2340"/>
            <w:tcMar>
              <w:top w:w="120" w:type="dxa"/>
              <w:bottom w:w="120" w:type="dxa"/>
              <w:left w:w="160" w:type="dxa"/>
              <w:right w:w="160" w:type="dxa"/>
            </w:tcMar>
            <w:shd w:fill="F8FAFC"/>
          </w:tcPr>
          <w:p>
            <w:pPr>
              <w:spacing w:before="60" w:after="60"/>
            </w:pPr>
            <w:r>
              <w:rPr>
                <w:sz w:val="19"/>
              </w:rPr>
              <w:t>20 $ (~12 000 FCFA)</w:t>
            </w:r>
          </w:p>
        </w:tc>
        <w:tc>
          <w:tcPr>
            <w:tcW w:type="dxa" w:w="2340"/>
            <w:tcMar>
              <w:top w:w="120" w:type="dxa"/>
              <w:bottom w:w="120" w:type="dxa"/>
              <w:left w:w="160" w:type="dxa"/>
              <w:right w:w="160" w:type="dxa"/>
            </w:tcMar>
            <w:shd w:fill="F8FAFC"/>
          </w:tcPr>
          <w:p>
            <w:pPr>
              <w:spacing w:before="60" w:after="60"/>
            </w:pPr>
            <w:r>
              <w:rPr>
                <w:sz w:val="19"/>
              </w:rPr>
              <w:t>144 000 FCFA</w:t>
            </w:r>
          </w:p>
        </w:tc>
      </w:tr>
      <w:tr>
        <w:tc>
          <w:tcPr>
            <w:tcW w:type="dxa" w:w="2340"/>
            <w:tcMar>
              <w:top w:w="120" w:type="dxa"/>
              <w:bottom w:w="120" w:type="dxa"/>
              <w:left w:w="160" w:type="dxa"/>
              <w:right w:w="160" w:type="dxa"/>
            </w:tcMar>
            <w:shd w:fill="FFFFFF"/>
          </w:tcPr>
          <w:p>
            <w:pPr>
              <w:spacing w:before="60" w:after="60"/>
            </w:pPr>
            <w:r>
              <w:rPr>
                <w:sz w:val="19"/>
              </w:rPr>
              <w:t>Base de Données Managée Cloud</w:t>
            </w:r>
          </w:p>
        </w:tc>
        <w:tc>
          <w:tcPr>
            <w:tcW w:type="dxa" w:w="2340"/>
            <w:tcMar>
              <w:top w:w="120" w:type="dxa"/>
              <w:bottom w:w="120" w:type="dxa"/>
              <w:left w:w="160" w:type="dxa"/>
              <w:right w:w="160" w:type="dxa"/>
            </w:tcMar>
            <w:shd w:fill="FFFFFF"/>
          </w:tcPr>
          <w:p>
            <w:pPr>
              <w:spacing w:before="60" w:after="60"/>
            </w:pPr>
            <w:r>
              <w:rPr>
                <w:sz w:val="19"/>
              </w:rPr>
              <w:t>Neon Serverless PostgreSQL (Tier Business)</w:t>
            </w:r>
          </w:p>
        </w:tc>
        <w:tc>
          <w:tcPr>
            <w:tcW w:type="dxa" w:w="2340"/>
            <w:tcMar>
              <w:top w:w="120" w:type="dxa"/>
              <w:bottom w:w="120" w:type="dxa"/>
              <w:left w:w="160" w:type="dxa"/>
              <w:right w:w="160" w:type="dxa"/>
            </w:tcMar>
            <w:shd w:fill="FFFFFF"/>
          </w:tcPr>
          <w:p>
            <w:pPr>
              <w:spacing w:before="60" w:after="60"/>
            </w:pPr>
            <w:r>
              <w:rPr>
                <w:sz w:val="19"/>
              </w:rPr>
              <w:t>19 $ (~11 500 FCFA)</w:t>
            </w:r>
          </w:p>
        </w:tc>
        <w:tc>
          <w:tcPr>
            <w:tcW w:type="dxa" w:w="2340"/>
            <w:tcMar>
              <w:top w:w="120" w:type="dxa"/>
              <w:bottom w:w="120" w:type="dxa"/>
              <w:left w:w="160" w:type="dxa"/>
              <w:right w:w="160" w:type="dxa"/>
            </w:tcMar>
            <w:shd w:fill="FFFFFF"/>
          </w:tcPr>
          <w:p>
            <w:pPr>
              <w:spacing w:before="60" w:after="60"/>
            </w:pPr>
            <w:r>
              <w:rPr>
                <w:sz w:val="19"/>
              </w:rPr>
              <w:t>138 000 FCFA</w:t>
            </w:r>
          </w:p>
        </w:tc>
      </w:tr>
      <w:tr>
        <w:tc>
          <w:tcPr>
            <w:tcW w:type="dxa" w:w="2340"/>
            <w:tcMar>
              <w:top w:w="120" w:type="dxa"/>
              <w:bottom w:w="120" w:type="dxa"/>
              <w:left w:w="160" w:type="dxa"/>
              <w:right w:w="160" w:type="dxa"/>
            </w:tcMar>
            <w:shd w:fill="F8FAFC"/>
          </w:tcPr>
          <w:p>
            <w:pPr>
              <w:spacing w:before="60" w:after="60"/>
            </w:pPr>
            <w:r>
              <w:rPr>
                <w:sz w:val="19"/>
              </w:rPr>
              <w:t>Nom de Domaine National (.sn)</w:t>
            </w:r>
          </w:p>
        </w:tc>
        <w:tc>
          <w:tcPr>
            <w:tcW w:type="dxa" w:w="2340"/>
            <w:tcMar>
              <w:top w:w="120" w:type="dxa"/>
              <w:bottom w:w="120" w:type="dxa"/>
              <w:left w:w="160" w:type="dxa"/>
              <w:right w:w="160" w:type="dxa"/>
            </w:tcMar>
            <w:shd w:fill="F8FAFC"/>
          </w:tcPr>
          <w:p>
            <w:pPr>
              <w:spacing w:before="60" w:after="60"/>
            </w:pPr>
            <w:r>
              <w:rPr>
                <w:sz w:val="19"/>
              </w:rPr>
              <w:t>NIC Sénégal / Registrar agréé</w:t>
            </w:r>
          </w:p>
        </w:tc>
        <w:tc>
          <w:tcPr>
            <w:tcW w:type="dxa" w:w="2340"/>
            <w:tcMar>
              <w:top w:w="120" w:type="dxa"/>
              <w:bottom w:w="120" w:type="dxa"/>
              <w:left w:w="160" w:type="dxa"/>
              <w:right w:w="160" w:type="dxa"/>
            </w:tcMar>
            <w:shd w:fill="F8FAFC"/>
          </w:tcPr>
          <w:p>
            <w:pPr>
              <w:spacing w:before="60" w:after="60"/>
            </w:pPr>
            <w:r>
              <w:rPr>
                <w:sz w:val="19"/>
              </w:rPr>
              <w:t>—</w:t>
            </w:r>
          </w:p>
        </w:tc>
        <w:tc>
          <w:tcPr>
            <w:tcW w:type="dxa" w:w="2340"/>
            <w:tcMar>
              <w:top w:w="120" w:type="dxa"/>
              <w:bottom w:w="120" w:type="dxa"/>
              <w:left w:w="160" w:type="dxa"/>
              <w:right w:w="160" w:type="dxa"/>
            </w:tcMar>
            <w:shd w:fill="F8FAFC"/>
          </w:tcPr>
          <w:p>
            <w:pPr>
              <w:spacing w:before="60" w:after="60"/>
            </w:pPr>
            <w:r>
              <w:rPr>
                <w:sz w:val="19"/>
              </w:rPr>
              <w:t>25 000 FCFA</w:t>
            </w:r>
          </w:p>
        </w:tc>
      </w:tr>
      <w:tr>
        <w:tc>
          <w:tcPr>
            <w:tcW w:type="dxa" w:w="2340"/>
            <w:tcMar>
              <w:top w:w="120" w:type="dxa"/>
              <w:bottom w:w="120" w:type="dxa"/>
              <w:left w:w="160" w:type="dxa"/>
              <w:right w:w="160" w:type="dxa"/>
            </w:tcMar>
            <w:shd w:fill="FFFFFF"/>
          </w:tcPr>
          <w:p>
            <w:pPr>
              <w:spacing w:before="60" w:after="60"/>
            </w:pPr>
            <w:r>
              <w:rPr>
                <w:sz w:val="19"/>
              </w:rPr>
              <w:t>Certificat SSL / TLS &amp; Pare-feu WAF</w:t>
            </w:r>
          </w:p>
        </w:tc>
        <w:tc>
          <w:tcPr>
            <w:tcW w:type="dxa" w:w="2340"/>
            <w:tcMar>
              <w:top w:w="120" w:type="dxa"/>
              <w:bottom w:w="120" w:type="dxa"/>
              <w:left w:w="160" w:type="dxa"/>
              <w:right w:w="160" w:type="dxa"/>
            </w:tcMar>
            <w:shd w:fill="FFFFFF"/>
          </w:tcPr>
          <w:p>
            <w:pPr>
              <w:spacing w:before="60" w:after="60"/>
            </w:pPr>
            <w:r>
              <w:rPr>
                <w:sz w:val="19"/>
              </w:rPr>
              <w:t>Cloudflare / Let's Encrypt (Inclus)</w:t>
            </w:r>
          </w:p>
        </w:tc>
        <w:tc>
          <w:tcPr>
            <w:tcW w:type="dxa" w:w="2340"/>
            <w:tcMar>
              <w:top w:w="120" w:type="dxa"/>
              <w:bottom w:w="120" w:type="dxa"/>
              <w:left w:w="160" w:type="dxa"/>
              <w:right w:w="160" w:type="dxa"/>
            </w:tcMar>
            <w:shd w:fill="FFFFFF"/>
          </w:tcPr>
          <w:p>
            <w:pPr>
              <w:spacing w:before="60" w:after="60"/>
            </w:pPr>
            <w:r>
              <w:rPr>
                <w:sz w:val="19"/>
              </w:rPr>
              <w:t>Gratuit</w:t>
            </w:r>
          </w:p>
        </w:tc>
        <w:tc>
          <w:tcPr>
            <w:tcW w:type="dxa" w:w="2340"/>
            <w:tcMar>
              <w:top w:w="120" w:type="dxa"/>
              <w:bottom w:w="120" w:type="dxa"/>
              <w:left w:w="160" w:type="dxa"/>
              <w:right w:w="160" w:type="dxa"/>
            </w:tcMar>
            <w:shd w:fill="FFFFFF"/>
          </w:tcPr>
          <w:p>
            <w:pPr>
              <w:spacing w:before="60" w:after="60"/>
            </w:pPr>
            <w:r>
              <w:rPr>
                <w:sz w:val="19"/>
              </w:rPr>
              <w:t>0 FCFA</w:t>
            </w:r>
          </w:p>
        </w:tc>
      </w:tr>
      <w:tr>
        <w:tc>
          <w:tcPr>
            <w:tcW w:type="dxa" w:w="2340"/>
            <w:tcMar>
              <w:top w:w="120" w:type="dxa"/>
              <w:bottom w:w="120" w:type="dxa"/>
              <w:left w:w="160" w:type="dxa"/>
              <w:right w:w="160" w:type="dxa"/>
            </w:tcMar>
            <w:shd w:fill="F8FAFC"/>
          </w:tcPr>
          <w:p>
            <w:pPr>
              <w:spacing w:before="60" w:after="60"/>
            </w:pPr>
            <w:r>
              <w:rPr>
                <w:sz w:val="19"/>
              </w:rPr>
              <w:t>Passerelle Notifications WhatsApp</w:t>
            </w:r>
          </w:p>
        </w:tc>
        <w:tc>
          <w:tcPr>
            <w:tcW w:type="dxa" w:w="2340"/>
            <w:tcMar>
              <w:top w:w="120" w:type="dxa"/>
              <w:bottom w:w="120" w:type="dxa"/>
              <w:left w:w="160" w:type="dxa"/>
              <w:right w:w="160" w:type="dxa"/>
            </w:tcMar>
            <w:shd w:fill="F8FAFC"/>
          </w:tcPr>
          <w:p>
            <w:pPr>
              <w:spacing w:before="60" w:after="60"/>
            </w:pPr>
            <w:r>
              <w:rPr>
                <w:sz w:val="19"/>
              </w:rPr>
              <w:t>Meta Cloud API (1 000 conv. gratuites/mois)</w:t>
            </w:r>
          </w:p>
        </w:tc>
        <w:tc>
          <w:tcPr>
            <w:tcW w:type="dxa" w:w="2340"/>
            <w:tcMar>
              <w:top w:w="120" w:type="dxa"/>
              <w:bottom w:w="120" w:type="dxa"/>
              <w:left w:w="160" w:type="dxa"/>
              <w:right w:w="160" w:type="dxa"/>
            </w:tcMar>
            <w:shd w:fill="F8FAFC"/>
          </w:tcPr>
          <w:p>
            <w:pPr>
              <w:spacing w:before="60" w:after="60"/>
            </w:pPr>
            <w:r>
              <w:rPr>
                <w:sz w:val="19"/>
              </w:rPr>
              <w:t>~15 $ (~9 000 FCFA)</w:t>
            </w:r>
          </w:p>
        </w:tc>
        <w:tc>
          <w:tcPr>
            <w:tcW w:type="dxa" w:w="2340"/>
            <w:tcMar>
              <w:top w:w="120" w:type="dxa"/>
              <w:bottom w:w="120" w:type="dxa"/>
              <w:left w:w="160" w:type="dxa"/>
              <w:right w:w="160" w:type="dxa"/>
            </w:tcMar>
            <w:shd w:fill="F8FAFC"/>
          </w:tcPr>
          <w:p>
            <w:pPr>
              <w:spacing w:before="60" w:after="60"/>
            </w:pPr>
            <w:r>
              <w:rPr>
                <w:sz w:val="19"/>
              </w:rPr>
              <w:t>108 000 FCFA</w:t>
            </w:r>
          </w:p>
        </w:tc>
      </w:tr>
      <w:tr>
        <w:tc>
          <w:tcPr>
            <w:tcW w:type="dxa" w:w="2340"/>
            <w:tcMar>
              <w:top w:w="120" w:type="dxa"/>
              <w:bottom w:w="120" w:type="dxa"/>
              <w:left w:w="160" w:type="dxa"/>
              <w:right w:w="160" w:type="dxa"/>
            </w:tcMar>
            <w:shd w:fill="FFFFFF"/>
          </w:tcPr>
          <w:p>
            <w:pPr>
              <w:spacing w:before="60" w:after="60"/>
            </w:pPr>
            <w:r>
              <w:rPr>
                <w:sz w:val="19"/>
              </w:rPr>
              <w:t>Provision Maintenance &amp; Support IT</w:t>
            </w:r>
          </w:p>
        </w:tc>
        <w:tc>
          <w:tcPr>
            <w:tcW w:type="dxa" w:w="2340"/>
            <w:tcMar>
              <w:top w:w="120" w:type="dxa"/>
              <w:bottom w:w="120" w:type="dxa"/>
              <w:left w:w="160" w:type="dxa"/>
              <w:right w:w="160" w:type="dxa"/>
            </w:tcMar>
            <w:shd w:fill="FFFFFF"/>
          </w:tcPr>
          <w:p>
            <w:pPr>
              <w:spacing w:before="60" w:after="60"/>
            </w:pPr>
            <w:r>
              <w:rPr>
                <w:sz w:val="19"/>
              </w:rPr>
              <w:t>Équipe technique locale d'ingénierie</w:t>
            </w:r>
          </w:p>
        </w:tc>
        <w:tc>
          <w:tcPr>
            <w:tcW w:type="dxa" w:w="2340"/>
            <w:tcMar>
              <w:top w:w="120" w:type="dxa"/>
              <w:bottom w:w="120" w:type="dxa"/>
              <w:left w:w="160" w:type="dxa"/>
              <w:right w:w="160" w:type="dxa"/>
            </w:tcMar>
            <w:shd w:fill="FFFFFF"/>
          </w:tcPr>
          <w:p>
            <w:pPr>
              <w:spacing w:before="60" w:after="60"/>
            </w:pPr>
            <w:r>
              <w:rPr>
                <w:sz w:val="19"/>
              </w:rPr>
              <w:t>~50 000 FCFA</w:t>
            </w:r>
          </w:p>
        </w:tc>
        <w:tc>
          <w:tcPr>
            <w:tcW w:type="dxa" w:w="2340"/>
            <w:tcMar>
              <w:top w:w="120" w:type="dxa"/>
              <w:bottom w:w="120" w:type="dxa"/>
              <w:left w:w="160" w:type="dxa"/>
              <w:right w:w="160" w:type="dxa"/>
            </w:tcMar>
            <w:shd w:fill="FFFFFF"/>
          </w:tcPr>
          <w:p>
            <w:pPr>
              <w:spacing w:before="60" w:after="60"/>
            </w:pPr>
            <w:r>
              <w:rPr>
                <w:sz w:val="19"/>
              </w:rPr>
              <w:t>600 000 FCFA</w:t>
            </w:r>
          </w:p>
        </w:tc>
      </w:tr>
      <w:tr>
        <w:tc>
          <w:tcPr>
            <w:tcW w:type="dxa" w:w="2340"/>
            <w:tcMar>
              <w:top w:w="120" w:type="dxa"/>
              <w:bottom w:w="120" w:type="dxa"/>
              <w:left w:w="160" w:type="dxa"/>
              <w:right w:w="160" w:type="dxa"/>
            </w:tcMar>
            <w:shd w:fill="F8FAFC"/>
          </w:tcPr>
          <w:p>
            <w:pPr>
              <w:spacing w:before="60" w:after="60"/>
            </w:pPr>
            <w:r>
              <w:rPr>
                <w:sz w:val="19"/>
              </w:rPr>
              <w:t>TOTAL ANNUEL D'EXPLOITATION</w:t>
            </w:r>
          </w:p>
        </w:tc>
        <w:tc>
          <w:tcPr>
            <w:tcW w:type="dxa" w:w="2340"/>
            <w:tcMar>
              <w:top w:w="120" w:type="dxa"/>
              <w:bottom w:w="120" w:type="dxa"/>
              <w:left w:w="160" w:type="dxa"/>
              <w:right w:w="160" w:type="dxa"/>
            </w:tcMar>
            <w:shd w:fill="F8FAFC"/>
          </w:tcPr>
          <w:p>
            <w:pPr>
              <w:spacing w:before="60" w:after="60"/>
            </w:pPr>
            <w:r>
              <w:rPr>
                <w:sz w:val="19"/>
              </w:rPr>
            </w:r>
          </w:p>
        </w:tc>
        <w:tc>
          <w:tcPr>
            <w:tcW w:type="dxa" w:w="2340"/>
            <w:tcMar>
              <w:top w:w="120" w:type="dxa"/>
              <w:bottom w:w="120" w:type="dxa"/>
              <w:left w:w="160" w:type="dxa"/>
              <w:right w:w="160" w:type="dxa"/>
            </w:tcMar>
            <w:shd w:fill="F8FAFC"/>
          </w:tcPr>
          <w:p>
            <w:pPr>
              <w:spacing w:before="60" w:after="60"/>
            </w:pPr>
            <w:r>
              <w:rPr>
                <w:sz w:val="19"/>
              </w:rPr>
            </w:r>
          </w:p>
        </w:tc>
        <w:tc>
          <w:tcPr>
            <w:tcW w:type="dxa" w:w="2340"/>
            <w:tcMar>
              <w:top w:w="120" w:type="dxa"/>
              <w:bottom w:w="120" w:type="dxa"/>
              <w:left w:w="160" w:type="dxa"/>
              <w:right w:w="160" w:type="dxa"/>
            </w:tcMar>
            <w:shd w:fill="F8FAFC"/>
          </w:tcPr>
          <w:p>
            <w:pPr>
              <w:spacing w:before="60" w:after="60"/>
            </w:pPr>
            <w:r>
              <w:rPr>
                <w:sz w:val="19"/>
              </w:rPr>
              <w:t>1 015 000 FCFA / an</w:t>
            </w:r>
          </w:p>
        </w:tc>
      </w:tr>
    </w:tbl>
    <w:p>
      <w:pPr>
        <w:keepNext/>
        <w:spacing w:before="200" w:after="80"/>
      </w:pPr>
      <w:r>
        <w:rPr>
          <w:rFonts w:ascii="Calibri" w:hAnsi="Calibri"/>
          <w:b/>
          <w:color w:val="111827"/>
          <w:sz w:val="25"/>
        </w:rPr>
        <w:t>4.4.2. Retour sur investissement (ROI) pour une IPM moyenne</w:t>
      </w:r>
    </w:p>
    <w:p>
      <w:r>
        <w:t xml:space="preserve">Une IPM sénégalaise gérant environ </w:t>
      </w:r>
      <w:r>
        <w:rPr>
          <w:b/>
        </w:rPr>
        <w:t>5 000 assurés</w:t>
      </w:r>
      <w:r>
        <w:t xml:space="preserve"> dépense actuellement en moyenne :</w:t>
      </w:r>
    </w:p>
    <w:p>
      <w:pPr>
        <w:pStyle w:val="ListBullet"/>
        <w:spacing w:before="20" w:after="40"/>
      </w:pPr>
      <w:r>
        <w:t>Impression de carnets d'assurés et cartes plastifiées : ~2 500 000 FCFA / an ;</w:t>
      </w:r>
    </w:p>
    <w:p>
      <w:pPr>
        <w:pStyle w:val="ListBullet"/>
        <w:spacing w:before="20" w:after="40"/>
      </w:pPr>
      <w:r>
        <w:t>Impression de liasses de bons autocopiants et formulaires : ~1 800 000 FCFA / an ;</w:t>
      </w:r>
    </w:p>
    <w:p>
      <w:pPr>
        <w:pStyle w:val="ListBullet"/>
        <w:spacing w:before="20" w:after="40"/>
      </w:pPr>
      <w:r>
        <w:t>Pertes financières estimées dues aux fraudes et doubles délivrances : ~8 000 000 FCFA / an.</w:t>
      </w:r>
    </w:p>
    <w:p>
      <w:r>
        <w:t xml:space="preserve">*Total des coûts de l'ancien modèle papier :* </w:t>
      </w:r>
      <w:r>
        <w:rPr>
          <w:b/>
        </w:rPr>
        <w:t>~12 300 000 FCFA par an</w:t>
      </w:r>
      <w:r>
        <w:t>.</w:t>
      </w:r>
    </w:p>
    <w:p>
      <w:r>
        <w:t xml:space="preserve">Avec SantéSN, pour un coût d'exploitation d'environ </w:t>
      </w:r>
      <w:r>
        <w:rPr>
          <w:b/>
        </w:rPr>
        <w:t>1 015 000 FCFA par an</w:t>
      </w:r>
      <w:r>
        <w:t xml:space="preserve">, l'organisme réalise une </w:t>
      </w:r>
      <w:r>
        <w:rPr>
          <w:b/>
        </w:rPr>
        <w:t>économie nette annuelle supérieure à 11 millions de FCFA</w:t>
      </w:r>
      <w:r>
        <w:t>, soit un retour sur investissement amorti en moins de deux mois d'exploitation.</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4.5. Difficultés rencontrées et solutions apportées</w:t>
      </w:r>
    </w:p>
    <w:p>
      <w:r>
        <w:t>Tout au long du développement, plusieurs défis techniques complexes ont été surmontés avec succès :</w:t>
      </w:r>
    </w:p>
    <w:p>
      <w:pPr>
        <w:keepNext/>
        <w:spacing w:before="200" w:after="80"/>
      </w:pPr>
      <w:r>
        <w:rPr>
          <w:rFonts w:ascii="Calibri" w:hAnsi="Calibri"/>
          <w:b/>
          <w:color w:val="111827"/>
          <w:sz w:val="25"/>
        </w:rPr>
        <w:t>1. La gestion de la double délivrance en temps réel (Concurrence d'accès)</w:t>
      </w:r>
    </w:p>
    <w:p>
      <w:pPr>
        <w:pStyle w:val="ListBullet"/>
        <w:spacing w:before="20" w:after="40"/>
      </w:pPr>
      <w:r/>
      <w:r>
        <w:rPr>
          <w:b/>
        </w:rPr>
        <w:t>Problème :</w:t>
      </w:r>
      <w:r>
        <w:t xml:space="preserve"> Si deux pharmacies scannent la même ordonnance à deux secondes d'intervalle, une lecture simultanée du statut en base de données pouvait autoriser la délivrance dans les deux officines avant que le statut ne bascule à `Délivrée`.</w:t>
      </w:r>
    </w:p>
    <w:p>
      <w:pPr>
        <w:pStyle w:val="ListBullet"/>
        <w:spacing w:before="20" w:after="40"/>
      </w:pPr>
      <w:r/>
      <w:r>
        <w:rPr>
          <w:b/>
        </w:rPr>
        <w:t>Solution apportée :</w:t>
      </w:r>
      <w:r>
        <w:t xml:space="preserve"> Utilisation d'un verrouillage pessimiste au niveau du moteur PostgreSQL via l'instruction Django ORM `select_for_update()`, encapsulée dans un bloc transactionnel atomique `transaction.atomic()`. La première transaction acquiert un verrou exclusif sur la ligne de l'ordonnance, forçant la seconde requête à attendre et à constater immédiatement le statut délivré.</w:t>
      </w:r>
    </w:p>
    <w:p>
      <w:pPr>
        <w:keepNext/>
        <w:spacing w:before="200" w:after="80"/>
      </w:pPr>
      <w:r>
        <w:rPr>
          <w:rFonts w:ascii="Calibri" w:hAnsi="Calibri"/>
          <w:b/>
          <w:color w:val="111827"/>
          <w:sz w:val="25"/>
        </w:rPr>
        <w:t>2. La recherche tolérante aux accents, aux apostrophes et multi-champs</w:t>
      </w:r>
    </w:p>
    <w:p>
      <w:pPr>
        <w:pStyle w:val="ListBullet"/>
        <w:spacing w:before="20" w:after="40"/>
      </w:pPr>
      <w:r/>
      <w:r>
        <w:rPr>
          <w:b/>
        </w:rPr>
        <w:t>Problème :</w:t>
      </w:r>
      <w:r>
        <w:t xml:space="preserve"> Dans le répertoire national des prestataires de santé au Sénégal, un utilisateur tapait par exemple `"CLINIQUE DE L'OCEAN DAKAR"`. La recherche SQL standard échouait car `"Clinique de l'Océan"` est stocké dans le nom et `"Dakar"` dans la ville, et PostgreSQL `ILIKE` ne traite pas le caractère `E` comme équivalent à `É`.</w:t>
      </w:r>
    </w:p>
    <w:p>
      <w:pPr>
        <w:pStyle w:val="ListBullet"/>
        <w:spacing w:before="20" w:after="40"/>
      </w:pPr>
      <w:r/>
      <w:r>
        <w:rPr>
          <w:b/>
        </w:rPr>
        <w:t>Solution apportée :</w:t>
      </w:r>
      <w:r>
        <w:t xml:space="preserve"> Conception d'un algorithme de normalisation textuelle utilisant la décomposition Unicode NFD (`unicodedata.normalize`) pour retirer les marques diacritiques (accents), unifier les apostrophes courbes/droites (`l'océan` = `locean` = `ocean`), et découper la requête en mots-clés indépendants analysés à travers un corpus unifié (nom + ville + adresse + téléphone).</w:t>
      </w:r>
    </w:p>
    <w:p>
      <w:pPr>
        <w:keepNext/>
        <w:spacing w:before="200" w:after="80"/>
      </w:pPr>
      <w:r>
        <w:rPr>
          <w:rFonts w:ascii="Calibri" w:hAnsi="Calibri"/>
          <w:b/>
          <w:color w:val="111827"/>
          <w:sz w:val="25"/>
        </w:rPr>
        <w:t>3. La lisibilité du sélecteur de calques cartographiques en mode sombre</w:t>
      </w:r>
    </w:p>
    <w:p>
      <w:pPr>
        <w:pStyle w:val="ListBullet"/>
        <w:spacing w:before="20" w:after="40"/>
      </w:pPr>
      <w:r/>
      <w:r>
        <w:rPr>
          <w:b/>
        </w:rPr>
        <w:t>Problème :</w:t>
      </w:r>
      <w:r>
        <w:t xml:space="preserve"> Par défaut, la boîte de sélection des calques de la carte Leaflet injecte un fond blanc codé en dur (`#fff`). Lors du passage en mode sombre (`data-theme="sombre"`), les libellés de texte devenaient blancs cassés, produisant un affichage blanc sur blanc illisible.</w:t>
      </w:r>
    </w:p>
    <w:p>
      <w:pPr>
        <w:pStyle w:val="ListBullet"/>
        <w:spacing w:before="20" w:after="40"/>
      </w:pPr>
      <w:r/>
      <w:r>
        <w:rPr>
          <w:b/>
        </w:rPr>
        <w:t>Solution apportée :</w:t>
      </w:r>
      <w:r>
        <w:t xml:space="preserve"> Refonte des styles CSS avec priorité forcée (`!important`) liant le fond (`var(--surface)`), le texte (`var(--text)`), les boutons radio et l'icône de calque aux tokens de design dynamiques de SantéSN. Le sélecteur s'adapte désormais instantanément au thème actif avec un contraste optimal.</w:t>
      </w:r>
    </w:p>
    <w:p>
      <w:pPr>
        <w:keepNext/>
        <w:spacing w:before="200" w:after="80"/>
      </w:pPr>
      <w:r>
        <w:rPr>
          <w:rFonts w:ascii="Calibri" w:hAnsi="Calibri"/>
          <w:b/>
          <w:color w:val="111827"/>
          <w:sz w:val="25"/>
        </w:rPr>
        <w:t>4. L'accès à la caméra sur smartphone pour le scanner optique</w:t>
      </w:r>
    </w:p>
    <w:p>
      <w:pPr>
        <w:pStyle w:val="ListBullet"/>
        <w:spacing w:before="20" w:after="40"/>
      </w:pPr>
      <w:r/>
      <w:r>
        <w:rPr>
          <w:b/>
        </w:rPr>
        <w:t>Problème :</w:t>
      </w:r>
      <w:r>
        <w:t xml:space="preserve"> Les navigateurs mobiles modernes (Chrome Android, Safari iOS) bloquent strictement l'accès à la caméra via `navigator.mediaDevices.getUserMedia` dès lors que la page n'est pas servie sous un protocole sécurisé HTTPS.</w:t>
      </w:r>
    </w:p>
    <w:p>
      <w:pPr>
        <w:pStyle w:val="ListBullet"/>
        <w:spacing w:before="20" w:after="40"/>
      </w:pPr>
      <w:r/>
      <w:r>
        <w:rPr>
          <w:b/>
        </w:rPr>
        <w:t>Solution apportée :</w:t>
      </w:r>
      <w:r>
        <w:t xml:space="preserve"> Déploiement systématique de certificats SSL/TLS valides avec redirection HTTPS obligatoire et mise en place d'un mode de saisie manuelle de secours avec auto-complétion instantanée en cas de refus d'autorisation de la caméra par l'utilisateur.</w:t>
      </w:r>
    </w:p>
    <w:p>
      <w:r>
        <w:br w:type="page"/>
      </w:r>
    </w:p>
    <w:p>
      <w:pPr>
        <w:keepNext/>
        <w:spacing w:before="280" w:after="160"/>
      </w:pPr>
      <w:r>
        <w:rPr>
          <w:rFonts w:ascii="Calibri" w:hAnsi="Calibri"/>
          <w:b/>
          <w:color w:val="0E7C86"/>
          <w:sz w:val="38"/>
        </w:rPr>
        <w:t>CONCLUSION GÉNÉRALE ET PERSPECTIVES</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1. Rappel de la problématique et des objectifs</w:t>
      </w:r>
    </w:p>
    <w:p>
      <w:r>
        <w:t xml:space="preserve">Le présent projet de fin de formation s'est donné pour mission de résoudre un défi majeur du secteur de la santé au Sénégal : </w:t>
      </w:r>
      <w:r>
        <w:rPr>
          <w:b/>
        </w:rPr>
        <w:t>l'archaïsme, l'opacité et les pertes financières générés par la gestion traditionnelle sur papier du tiers payant médical</w:t>
      </w:r>
      <w:r>
        <w:t>.</w:t>
      </w:r>
    </w:p>
    <w:p>
      <w:r>
        <w:t xml:space="preserve">Face à la multiplication des fraudes documentaires (cartes d'assurés prêtées, ordonnances falsifiées, doubles délivrances en pharmacie) et aux délais d'attente prohibitifs qui asphyxient les trésoreries des officines et compliquent le parcours des patients, notre ambition était de concevoir, développer et déployer une plateforme numérique souveraine, sécurisée et accessible à tous : </w:t>
      </w:r>
      <w:r>
        <w:rPr>
          <w:b/>
        </w:rPr>
        <w:t>SantéSN</w:t>
      </w:r>
      <w:r>
        <w:t>.</w:t>
      </w:r>
    </w:p>
    <w:p>
      <w:r>
        <w:t>Les objectifs assignés au projet étaient clairs :</w:t>
      </w:r>
    </w:p>
    <w:p>
      <w:r>
        <w:t>1. Dématérialiser intégralement la carte d'assuré sous un format numérique ISO 7810 doté d'un QR code dynamique infalsifiable ;</w:t>
      </w:r>
    </w:p>
    <w:p>
      <w:r>
        <w:t>2. Sécuriser les prescriptions médicales par un tampon officiel et un sceau cryptographique d'intégrité HMAC-SHA256 ;</w:t>
      </w:r>
    </w:p>
    <w:p>
      <w:r>
        <w:t>3. Doter les officines pharmaceutiques d'un scanner optique par caméra avec verrouillage transactionnel atomique interdisant toute double délivrance ;</w:t>
      </w:r>
    </w:p>
    <w:p>
      <w:r>
        <w:t>4. Automatiser le calcul du tiers payant et le suivi en temps réel du plafond budgétaire annuel familial ;</w:t>
      </w:r>
    </w:p>
    <w:p>
      <w:r>
        <w:t>5. Garantir la conformité avec la loi sénégalaise n° 2008-12 sur la protection des données personnelles (CDP) et offrir une résilience hors-ligne via une Application Web Progressive (PWA).</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2. Bilan des résultats obtenus</w:t>
      </w:r>
    </w:p>
    <w:p>
      <w:r>
        <w:t>Au terme de ce travail d'ingénierie logicielle, les résultats dépassent largement les attentes initiales :</w:t>
      </w:r>
    </w:p>
    <w:p>
      <w:pPr>
        <w:pStyle w:val="ListBullet"/>
        <w:spacing w:before="20" w:after="40"/>
      </w:pPr>
      <w:r/>
      <w:r>
        <w:rPr>
          <w:b/>
        </w:rPr>
        <w:t>Une plateforme opérationnelle et éprouvée :</w:t>
      </w:r>
      <w:r>
        <w:t xml:space="preserve"> L'ensemble des cinq espaces utilisateurs (Assuré, Médecin, Pharmacien, Gestionnaire d'IPM, Administrateur IT) est totalement fonctionnel et déployé en environnement Cloud haute disponibilité sur [projet-final-bice.vercel.app](https://projet-final-bice.vercel.app), connecté à un cluster PostgreSQL Neon.</w:t>
      </w:r>
    </w:p>
    <w:p>
      <w:pPr>
        <w:pStyle w:val="ListBullet"/>
        <w:spacing w:before="20" w:after="40"/>
      </w:pPr>
      <w:r/>
      <w:r>
        <w:rPr>
          <w:b/>
        </w:rPr>
        <w:t>Une sécurité sans compromis validée par 196 tests :</w:t>
      </w:r>
      <w:r>
        <w:t xml:space="preserve"> Chaque composant métier a été soumis à des tests automatisés stricts (tests unitaires, tests de charge, tests de permissions transversales IDOR, intégrité transactionnelle ACID). Avec </w:t>
      </w:r>
      <w:r>
        <w:rPr>
          <w:b/>
        </w:rPr>
        <w:t>100 % de succès sur 196 tests exécutés</w:t>
      </w:r>
      <w:r>
        <w:t>, la robustesse du système face aux attaques courantes et aux erreurs humaines est formellement démontrée.</w:t>
      </w:r>
    </w:p>
    <w:p>
      <w:pPr>
        <w:pStyle w:val="ListBullet"/>
        <w:spacing w:before="20" w:after="40"/>
      </w:pPr>
      <w:r/>
      <w:r>
        <w:rPr>
          <w:b/>
        </w:rPr>
        <w:t>Une ergonomie adaptée aux réalités sénégalaises :</w:t>
      </w:r>
      <w:r>
        <w:t xml:space="preserve"> Grâce au Service Worker PWA, l'assuré peut faire valoir ses droits de santé même dans une zone sans réseau. Le sélecteur cartographique Leaflet (tuiles Google Maps et Esri) géolocalise avec précision les cliniques et pharmacies partenaires (comme la Clinique de l'Océan à Dakar), de jour comme de nuit grâce au double thème clair et sombre.</w:t>
      </w:r>
    </w:p>
    <w:p>
      <w:pPr>
        <w:pStyle w:val="ListBullet"/>
        <w:spacing w:before="20" w:after="40"/>
      </w:pPr>
      <w:r/>
      <w:r>
        <w:rPr>
          <w:b/>
        </w:rPr>
        <w:t>Un modèle économique vertueux :</w:t>
      </w:r>
      <w:r>
        <w:t xml:space="preserve"> L'évaluation financière démontre qu'une IPM moyenne économise plus de 11 millions de FCFA par an en supprimant les coûts d'impression de carnets et en colmatant les fuites financières liées à la fraude.</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3. Apports du projet pour le groupe</w:t>
      </w:r>
    </w:p>
    <w:p>
      <w:r>
        <w:t>Ce projet de fin d'études a constitué pour nous une expérience formatrice exceptionnelle, marquant une transition décisive entre notre statut d'étudiants et celui d'ingénieurs en développement logiciel :</w:t>
      </w:r>
    </w:p>
    <w:p>
      <w:pPr>
        <w:pStyle w:val="ListBullet"/>
        <w:spacing w:before="20" w:after="40"/>
      </w:pPr>
      <w:r/>
      <w:r>
        <w:rPr>
          <w:b/>
        </w:rPr>
        <w:t>Sur le plan technique :</w:t>
      </w:r>
      <w:r>
        <w:t xml:space="preserve"> Nous avons consolidé notre maîtrise du cadriciel Django, approfondi l'administration de bases de données relationnelles avancées (PostgreSQL, indexation, verrous pessimistes), maîtrisé la cryptographie appliquée (HMAC, SHA256) et acquis une expertise pointue dans le développement d'Applications Web Progressives (PWA) et l'intégration de systèmes d'information géographique (SIG).</w:t>
      </w:r>
    </w:p>
    <w:p>
      <w:pPr>
        <w:pStyle w:val="ListBullet"/>
        <w:spacing w:before="20" w:after="40"/>
      </w:pPr>
      <w:r/>
      <w:r>
        <w:rPr>
          <w:b/>
        </w:rPr>
        <w:t>Sur le plan méthodologique :</w:t>
      </w:r>
      <w:r>
        <w:t xml:space="preserve"> L'application concrète des méthodes agiles (Scrum), la gestion rigoureuse des versions avec Git/GitHub et la mise en œuvre de pipelines d'intégration continue (CI/CD) nous ont permis d'intégrer les standards industriels les plus exigeants.</w:t>
      </w:r>
    </w:p>
    <w:p>
      <w:pPr>
        <w:pStyle w:val="ListBullet"/>
        <w:spacing w:before="20" w:after="40"/>
      </w:pPr>
      <w:r/>
      <w:r>
        <w:rPr>
          <w:b/>
        </w:rPr>
        <w:t>Sur le plan éthique et humain :</w:t>
      </w:r>
      <w:r>
        <w:t xml:space="preserve"> Ce travail nous a sensibilisés à la criticité du secret médical et à la responsabilité juridique et morale qui incombe au développeur manipulant des données à caractère personnel dans le secteur de la santé.</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4. Perspectives d'amélioration et vision d'avenir</w:t>
      </w:r>
    </w:p>
    <w:p>
      <w:r>
        <w:t>Loin de constituer un aboutissement figé, le projet SantéSN ouvre la voie à des évolutions prometteuses :</w:t>
      </w:r>
    </w:p>
    <w:p>
      <w:r>
        <w:t xml:space="preserve">1. </w:t>
      </w:r>
      <w:r>
        <w:rPr>
          <w:b/>
        </w:rPr>
        <w:t>Interconnexion avec l'Agence Nationale de la Couverture Sanitaire Universelle (SEN-CSU) :</w:t>
      </w:r>
      <w:r/>
    </w:p>
    <w:p>
      <w:r>
        <w:t>Adapter l'architecture multi-tenant de SantéSN pour permettre aux mutuelles communautaires de santé du Sénégal de s'interconnecter à la plateforme, contribuant ainsi directement à l'objectif présidentiel de Couverture Sanitaire Universelle.</w:t>
      </w:r>
    </w:p>
    <w:p>
      <w:r>
        <w:t xml:space="preserve">2. </w:t>
      </w:r>
      <w:r>
        <w:rPr>
          <w:b/>
        </w:rPr>
        <w:t>Paiement intégré de la quote-part par Mobile Money (Wave &amp; Orange Money) :</w:t>
      </w:r>
      <w:r/>
    </w:p>
    <w:p>
      <w:r>
        <w:t>Intégrer les API officielles de Wave et Orange Money au comptoir de la pharmacie pour permettre au patient de régler sa quote-part en 1 clic par prélèvement QR code sans manipulation d'espèces.</w:t>
      </w:r>
    </w:p>
    <w:p>
      <w:r>
        <w:t xml:space="preserve">3. </w:t>
      </w:r>
      <w:r>
        <w:rPr>
          <w:b/>
        </w:rPr>
        <w:t>Intelligence Artificielle et détection prédictive des fraudes :</w:t>
      </w:r>
      <w:r/>
    </w:p>
    <w:p>
      <w:r>
        <w:t>Déployer un module de Machine Learning analysant les séries temporelles de prescriptions médicales pour repérer automatiquement les comportements atypiques (surprescription de stupéfiants ou d'antibiotiques, pics suspects de facturation d'un prestataire).</w:t>
      </w:r>
    </w:p>
    <w:p>
      <w:r>
        <w:t xml:space="preserve">4. </w:t>
      </w:r>
      <w:r>
        <w:rPr>
          <w:b/>
        </w:rPr>
        <w:t>Intégration d'un carnet vaccinal électronique et de la télémédecine :</w:t>
      </w:r>
      <w:r/>
    </w:p>
    <w:p>
      <w:r>
        <w:t>Enrichir le dossier patient d'un suivi numérique des vaccinations pour les nourrissons sénégalais et d'un module de téléconsultation pour désenclaver les déserts médicaux de l'intérieur du pays.</w:t>
      </w:r>
    </w:p>
    <w:p>
      <w:r>
        <w:t xml:space="preserve">En définitive, </w:t>
      </w:r>
      <w:r>
        <w:rPr>
          <w:b/>
        </w:rPr>
        <w:t>SantéSN</w:t>
      </w:r>
      <w:r>
        <w:t xml:space="preserve"> prouve avec éclat que la jeunesse sénégalaise formée dans des institutions d'excellence comme l'ISEP de Diamniadio possède le talent, la rigueur et l'audace nécessaires pour concevoir des solutions technologiques souveraines qui améliorent concrètement la vie de millions de citoyens.</w:t>
      </w:r>
    </w:p>
    <w:p>
      <w:r>
        <w:br w:type="page"/>
      </w:r>
    </w:p>
    <w:p>
      <w:pPr>
        <w:keepNext/>
        <w:spacing w:before="280" w:after="160"/>
      </w:pPr>
      <w:r>
        <w:rPr>
          <w:rFonts w:ascii="Calibri" w:hAnsi="Calibri"/>
          <w:b/>
          <w:color w:val="0E7C86"/>
          <w:sz w:val="38"/>
        </w:rPr>
        <w:t>PAGES DE FIN ET ANNEXES</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1. Bibliographie et Webographie (Norme APA)</w:t>
      </w:r>
    </w:p>
    <w:p>
      <w:pPr>
        <w:keepNext/>
        <w:spacing w:before="200" w:after="80"/>
      </w:pPr>
      <w:r>
        <w:rPr>
          <w:rFonts w:ascii="Calibri" w:hAnsi="Calibri"/>
          <w:b/>
          <w:color w:val="111827"/>
          <w:sz w:val="25"/>
        </w:rPr>
        <w:t>Ouvrages et Publications Académiques</w:t>
      </w:r>
    </w:p>
    <w:p>
      <w:r>
        <w:t xml:space="preserve">1. </w:t>
      </w:r>
      <w:r>
        <w:rPr>
          <w:b/>
        </w:rPr>
        <w:t>Pressman, R. S., &amp; Maxim, B. R. (2020).</w:t>
      </w:r>
      <w:r>
        <w:t xml:space="preserve"> *Software Engineering: A Practitioner's Approach* (9th ed.). McGraw-Hill Education.</w:t>
      </w:r>
    </w:p>
    <w:p>
      <w:r>
        <w:t xml:space="preserve">2. </w:t>
      </w:r>
      <w:r>
        <w:rPr>
          <w:b/>
        </w:rPr>
        <w:t>Fowler, M. (2018).</w:t>
      </w:r>
      <w:r>
        <w:t xml:space="preserve"> *Refactoring: Improving the Design of Existing Code* (2nd ed.). Addison-Wesley Professional.</w:t>
      </w:r>
    </w:p>
    <w:p>
      <w:r>
        <w:t xml:space="preserve">3. </w:t>
      </w:r>
      <w:r>
        <w:rPr>
          <w:b/>
        </w:rPr>
        <w:t>Sommerville, I. (2016).</w:t>
      </w:r>
      <w:r>
        <w:t xml:space="preserve"> *Software Engineering* (10th ed.). Pearson.</w:t>
      </w:r>
    </w:p>
    <w:p>
      <w:r>
        <w:t xml:space="preserve">4. </w:t>
      </w:r>
      <w:r>
        <w:rPr>
          <w:b/>
        </w:rPr>
        <w:t>Roebuck, K. (2012).</w:t>
      </w:r>
      <w:r>
        <w:t xml:space="preserve"> *Progressive Web Applications: High-impact Strategies - What You Need to Know: Definitions, Adoptions, Impact, Benefits, Maturity, Vendors*. Emereo Publishing.</w:t>
      </w:r>
    </w:p>
    <w:p>
      <w:r>
        <w:t xml:space="preserve">5. </w:t>
      </w:r>
      <w:r>
        <w:rPr>
          <w:b/>
        </w:rPr>
        <w:t>Ministère de la Santé et de l'Action Sociale du Sénégal (MSAS). (2021).</w:t>
      </w:r>
      <w:r>
        <w:t xml:space="preserve"> *Plan Stratégique National de Santé Digitale 2022-2026*. Dakar, Sénégal.</w:t>
      </w:r>
    </w:p>
    <w:p>
      <w:pPr>
        <w:keepNext/>
        <w:spacing w:before="200" w:after="80"/>
      </w:pPr>
      <w:r>
        <w:rPr>
          <w:rFonts w:ascii="Calibri" w:hAnsi="Calibri"/>
          <w:b/>
          <w:color w:val="111827"/>
          <w:sz w:val="25"/>
        </w:rPr>
        <w:t>Législation et Textes Réglementaires</w:t>
      </w:r>
    </w:p>
    <w:p>
      <w:r>
        <w:t xml:space="preserve">6. </w:t>
      </w:r>
      <w:r>
        <w:rPr>
          <w:b/>
        </w:rPr>
        <w:t>République du Sénégal. (1975).</w:t>
      </w:r>
      <w:r>
        <w:t xml:space="preserve"> *Loi n° 75-50 du 3 avril 1975 relative aux Institutions de Prévoyance Maladie (IPM)*. Journal Officiel de la République du Sénégal.</w:t>
      </w:r>
    </w:p>
    <w:p>
      <w:r>
        <w:t xml:space="preserve">7. </w:t>
      </w:r>
      <w:r>
        <w:rPr>
          <w:b/>
        </w:rPr>
        <w:t>République du Sénégal. (2008).</w:t>
      </w:r>
      <w:r>
        <w:t xml:space="preserve"> *Loi n° 2008-12 du 25 janvier 2008 sur la protection des données à caractère personnel*. Commission de Protection des Données Personnelles (CDP), Dakar.</w:t>
      </w:r>
    </w:p>
    <w:p>
      <w:r>
        <w:t xml:space="preserve">8. </w:t>
      </w:r>
      <w:r>
        <w:rPr>
          <w:b/>
        </w:rPr>
        <w:t>Commission de Protection des Données Personnelles (CDP Sénégal). (2023).</w:t>
      </w:r>
      <w:r>
        <w:t xml:space="preserve"> *Guide pratique de conformité pour les systèmes d'information traitant des données de santé*. Dakar.</w:t>
      </w:r>
    </w:p>
    <w:p>
      <w:r>
        <w:t xml:space="preserve">9. </w:t>
      </w:r>
      <w:r>
        <w:rPr>
          <w:b/>
        </w:rPr>
        <w:t>Organisation Mondiale de la Santé (OMS). (2021).</w:t>
      </w:r>
      <w:r>
        <w:t xml:space="preserve"> *Stratégie mondiale pour la santé numérique 2020-2025*. Genève, Suisse.</w:t>
      </w:r>
    </w:p>
    <w:p>
      <w:pPr>
        <w:keepNext/>
        <w:spacing w:before="200" w:after="80"/>
      </w:pPr>
      <w:r>
        <w:rPr>
          <w:rFonts w:ascii="Calibri" w:hAnsi="Calibri"/>
          <w:b/>
          <w:color w:val="111827"/>
          <w:sz w:val="25"/>
        </w:rPr>
        <w:t>Documentation Technique et Webographie</w:t>
      </w:r>
    </w:p>
    <w:p>
      <w:r>
        <w:t xml:space="preserve">10. </w:t>
      </w:r>
      <w:r>
        <w:rPr>
          <w:b/>
        </w:rPr>
        <w:t>Django Software Foundation. (2024).</w:t>
      </w:r>
      <w:r>
        <w:t xml:space="preserve"> *Django Documentation (Version 5.2 LTS)*. Consulté sur https://docs.djangoproject.com/fr/5.2/</w:t>
      </w:r>
    </w:p>
    <w:p>
      <w:r>
        <w:t xml:space="preserve">11. </w:t>
      </w:r>
      <w:r>
        <w:rPr>
          <w:b/>
        </w:rPr>
        <w:t>PostgreSQL Global Development Group. (2024).</w:t>
      </w:r>
      <w:r>
        <w:t xml:space="preserve"> *PostgreSQL 16 Database Documentation*. Consulté sur https://www.postgresql.org/docs/</w:t>
      </w:r>
    </w:p>
    <w:p>
      <w:r>
        <w:t xml:space="preserve">12. </w:t>
      </w:r>
      <w:r>
        <w:rPr>
          <w:b/>
        </w:rPr>
        <w:t>Neon Inc. (2024).</w:t>
      </w:r>
      <w:r>
        <w:t xml:space="preserve"> *Neon Serverless Postgres Architecture and Connection Pooling Guide*. Consulté sur https://neon.tech/docs/introduction</w:t>
      </w:r>
    </w:p>
    <w:p>
      <w:r>
        <w:t xml:space="preserve">13. </w:t>
      </w:r>
      <w:r>
        <w:rPr>
          <w:b/>
        </w:rPr>
        <w:t>Leaflet Open Source Project. (2024).</w:t>
      </w:r>
      <w:r>
        <w:t xml:space="preserve"> *Leaflet JS - An open-source JavaScript library for mobile-friendly interactive maps*. Consulté sur https://leafletjs.com/reference.html</w:t>
      </w:r>
    </w:p>
    <w:p>
      <w:r>
        <w:t xml:space="preserve">14. </w:t>
      </w:r>
      <w:r>
        <w:rPr>
          <w:b/>
        </w:rPr>
        <w:t>OWASP Foundation. (2023).</w:t>
      </w:r>
      <w:r>
        <w:t xml:space="preserve"> *OWASP Top 10 Web Application Security Risks*. Consulté sur https://owasp.org/www-project-top-ten/</w:t>
      </w:r>
    </w:p>
    <w:p>
      <w:r>
        <w:t xml:space="preserve">15. </w:t>
      </w:r>
      <w:r>
        <w:rPr>
          <w:b/>
        </w:rPr>
        <w:t>Meta Platforms Inc. (2024).</w:t>
      </w:r>
      <w:r>
        <w:t xml:space="preserve"> *WhatsApp Business Platform Cloud API Reference (v21.0)*. Consulté sur https://developers.facebook.com/docs/whatsapp/cloud-api/</w:t>
      </w:r>
    </w:p>
    <w:p>
      <w:r>
        <w:t xml:space="preserve">16. </w:t>
      </w:r>
      <w:r>
        <w:rPr>
          <w:b/>
        </w:rPr>
        <w:t>Mozilla Developer Network (MDN). (2024).</w:t>
      </w:r>
      <w:r>
        <w:t xml:space="preserve"> *Progressive Web Apps (PWAs) &amp; Service Worker API*. Consulté sur https://developer.mozilla.org/fr/docs/Web/Progressive_web_apps</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2. Annexes</w:t>
      </w:r>
    </w:p>
    <w:p>
      <w:pPr>
        <w:keepNext/>
        <w:spacing w:before="200" w:after="80"/>
      </w:pPr>
      <w:r>
        <w:rPr>
          <w:rFonts w:ascii="Calibri" w:hAnsi="Calibri"/>
          <w:b/>
          <w:color w:val="111827"/>
          <w:sz w:val="25"/>
        </w:rPr>
        <w:t>Annexe 1 : Extrait du Sceau Cryptographique HMAC-SHA256 (Génération et Vérification)</w:t>
      </w:r>
    </w:p>
    <w:p>
      <w:pPr>
        <w:spacing w:before="80" w:after="120"/>
        <w:ind w:left="288" w:right="288"/>
      </w:pPr>
      <w:r>
        <w:rPr>
          <w:rFonts w:ascii="Consolas" w:hAnsi="Consolas"/>
          <w:color w:val="27272A"/>
          <w:sz w:val="19"/>
        </w:rPr>
        <w:t>import hmac</w:t>
        <w:br/>
        <w:t>import hashlib</w:t>
        <w:br/>
        <w:t>from django.conf import settings</w:t>
        <w:br/>
        <w:br/>
        <w:t>def generer_sceau_ordonnance(ordonnance):</w:t>
        <w:br/>
        <w:t xml:space="preserve">    """</w:t>
        <w:br/>
        <w:t xml:space="preserve">    Calcule l'empreinte cryptographique infalsifiable d'une ordonnance.</w:t>
        <w:br/>
        <w:t xml:space="preserve">    Concatène l'identifiant du patient, la date, l'ID du médecin et la liste</w:t>
        <w:br/>
        <w:t xml:space="preserve">    des médicaments pour interdire toute modification ultérieure.</w:t>
        <w:br/>
        <w:t xml:space="preserve">    """</w:t>
        <w:br/>
        <w:t xml:space="preserve">    cle_secrete = settings.SECRET_KEY.encode("utf-8")</w:t>
        <w:br/>
        <w:t xml:space="preserve">    lignes_concat = "|".join(</w:t>
        <w:br/>
        <w:t xml:space="preserve">        f"{ligne.nom_medicament}:{ligne.quantite}:{ligne.posologie}"</w:t>
        <w:br/>
        <w:t xml:space="preserve">        for ligne in ordonnance.lignes.all().order_by("id")</w:t>
        <w:br/>
        <w:t xml:space="preserve">    )</w:t>
        <w:br/>
        <w:t xml:space="preserve">    message = f"{ordonnance.pk}_{ordonnance.patient_id}_{ordonnance.medecin_id}_{ordonnance.date_prescription}_{lignes_concat}"</w:t>
        <w:br/>
        <w:t xml:space="preserve">    sceau = hmac.new(cle_secrete, message.encode("utf-8"), hashlib.sha256).hexdigest()</w:t>
        <w:br/>
        <w:t xml:space="preserve">    return sceau</w:t>
        <w:br/>
        <w:br/>
        <w:t>def verifier_integrite_ordonnance(ordonnance, sceau_recu):</w:t>
        <w:br/>
        <w:t xml:space="preserve">    """Vérifie en temps constant l'authenticité d'une ordonnance présentée."""</w:t>
        <w:br/>
        <w:t xml:space="preserve">    sceau_calcule = generer_sceau_ordonnance(ordonnance)</w:t>
        <w:br/>
        <w:t xml:space="preserve">    return hmac.compare_digest(sceau_calcule, sceau_recu)</w:t>
      </w:r>
    </w:p>
    <w:p>
      <w:pPr>
        <w:spacing w:before="120" w:after="120"/>
      </w:pPr>
      <w:r>
        <w:rPr>
          <w:color w:val="CBD5E1"/>
          <w:sz w:val="16"/>
        </w:rPr>
        <w:t>_______________________________________________________________________________</w:t>
      </w:r>
    </w:p>
    <w:p>
      <w:pPr>
        <w:keepNext/>
        <w:spacing w:before="200" w:after="80"/>
      </w:pPr>
      <w:r>
        <w:rPr>
          <w:rFonts w:ascii="Calibri" w:hAnsi="Calibri"/>
          <w:b/>
          <w:color w:val="111827"/>
          <w:sz w:val="25"/>
        </w:rPr>
        <w:t>Annexe 2 : Verrouillage Pessimiste Atomique en Pharmacie (`views/pharmacien.py`)</w:t>
      </w:r>
    </w:p>
    <w:p>
      <w:pPr>
        <w:spacing w:before="80" w:after="120"/>
        <w:ind w:left="288" w:right="288"/>
      </w:pPr>
      <w:r>
        <w:rPr>
          <w:rFonts w:ascii="Consolas" w:hAnsi="Consolas"/>
          <w:color w:val="27272A"/>
          <w:sz w:val="19"/>
        </w:rPr>
        <w:t>from django.db import transaction</w:t>
        <w:br/>
        <w:t>from django.core.exceptions import ValidationError</w:t>
        <w:br/>
        <w:br/>
        <w:t>@transaction.atomic</w:t>
        <w:br/>
        <w:t>def valider_delivrance_ordonnance(pharmacien_user, ordonnance_pk):</w:t>
        <w:br/>
        <w:t xml:space="preserve">    """</w:t>
        <w:br/>
        <w:t xml:space="preserve">    Valide la délivrance en pharmacie de façon atomique (ACID).</w:t>
        <w:br/>
        <w:t xml:space="preserve">    Empêche physiquement toute double délivrance simultanée via select_for_update.</w:t>
        <w:br/>
        <w:t xml:space="preserve">    """</w:t>
        <w:br/>
        <w:t xml:space="preserve">    # Verrouillage pessimiste exclusif sur la ligne de l'ordonnance</w:t>
        <w:br/>
        <w:t xml:space="preserve">    ordonnance = Ordonnance.objects.select_for_update().get(pk=ordonnance_pk)</w:t>
        <w:br/>
        <w:t xml:space="preserve">    </w:t>
        <w:br/>
        <w:t xml:space="preserve">    if ordonnance.statut != Ordonnance.Statut.ACTIVE:</w:t>
        <w:br/>
        <w:t xml:space="preserve">        raise ValidationError(f"Alerte : Ordonnance déjà traitée ou annulée (Statut : {ordonnance.statut}).")</w:t>
        <w:br/>
        <w:t xml:space="preserve">    </w:t>
        <w:br/>
        <w:t xml:space="preserve">    # 1. Mise à jour du statut</w:t>
        <w:br/>
        <w:t xml:space="preserve">    ordonnance.statut = Ordonnance.Statut.DELIVREE</w:t>
        <w:br/>
        <w:t xml:space="preserve">    ordonnance.pharmacie_delivrance = pharmacien_user.prestataire</w:t>
        <w:br/>
        <w:t xml:space="preserve">    ordonnance.date_delivrance = timezone.now()</w:t>
        <w:br/>
        <w:t xml:space="preserve">    ordonnance.save(update_fields=["statut", "pharmacie_delivrance", "date_delivrance"])</w:t>
        <w:br/>
        <w:t xml:space="preserve">    </w:t>
        <w:br/>
        <w:t xml:space="preserve">    # 2. Débit sécurisé du plafond familial de l'assuré</w:t>
        <w:br/>
        <w:t xml:space="preserve">    patient = ordonnance.patient</w:t>
        <w:br/>
        <w:t xml:space="preserve">    patient.enregistrer_consommation_tiers_payant(ordonnance.montant_part_ipm)</w:t>
        <w:br/>
        <w:t xml:space="preserve">    </w:t>
        <w:br/>
        <w:t xml:space="preserve">    # 3. Création automatique de la créance comptable pour la pharmacie</w:t>
        <w:br/>
        <w:t xml:space="preserve">    CreancePharmacie.objects.create(</w:t>
        <w:br/>
        <w:t xml:space="preserve">        organisme=patient.organisme,</w:t>
        <w:br/>
        <w:t xml:space="preserve">        prestataire=pharmacien_user.prestataire,</w:t>
        <w:br/>
        <w:t xml:space="preserve">        ordonnance=ordonnance,</w:t>
        <w:br/>
        <w:t xml:space="preserve">        montant_a_rembourser=ordonnance.montant_part_ipm,</w:t>
        <w:br/>
        <w:t xml:space="preserve">    )</w:t>
      </w:r>
    </w:p>
    <w:p>
      <w:pPr>
        <w:spacing w:before="120" w:after="120"/>
      </w:pPr>
      <w:r>
        <w:rPr>
          <w:color w:val="CBD5E1"/>
          <w:sz w:val="16"/>
        </w:rPr>
        <w:t>_______________________________________________________________________________</w:t>
      </w:r>
    </w:p>
    <w:p>
      <w:pPr>
        <w:keepNext/>
        <w:spacing w:before="200" w:after="80"/>
      </w:pPr>
      <w:r>
        <w:rPr>
          <w:rFonts w:ascii="Calibri" w:hAnsi="Calibri"/>
          <w:b/>
          <w:color w:val="111827"/>
          <w:sz w:val="25"/>
        </w:rPr>
        <w:t>Annexe 3 : Configuration du Service Worker PWA (`static/js/sw.js`)</w:t>
      </w:r>
    </w:p>
    <w:p>
      <w:pPr>
        <w:spacing w:before="80" w:after="120"/>
        <w:ind w:left="288" w:right="288"/>
      </w:pPr>
      <w:r>
        <w:rPr>
          <w:rFonts w:ascii="Consolas" w:hAnsi="Consolas"/>
          <w:color w:val="27272A"/>
          <w:sz w:val="19"/>
        </w:rPr>
        <w:t>const CACHE_NAME = 'santesn-pwa-v2.1';</w:t>
        <w:br/>
        <w:t>const ASSETS_A_METTRE_EN_CACHE = [</w:t>
        <w:br/>
        <w:t xml:space="preserve">    '/',</w:t>
        <w:br/>
        <w:t xml:space="preserve">    '/espace/assure/',</w:t>
        <w:br/>
        <w:t xml:space="preserve">    '/assure/carte-dematerialisee/',</w:t>
        <w:br/>
        <w:t xml:space="preserve">    '/static/css/styles.css',</w:t>
        <w:br/>
        <w:t xml:space="preserve">    '/static/icons/logo-santesn.svg',</w:t>
        <w:br/>
        <w:t xml:space="preserve">    '/static/icons/puce-carte.svg',</w:t>
        <w:br/>
        <w:t xml:space="preserve">    '/static/manifest.json'</w:t>
        <w:br/>
        <w:t>];</w:t>
        <w:br/>
        <w:br/>
        <w:t>self.addEventListener('install', (event) =&gt; {</w:t>
        <w:br/>
        <w:t xml:space="preserve">    event.waitUntil(</w:t>
        <w:br/>
        <w:t xml:space="preserve">        caches.open(CACHE_NAME).then((cache) =&gt; {</w:t>
        <w:br/>
        <w:t xml:space="preserve">            return cache.addAll(ASSETS_A_METTRE_EN_CACHE);</w:t>
        <w:br/>
        <w:t xml:space="preserve">        })</w:t>
        <w:br/>
        <w:t xml:space="preserve">    );</w:t>
        <w:br/>
        <w:t xml:space="preserve">    self.skipWaiting();</w:t>
        <w:br/>
        <w:t>});</w:t>
        <w:br/>
        <w:br/>
        <w:t>self.addEventListener('fetch', (event) =&gt; {</w:t>
        <w:br/>
        <w:t xml:space="preserve">    event.respondWith(</w:t>
        <w:br/>
        <w:t xml:space="preserve">        caches.match(event.request).then((reponseEnCache) =&gt; {</w:t>
        <w:br/>
        <w:t xml:space="preserve">            // Priorité au cache pour la carte hors-ligne, repli sur le réseau</w:t>
        <w:br/>
        <w:t xml:space="preserve">            return reponseEnCache || fetch(event.request).catch(() =&gt; {</w:t>
        <w:br/>
        <w:t xml:space="preserve">                if (event.request.headers.get('accept').includes('text/html')) {</w:t>
        <w:br/>
        <w:t xml:space="preserve">                    return caches.match('/assure/carte-dematerialisee/');</w:t>
        <w:br/>
        <w:t xml:space="preserve">                }</w:t>
        <w:br/>
        <w:t xml:space="preserve">            });</w:t>
        <w:br/>
        <w:t xml:space="preserve">        })</w:t>
        <w:br/>
        <w:t xml:space="preserve">    );</w:t>
        <w:br/>
        <w:t>});</w:t>
      </w:r>
    </w:p>
    <w:p>
      <w:pPr>
        <w:spacing w:before="120" w:after="120"/>
      </w:pPr>
      <w:r>
        <w:rPr>
          <w:color w:val="CBD5E1"/>
          <w:sz w:val="16"/>
        </w:rPr>
        <w:t>_______________________________________________________________________________</w:t>
      </w:r>
    </w:p>
    <w:p>
      <w:pPr>
        <w:keepNext/>
        <w:spacing w:before="240" w:after="120"/>
      </w:pPr>
      <w:r>
        <w:rPr>
          <w:rFonts w:ascii="Calibri" w:hAnsi="Calibri"/>
          <w:b/>
          <w:color w:val="6A3E1E"/>
          <w:sz w:val="30"/>
        </w:rPr>
        <w:t>3. Table des Matières Détaillée</w:t>
      </w:r>
    </w:p>
    <w:p>
      <w:pPr>
        <w:spacing w:before="80" w:after="120"/>
        <w:ind w:left="288" w:right="288"/>
      </w:pPr>
      <w:r>
        <w:rPr>
          <w:rFonts w:ascii="Consolas" w:hAnsi="Consolas"/>
          <w:color w:val="27272A"/>
          <w:sz w:val="19"/>
        </w:rPr>
        <w:t>PAGES PRÉLIMINAIRES ........................................................... i</w:t>
        <w:br/>
        <w:t xml:space="preserve">  Page de garde officielle ................................................... i</w:t>
        <w:br/>
        <w:t xml:space="preserve">  Dédicaces .................................................................. ii</w:t>
        <w:br/>
        <w:t xml:space="preserve">  Remerciements .............................................................. iii</w:t>
        <w:br/>
        <w:t xml:space="preserve">  Résumé / Abstract .......................................................... iv</w:t>
        <w:br/>
        <w:t xml:space="preserve">  Sommaire synthétique ....................................................... v</w:t>
        <w:br/>
        <w:t xml:space="preserve">  Liste des sigles et abréviations ........................................... vi</w:t>
        <w:br/>
        <w:t xml:space="preserve">  Liste des figures et liste des tableaux .................................... vii</w:t>
        <w:br/>
        <w:br/>
        <w:t>INTRODUCTION GÉNÉRALE ......................................................... 1</w:t>
        <w:br/>
        <w:t xml:space="preserve">  1. Contexte général du projet .............................................. 1</w:t>
        <w:br/>
        <w:t xml:space="preserve">  2. Problématique ........................................................... 2</w:t>
        <w:br/>
        <w:t xml:space="preserve">  3. Objectif général et objectifs spécifiques ............................... 3</w:t>
        <w:br/>
        <w:t xml:space="preserve">  4. Méthodologie adoptée .................................................... 4</w:t>
        <w:br/>
        <w:t xml:space="preserve">  5. Annonce du plan ......................................................... 5</w:t>
        <w:br/>
        <w:br/>
        <w:t>CHAPITRE 1 : PRÉSENTATION DU CADRE DU PROJET ................................... 6</w:t>
        <w:br/>
        <w:t xml:space="preserve">  1.1 Présentation de la structure d’accueil ou du commanditaire ............. 6</w:t>
        <w:br/>
        <w:t xml:space="preserve">      1.1.1 L'ISEP Amadou Traware de Diamniadio .............................. 6</w:t>
        <w:br/>
        <w:t xml:space="preserve">      1.1.2 Le Département TIC et la filière APD ............................. 7</w:t>
        <w:br/>
        <w:t xml:space="preserve">  1.2 Présentation du projet : origine, bénéficiaires, périmètre ............. 8</w:t>
        <w:br/>
        <w:t xml:space="preserve">      1.2.1 Origine et genèse de SantéSN ..................................... 8</w:t>
        <w:br/>
        <w:t xml:space="preserve">      1.2.2 Bénéficiaires du projet .......................................... 9</w:t>
        <w:br/>
        <w:t xml:space="preserve">      1.2.3 Périmètre fonctionnel et limites du système ...................... 10</w:t>
        <w:br/>
        <w:t xml:space="preserve">  1.3 Organisation du groupe : rôles et outils de travail collaboratif ....... 11</w:t>
        <w:br/>
        <w:t xml:space="preserve">      1.3.1 Répartition des rôles et responsabilités ......................... 11</w:t>
        <w:br/>
        <w:t xml:space="preserve">      1.3.2 Méthode de travail et rituels agiles ............................. 12</w:t>
        <w:br/>
        <w:t xml:space="preserve">      1.3.3 Outils de travail collaboratif et chaîne logicielle .............. 13</w:t>
        <w:br/>
        <w:br/>
        <w:t>CHAPITRE 2 : ANALYSE DE L’EXISTANT ET CADRAGE ................................. 14</w:t>
        <w:br/>
        <w:t xml:space="preserve">  2.1 Étude de l’existant .................................................... 14</w:t>
        <w:br/>
        <w:t xml:space="preserve">      2.1.1 Description du circuit traditionnel papier au Sénégal ............ 14</w:t>
        <w:br/>
        <w:t xml:space="preserve">  2.2 Critique de l’existant ................................................. 16</w:t>
        <w:br/>
        <w:t xml:space="preserve">      2.2.1 Analyse des faiblesses et matrice SWOT ........................... 16</w:t>
        <w:br/>
        <w:t xml:space="preserve">      2.2.2 Typologies de fraudes constatées sur le terrain .................. 17</w:t>
        <w:br/>
        <w:t xml:space="preserve">  2.3 Expression des besoins fonctionnels et non fonctionnels ................ 18</w:t>
        <w:br/>
        <w:t xml:space="preserve">      2.3.1 Expression des besoins fonctionnels par acteur ................... 18</w:t>
        <w:br/>
        <w:t xml:space="preserve">      2.3.2 Expression des besoins non fonctionnels .......................... 21</w:t>
        <w:br/>
        <w:t xml:space="preserve">  2.4 Solutions envisagées et choix retenu ................................... 22</w:t>
        <w:br/>
        <w:t xml:space="preserve">      2.4.1 Analyse comparative des alternatives techniques .................. 22</w:t>
        <w:br/>
        <w:t xml:space="preserve">      2.4.2 Justification du choix retenu (Django + PWA) ..................... 23</w:t>
        <w:br/>
        <w:t xml:space="preserve">  2.5 Planification du projet ................................................ 24</w:t>
        <w:br/>
        <w:br/>
        <w:t>CHAPITRE 3 : CONCEPTION DE LA SOLUTION ........................................ 25</w:t>
        <w:br/>
        <w:t xml:space="preserve">  3.1 Démarche et méthode de conception ...................................... 25</w:t>
        <w:br/>
        <w:t xml:space="preserve">      3.1.1 L'approche orientée objet et le langage UML ...................... 25</w:t>
        <w:br/>
        <w:t xml:space="preserve">      3.1.2 Les patrons de conception architecturaux retenus ................. 26</w:t>
        <w:br/>
        <w:t xml:space="preserve">  3.2 Architecture générale de la solution ................................... 27</w:t>
        <w:br/>
        <w:t xml:space="preserve">      3.2.1 Vue d'ensemble de l'architecture applicative multicouche ......... 27</w:t>
        <w:br/>
        <w:t xml:space="preserve">  3.3 Modélisation détaillée ................................................. 28</w:t>
        <w:br/>
        <w:t xml:space="preserve">      3.3.1 Diagramme de cas d'utilisation global ............................ 28</w:t>
        <w:br/>
        <w:t xml:space="preserve">      3.3.2 Diagrammes de séquence des scénarios critiques ................... 29</w:t>
        <w:br/>
        <w:t xml:space="preserve">      3.3.3 Modèle Conceptuel et Logique de Données (MCD / MLD) .............. 31</w:t>
        <w:br/>
        <w:t xml:space="preserve">  3.4 Choix des outils, technologies et matériels ............................ 33</w:t>
        <w:br/>
        <w:t xml:space="preserve">      3.4.1 Justification technologique approfondie .......................... 33</w:t>
        <w:br/>
        <w:t xml:space="preserve">      3.4.2 Environnement matériel cible ..................................... 34</w:t>
        <w:br/>
        <w:br/>
        <w:t>CHAPITRE 4 : RÉALISATION, TESTS ET RÉSULTATS .................................. 35</w:t>
        <w:br/>
        <w:t xml:space="preserve">  4.1 Mise en œuvre et environnement de travail .............................. 35</w:t>
        <w:br/>
        <w:t xml:space="preserve">      4.1.1 Environnement de développement et outillage ...................... 35</w:t>
        <w:br/>
        <w:t xml:space="preserve">      4.1.2 Organisation modulaire du projet Django .......................... 36</w:t>
        <w:br/>
        <w:t xml:space="preserve">  4.2 Présentation de la solution ............................................ 37</w:t>
        <w:br/>
        <w:t xml:space="preserve">      4.2.1 L'Espace Assuré (Patient et Ayants Droit) ........................ 37</w:t>
        <w:br/>
        <w:t xml:space="preserve">      4.2.2 L'Espace Médecin Traitant ........................................ 38</w:t>
        <w:br/>
        <w:t xml:space="preserve">      4.2.3 L'Espace Pharmacien d'Officine ................................... 39</w:t>
        <w:br/>
        <w:t xml:space="preserve">      4.2.4 L'Espace Gestionnaire d'IPM ...................................... 40</w:t>
        <w:br/>
        <w:t xml:space="preserve">      4.2.5 L'Espace Administrateur Système (IT) ............................. 41</w:t>
        <w:br/>
        <w:t xml:space="preserve">  4.3 Tests et validation .................................................... 42</w:t>
        <w:br/>
        <w:t xml:space="preserve">      4.3.1 Stratégie de tests et assurance qualité .......................... 42</w:t>
        <w:br/>
        <w:t xml:space="preserve">      4.3.2 Résultats d'exécution du banc de 196 tests automatisés ........... 43</w:t>
        <w:br/>
        <w:t xml:space="preserve">  4.4 Évaluation des coûts ................................................... 44</w:t>
        <w:br/>
        <w:t xml:space="preserve">      4.4.1 Budget prévisionnel d'exploitation annuelle (Cloud) .............. 44</w:t>
        <w:br/>
        <w:t xml:space="preserve">      4.4.2 Retour sur investissement (ROI) pour une IPM ..................... 45</w:t>
        <w:br/>
        <w:t xml:space="preserve">  4.5 Difficultés rencontrées et solutions apportées ......................... 46</w:t>
        <w:br/>
        <w:br/>
        <w:t>CONCLUSION GÉNÉRALE ET PERSPECTIVES ........................................... 48</w:t>
        <w:br/>
        <w:t xml:space="preserve">  1. Rappel de la problématique et des objectifs ............................. 48</w:t>
        <w:br/>
        <w:t xml:space="preserve">  2. Bilan des résultats obtenus ............................................. 48</w:t>
        <w:br/>
        <w:t xml:space="preserve">  3. Apports du projet pour le groupe ........................................ 49</w:t>
        <w:br/>
        <w:t xml:space="preserve">  4. Perspectives d'amélioration et vision d'avenir .......................... 49</w:t>
        <w:br/>
        <w:br/>
        <w:t>PAGES DE FIN ET ANNEXES ....................................................... 51</w:t>
        <w:br/>
        <w:t xml:space="preserve">  1. Bibliographie et Webographie (Norme APA) ................................ 51</w:t>
        <w:br/>
        <w:t xml:space="preserve">  2. Annexes techniques ...................................................... 53</w:t>
        <w:br/>
        <w:t xml:space="preserve">  3. Table des matières détaillée ............................................ 55</w:t>
      </w: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F293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