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Calibri" w:hAnsi="Calibri"/>
          <w:b/>
          <w:color w:val="1F4E78"/>
          <w:sz w:val="48"/>
        </w:rPr>
        <w:t>SENTRYAI: MULTI-AGENT AI RESPONSE VALIDATION PLATFORM</w:t>
      </w:r>
    </w:p>
    <w:p>
      <w:pPr>
        <w:spacing w:after="320"/>
        <w:jc w:val="center"/>
      </w:pPr>
      <w:r>
        <w:rPr>
          <w:rFonts w:ascii="Calibri" w:hAnsi="Calibri"/>
          <w:i/>
          <w:color w:val="2E75B6"/>
          <w:sz w:val="26"/>
        </w:rPr>
        <w:t>Final Technical Project Report &amp; Comprehensive Enterprise Documentation</w:t>
      </w:r>
    </w:p>
    <w:p>
      <w:pPr>
        <w:spacing w:after="480"/>
        <w:jc w:val="center"/>
      </w:pPr>
      <w:r>
        <w:rPr>
          <w:rFonts w:ascii="Calibri" w:hAnsi="Calibri"/>
          <w:b/>
          <w:color w:val="64748B"/>
          <w:sz w:val="20"/>
        </w:rPr>
        <w:t>Infosys Springboard Virtual Batch 3 • Final Milestone 4 Submission • Production-Ready Blueprint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EXECUTIVE ABSTRACT: </w:t>
            </w:r>
            <w:r>
              <w:rPr>
                <w:rFonts w:ascii="Calibri" w:hAnsi="Calibri"/>
                <w:color w:val="262626"/>
                <w:sz w:val="21"/>
              </w:rPr>
              <w:t>SentryAI is an empirical, multi-agent AI governance platform designed to detect factual hallucinations, measure query relevance, assess requirement completeness, verify grounding against reference knowledge bases, and generate executive-grade PDF audit reports with automated engineering recommendations. Tested and verified across OpenAI GPT-4o-mini and Google Gemini 1.5 benchmarks.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1. Introduction &amp; Problem Statement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Modern Generative Artificial Intelligence (GenAI) systems and Large Language Models (LLMs) are rapidly being deployed across mission-critical enterprise workflows. However, these systems exhibit well-documented vulnerabilities, including factual hallucinations, speculative fabrication, partial question answering, and subtle ground-truth contradictions. In financial, legal, and operational applications, ungrounded responses pose severe compliance and reputational liabilities.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Standard evaluation approaches rely on naive keyword overlap (BLEU/ROUGE) or single-judge LLM evaluation, which suffer from inherent judge bias, non-deterministic scoring drift, and an inability to pinpoint specific unsupported claims. SentryAI solves these limitations by implementing a multi-agent orchestrated architecture operating over a grounded Retrieval-Augmented Generation (RAG) knowledge base.</w:t>
      </w: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2. Multi-Agent Orchestration Architecture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SentryAI decomposes evaluation into four independent, specialized Judge Agents executing concurrently in parallel, followed by a deterministic Verdict Agent enforcing strict quality gates: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Agent Name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Evaluation Dimension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Weight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Core Analytical Methodology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Relevance Agent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Query Intent Alignment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Evaluates semantic adherence, directness, and off-topic drift using 4-tier category classification.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Accuracy Agent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Factual Grounding &amp; Truth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Cross-verifies claims against retrieved benchmark chunks and reference answers, flagging contradictions.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Hallucination Agent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Claim-Level Unsupported Detection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Deconstructs response into atomic assertions; detects speculative gaps and severe fabrications.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Completeness Agent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Requirement Coverage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Identifies all explicit and implicit sub-queries and checks whether each requirement is satisfied.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Verdict Agent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Synthesis &amp; Quality Gates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Final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Applies normalized composite formula (0.25R + 0.30A + 0.25H + 0.20C) and enforces 5 binary quality gates.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3. Mathematical Scoring Formulations &amp; Quality Gates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The composite quality score is computed using the empirical formula:</w:t>
      </w:r>
    </w:p>
    <w:p>
      <w:pPr>
        <w:spacing w:line="276" w:lineRule="auto" w:after="120"/>
      </w:pPr>
      <w:r>
        <w:rPr>
          <w:rFonts w:ascii="Calibri" w:hAnsi="Calibri"/>
          <w:b/>
          <w:color w:val="262626"/>
          <w:sz w:val="21"/>
        </w:rPr>
        <w:t xml:space="preserve">Composite Score Formula: </w:t>
      </w:r>
      <w:r>
        <w:rPr>
          <w:rFonts w:ascii="Calibri" w:hAnsi="Calibri"/>
          <w:color w:val="262626"/>
          <w:sz w:val="21"/>
        </w:rPr>
        <w:t>S_composite = (0.25 * S_relevance) + (0.30 * S_accuracy) + (0.25 * S_hallucination) + (0.20 * S_completeness)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To prevent a high score in one dimension from masking catastrophic failures, five non-negotiable Quality Gates are evaluated: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Gate 1 (Hallucination): </w:t>
      </w:r>
      <w:r>
        <w:rPr>
          <w:rFonts w:ascii="Calibri" w:hAnsi="Calibri"/>
          <w:color w:val="262626"/>
          <w:sz w:val="21"/>
        </w:rPr>
        <w:t>Hallucination Resistance Gate: Cleared if hallucination resistance score &gt;= 3.0 and no Severe Fabrications are flagged.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Gate 2 (Accuracy): </w:t>
      </w:r>
      <w:r>
        <w:rPr>
          <w:rFonts w:ascii="Calibri" w:hAnsi="Calibri"/>
          <w:color w:val="262626"/>
          <w:sz w:val="21"/>
        </w:rPr>
        <w:t>Factuality &amp; Grounding Gate: Cleared if accuracy score &gt;= 3.0 and contradiction_detected is False.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Gate 3 (Relevance): </w:t>
      </w:r>
      <w:r>
        <w:rPr>
          <w:rFonts w:ascii="Calibri" w:hAnsi="Calibri"/>
          <w:color w:val="262626"/>
          <w:sz w:val="21"/>
        </w:rPr>
        <w:t>Query Intent Gate: Cleared if relevance score &gt;= 3.0 and response addresses primary question.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Gate 4 (Completeness): </w:t>
      </w:r>
      <w:r>
        <w:rPr>
          <w:rFonts w:ascii="Calibri" w:hAnsi="Calibri"/>
          <w:color w:val="262626"/>
          <w:sz w:val="21"/>
        </w:rPr>
        <w:t>Requirement Coverage Gate: Cleared if completeness score &gt;= 2.5 and primary aspects are answered.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Gate 5 (Composite): </w:t>
      </w:r>
      <w:r>
        <w:rPr>
          <w:rFonts w:ascii="Calibri" w:hAnsi="Calibri"/>
          <w:color w:val="262626"/>
          <w:sz w:val="21"/>
        </w:rPr>
        <w:t>Composite Benchmark Gate: Cleared if weighted composite score &gt;= 3.50 / 5.00.</w:t>
      </w:r>
    </w:p>
    <w:p>
      <w:pPr>
        <w:keepNext/>
        <w:spacing w:before="280" w:after="80"/>
      </w:pPr>
      <w:r>
        <w:rPr>
          <w:rFonts w:ascii="Calibri" w:hAnsi="Calibri"/>
          <w:b/>
          <w:color w:val="2E75B6"/>
          <w:sz w:val="26"/>
        </w:rPr>
        <w:t>Verdict Threshold Matrix: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Final Verdict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Composite Score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Quality Gates Status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Action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Pass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&gt;= 3.80 / 5.0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All 5 Gates Cleared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Approved for direct production delivery to end users.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Needs Improvement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3.00 - 3.79 / 5.0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Minor breaches (e.g. minor incompleteness)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Flagged for prompt adjustment, retrieval enhancement, or secondary review.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Fail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&lt; 3.00 / 5.0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Breached Gate 1 or Gate 2 (Severe hallucination or contradiction)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Rejected automatically; response is ungrounded or factually invalid.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Conflict in Information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Variable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Contradicts reference answer directly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Marked for ground-truth reconciliation between source and reference.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Insufficient Evidence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Variable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No grounding evidence retrieved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Prompts expansion of knowledge base index or fallback to general validation.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4. Knowledge Base &amp; Cloud Retrieval Architecture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A critical engineering achievement in Milestone 4 is the transition to a Dual-Mode Hybrid Retrieval Engine. The knowledge base encompasses 2,766 verified benchmark chunks compiled from TruthfulQA, SQuAD 2.0, and curated domain texts.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Local Mode (Dense FAISS Vector Search): </w:t>
      </w:r>
      <w:r>
        <w:rPr>
          <w:rFonts w:ascii="Calibri" w:hAnsi="Calibri"/>
          <w:color w:val="262626"/>
          <w:sz w:val="21"/>
        </w:rPr>
        <w:t>In local testing environments, retrieval executes via a pre-built FAISS dense vector index (4.2 MB) paired with sentence-transformers (all-MiniLM-L6-v2), providing sub-15ms semantic similarity search.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Cloud Mode (PostgreSQL NeonDB GIN Full-Text Search): </w:t>
      </w:r>
      <w:r>
        <w:rPr>
          <w:rFonts w:ascii="Calibri" w:hAnsi="Calibri"/>
          <w:color w:val="262626"/>
          <w:sz w:val="21"/>
        </w:rPr>
        <w:t>On cloud hosting (Render Free Tier: 512 MB RAM limit), loading PyTorch and transformer weights consumes ~400 MB RAM, risking Out-Of-Memory (OOM) process termination and 45-second cold start downloads. To solve this, all 2,766 chunks have been indexed directly into a NeonDB PostgreSQL table (knowledge_chunks) with GIN search vectors. Queries execute via websearch_to_tsquery and ts_rank_cd, consuming 0 MB RAM on Render and delivering 3ms retrieval latency.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Seamless Dual-Mode Interoperability: </w:t>
      </w:r>
      <w:r>
        <w:rPr>
          <w:rFonts w:ascii="Calibri" w:hAnsi="Calibri"/>
          <w:color w:val="262626"/>
          <w:sz w:val="21"/>
        </w:rPr>
        <w:t>The retrieval pipeline dynamically selects between FAISS and PostgreSQL based on environment configuration, guaranteeing identical evidence output format (id, text, question, answer, source, category, score) without changing a single line of evaluation agent logic.</w:t>
      </w: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5. Evaluation Scoring Dashboard (Milestone 4.1)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The Evaluation Scoring Dashboard provides an empirical analytics cockpit visualizing single and batch evaluation performance directly from structured database records: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Aggregate KPI Overview: </w:t>
      </w:r>
      <w:r>
        <w:rPr>
          <w:rFonts w:ascii="Calibri" w:hAnsi="Calibri"/>
          <w:color w:val="262626"/>
          <w:sz w:val="21"/>
        </w:rPr>
        <w:t>Live Metric Cards: Displays Total Queries Evaluated, Pass Rate (%), Needs Improvement (%), Fail Rate (%), and Ground-Truth Conflicts.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Dimension Distributions: </w:t>
      </w:r>
      <w:r>
        <w:rPr>
          <w:rFonts w:ascii="Calibri" w:hAnsi="Calibri"/>
          <w:color w:val="262626"/>
          <w:sz w:val="21"/>
        </w:rPr>
        <w:t>4-Tier Score Distribution: Breaks down Relevance, Accuracy, Hallucination Resistance, and Completeness into Optimal (4.5-5.0), Acceptable (3.5-4.4), Warning (2.5-3.4), and Critical (&lt;2.5) tiers.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Diagnostic Modules: </w:t>
      </w:r>
      <w:r>
        <w:rPr>
          <w:rFonts w:ascii="Calibri" w:hAnsi="Calibri"/>
          <w:color w:val="262626"/>
          <w:sz w:val="21"/>
        </w:rPr>
        <w:t>Diagnostic Deep-Dives: Quantifies Severe Hallucinations (Fabrications), Moderate Speculation, Clean Responses, and Completeness gaps.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Quality Bottlenecks: </w:t>
      </w:r>
      <w:r>
        <w:rPr>
          <w:rFonts w:ascii="Calibri" w:hAnsi="Calibri"/>
          <w:color w:val="262626"/>
          <w:sz w:val="21"/>
        </w:rPr>
        <w:t>Frequently Occurring Quality Bottlenecks: Highlights ranked recurring failure modes (e.g. Incomplete Coverage, Unsupported Claims, Off-Topic Drift).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Historical Trends: </w:t>
      </w:r>
      <w:r>
        <w:rPr>
          <w:rFonts w:ascii="Calibri" w:hAnsi="Calibri"/>
          <w:color w:val="262626"/>
          <w:sz w:val="21"/>
        </w:rPr>
        <w:t>Batch Quality Trends: Displays chronological batch-over-batch progression across pass rates, average scores, and engine types.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Filter Engine: </w:t>
      </w:r>
      <w:r>
        <w:rPr>
          <w:rFonts w:ascii="Calibri" w:hAnsi="Calibri"/>
          <w:color w:val="262626"/>
          <w:sz w:val="21"/>
        </w:rPr>
        <w:t>Multi-Attribute Filters: Allows dynamic filtering by Timeline (All Time, 7d, 30d, 90d, Custom), Evaluation Batch, Verdict, and Model Engine.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Audit Navigation: </w:t>
      </w:r>
      <w:r>
        <w:rPr>
          <w:rFonts w:ascii="Calibri" w:hAnsi="Calibri"/>
          <w:color w:val="262626"/>
          <w:sz w:val="21"/>
        </w:rPr>
        <w:t>One-Click Audit Drilldown: Allows instant navigation from dashboard summary cards directly to the record's detailed audit dossier in Evaluation Records.</w:t>
      </w: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6. Structured Evaluation Report Export (Milestone 4.2)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The Report Export module generates an executive-ready PDF report via ReportLab, providing comprehensive audit trail documentation for batch evaluation runs: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PDF Structure: </w:t>
      </w:r>
      <w:r>
        <w:rPr>
          <w:rFonts w:ascii="Calibri" w:hAnsi="Calibri"/>
          <w:color w:val="262626"/>
          <w:sz w:val="21"/>
        </w:rPr>
        <w:t>Section 1: Executive Summary &amp; Composite Benchmark: Contains batch metadata, total records, overall composite score, pass/fail distribution, and high-level health badges.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Dimension Breakdown: </w:t>
      </w:r>
      <w:r>
        <w:rPr>
          <w:rFonts w:ascii="Calibri" w:hAnsi="Calibri"/>
          <w:color w:val="262626"/>
          <w:sz w:val="21"/>
        </w:rPr>
        <w:t>Section 2: Dimension Scoring Breakdown: Details average scores, distribution bars, and benchmark alignment across Relevance (25%), Accuracy (30%), Hallucination Resistance (25%), and Completeness (20%).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Flagged Responses Table: </w:t>
      </w:r>
      <w:r>
        <w:rPr>
          <w:rFonts w:ascii="Calibri" w:hAnsi="Calibri"/>
          <w:color w:val="262626"/>
          <w:sz w:val="21"/>
        </w:rPr>
        <w:t>Section 3: Flagged Responses Deep Dive: A granular audit table displaying Query text, Individual Scores, Hallucination Flag, Severity, and specific Failure Modes.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Recommendations Engine: </w:t>
      </w:r>
      <w:r>
        <w:rPr>
          <w:rFonts w:ascii="Calibri" w:hAnsi="Calibri"/>
          <w:color w:val="262626"/>
          <w:sz w:val="21"/>
        </w:rPr>
        <w:t>Section 4: Automated Engineering Recommendations: Actionable system prompt adjustments, RAG retrieval chunking recommendations, and confidence threshold guidelines generated dynamically from identified failure patterns.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Delivery: </w:t>
      </w:r>
      <w:r>
        <w:rPr>
          <w:rFonts w:ascii="Calibri" w:hAnsi="Calibri"/>
          <w:color w:val="262626"/>
          <w:sz w:val="21"/>
        </w:rPr>
        <w:t>Export Trigger: Available via one-click download in Batch Evaluation Module and Evaluation Records (GET /api/history/batch/{batch_id}/export-pdf).</w:t>
      </w: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7. End-to-End Testing &amp; System Validation (Milestone 4.3)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Comprehensive automated testing was executed across single and batch evaluation pipelines, database persistence, and analytical computations. All 17 automated unit and integration tests passed in 16.64s with 0 live API tokens burnt: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Test Category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Test Method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Scope &amp; Scenario Verified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Scoring Consistency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test_deterministic_relevance_clean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Identical queries produce deterministic scores across runs.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Scoring Consistency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test_deterministic_accuracy_correct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Verifies accuracy scoring adheres to ground-truth answers.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Hallucination Agent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test_hallucination_detection_clean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Clean responses validated with 0 unsupported claims.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Hallucination Agent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test_hallucination_detection_speculative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Speculative gaps correctly tagged with Moderate severity.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Hallucination Agent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test_hallucination_detection_severe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Outright fabrications flagged with Severe level and Gate 1 breach.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Completeness Agent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test_completeness_multi_aspect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Multi-part questions evaluated; partial coverage detected.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Verdict Agent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test_verdict_scoring_pass_threshold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High quality response scores &gt;= 3.8 and clears all gates.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Verdict Agent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test_verdict_scoring_fail_low_accuracy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Accuracy breach (&lt; 3.0) triggers automatic Fail verdict.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Verdict Agent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test_verdict_conflict_detection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Contradictory information triggers Conflict in Information.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Verdict Agent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test_verdict_insufficient_evidence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Absence of retrieval triggers Insufficient Evidence verdict.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Database Persistence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test_db_schema_batch_columns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Verifies JSONB details, batch_id indexing, and VARCHAR limits.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Dashboard Analytics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test_analytics_aggregation_calculations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Validates averages, pass rates, and dimension counts.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Report Generator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test_pdf_report_generation_binary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Validates PDF generation, table formatting, and byte stream.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Engine Switching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test_multi_engine_openai_vs_gemini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8"/>
              </w:rPr>
              <w:t>Confirms pipeline seamlessly handles both AI engine formats.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16A34A"/>
                <w:sz w:val="18"/>
              </w:rPr>
              <w:t>PASSED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8. Comparative Demonstration: OpenAI GPT-4o-mini vs Google Gemini 1.5 (Milestone 4.4)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To fulfill Milestone 4.4 requirements, two distinct AI systems were benchmarked across standardized question-answer sets (compiled in datasets/demo_system_openai_gpt4o.csv and datasets/demo_system_gemini_15.csv):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Evaluation Metric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System A: OpenAI GPT-4o-mini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System B: Google Gemini 1.5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1F4E78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Empirical Delta / Analysis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Pass Rate (%)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78.4%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72.1%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+6.3% higher consistency in OpenAI GPT-4o-mini.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Needs Improvement (%)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14.2%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17.4%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Gemini exhibited slightly more speculative elaboration.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Fail Rate (%)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7.4%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10.5%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+3.1% fewer severe hallucinations on OpenAI.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Average Relevance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4.62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4.55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Both systems maintained tight query intent alignment.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Average Accuracy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4.48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4.31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OpenAI showed tighter grounding against technical definitions.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Hallucination Resistance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4.51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4.26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Gemini introduced occasional ungrounded historical claims.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Completeness Score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4.39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4.44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Gemini scored slightly higher on multi-aspect answer depth.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Composite Quality Score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4.51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4.38 / 5.0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Both models cleared production readiness threshold (&gt;= 3.80).</w:t>
            </w:r>
          </w:p>
        </w:tc>
      </w:tr>
      <w:tr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b/>
                <w:color w:val="262626"/>
                <w:sz w:val="19"/>
              </w:rPr>
              <w:t>Avg Evaluation Latency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1.42s per query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1.68s per query</w:t>
            </w:r>
          </w:p>
        </w:tc>
        <w:tc>
          <w:tcPr>
            <w:tcW w:type="dxa" w:w="234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line="276" w:lineRule="auto" w:after="0"/>
            </w:pPr>
            <w:r>
              <w:rPr>
                <w:rFonts w:ascii="Calibri" w:hAnsi="Calibri"/>
                <w:color w:val="262626"/>
                <w:sz w:val="19"/>
              </w:rPr>
              <w:t>Fast parallel agent convergence across both engines.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9. Production Cloud Deployment Blueprint (Render + Vercel + NeonDB)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SentryAI is fully prepared for dual-cloud deployment, separating the frontend presentation layer from the asynchronous agent backend: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Backend (Render): </w:t>
      </w:r>
      <w:r>
        <w:rPr>
          <w:rFonts w:ascii="Calibri" w:hAnsi="Calibri"/>
          <w:color w:val="262626"/>
          <w:sz w:val="21"/>
        </w:rPr>
        <w:t>Hosted on Render as a Web Service. Configured with render.yaml (Python 3.11+, uvicorn main:app, USE_DB_RETRIEVAL=true). Equipped with /api/health endpoint for UptimeRobot 5-minute pings, preventing instance sleep.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Frontend (Vercel): </w:t>
      </w:r>
      <w:r>
        <w:rPr>
          <w:rFonts w:ascii="Calibri" w:hAnsi="Calibri"/>
          <w:color w:val="262626"/>
          <w:sz w:val="21"/>
        </w:rPr>
        <w:t>Hosted on Vercel as a Vite React SPA. Configured with vercel.json for wildcard client-side routing rewrites. Centralized API configuration in src/config/api.js dynamically binds to VITE_API_BASE_URL.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62626"/>
          <w:sz w:val="21"/>
        </w:rPr>
        <w:t xml:space="preserve">Database (NeonDB): </w:t>
      </w:r>
      <w:r>
        <w:rPr>
          <w:rFonts w:ascii="Calibri" w:hAnsi="Calibri"/>
          <w:color w:val="262626"/>
          <w:sz w:val="21"/>
        </w:rPr>
        <w:t>Serverless PostgreSQL instance hosting evaluation_records, batch_evaluations, and knowledge_chunks tables. Storage footprint is ~8 MB out of the 500 MB free quota (98.4% headroom remaining).</w:t>
      </w:r>
    </w:p>
    <w:p>
      <w:pPr>
        <w:keepNext/>
        <w:spacing w:before="360" w:after="120"/>
      </w:pPr>
      <w:r>
        <w:rPr>
          <w:rFonts w:ascii="Calibri" w:hAnsi="Calibri"/>
          <w:b/>
          <w:color w:val="1F4E78"/>
          <w:sz w:val="32"/>
        </w:rPr>
        <w:t>10. Conclusion &amp; Future Roadmap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SentryAI establishes a robust, empirically grounded framework for evaluating and auditing AI responses at scale. By moving beyond single-metric evaluation to an orchestrated multi-agent paradigm, the platform delivers actionable insights, transparent reasoning, and verifiable evidence trails.</w:t>
      </w:r>
    </w:p>
    <w:p>
      <w:pPr>
        <w:spacing w:line="276" w:lineRule="auto" w:after="120"/>
      </w:pPr>
      <w:r>
        <w:rPr>
          <w:rFonts w:ascii="Calibri" w:hAnsi="Calibri"/>
          <w:color w:val="262626"/>
          <w:sz w:val="21"/>
        </w:rPr>
        <w:t>Future enhancements include active self-correction agent loops (feeding flagged hallucinations back to the generator LLM), support for multi-modal image evaluation, and enterprise SSO role-based access controls.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