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1F4E78"/>
          <w:sz w:val="48"/>
        </w:rPr>
        <w:t>SENTRYAI: MULTI-AGENT AI RESPONSE VALIDATION PLATFORM</w:t>
      </w:r>
    </w:p>
    <w:p>
      <w:pPr>
        <w:spacing w:after="320"/>
        <w:jc w:val="center"/>
      </w:pPr>
      <w:r>
        <w:rPr>
          <w:rFonts w:ascii="Calibri" w:hAnsi="Calibri"/>
          <w:i/>
          <w:color w:val="2E75B6"/>
          <w:sz w:val="26"/>
        </w:rPr>
        <w:t>Final Technical Project Report &amp; Comprehensive Enterprise Documentation</w:t>
      </w:r>
    </w:p>
    <w:p>
      <w:pPr>
        <w:spacing w:after="480"/>
        <w:jc w:val="center"/>
      </w:pPr>
      <w:r>
        <w:rPr>
          <w:rFonts w:ascii="Calibri" w:hAnsi="Calibri"/>
          <w:b/>
          <w:color w:val="64748B"/>
          <w:sz w:val="20"/>
        </w:rPr>
        <w:t>Infosys Springboard Virtual Batch 3 • Final Milestone 4 Submission • Production-Ready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F4E78"/>
                <w:sz w:val="21"/>
              </w:rPr>
              <w:t xml:space="preserve">EXECUTIVE ABSTRACT: </w:t>
            </w:r>
            <w:r>
              <w:rPr>
                <w:rFonts w:ascii="Calibri" w:hAnsi="Calibri"/>
                <w:color w:val="262626"/>
                <w:sz w:val="21"/>
              </w:rPr>
              <w:t>SentryAI is an empirical, multi-agent AI governance platform designed to detect factual hallucinations, measure query relevance, assess requirement completeness, verify grounding against reference knowledge bases, and generate executive-grade PDF audit reports with automated engineering recommendations. Tested and verified across OpenAI GPT-4o-mini and Google Gemini 1.5 benchmarks.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2"/>
        </w:rPr>
        <w:t>1. Introduction &amp; Problem Statement</w:t>
      </w:r>
    </w:p>
    <w:p>
      <w:pPr>
        <w:spacing w:line="276" w:lineRule="auto" w:after="120"/>
      </w:pPr>
      <w:r>
        <w:rPr>
          <w:rFonts w:ascii="Calibri" w:hAnsi="Calibri"/>
          <w:color w:val="262626"/>
          <w:sz w:val="21"/>
        </w:rPr>
        <w:t>Modern Generative Artificial Intelligence (GenAI) systems and Large Language Models (LLMs) are rapidly being deployed across mission-critical enterprise workflows. However, these systems exhibit well-documented vulnerabilities, including factual hallucinations, speculative fabrication, partial question answering, and subtle ground-truth contradictions. In financial, legal, and operational applications, ungrounded responses pose severe compliance and reputational liabilities.</w:t>
      </w:r>
    </w:p>
    <w:p>
      <w:pPr>
        <w:spacing w:line="276" w:lineRule="auto" w:after="120"/>
      </w:pPr>
      <w:r>
        <w:rPr>
          <w:rFonts w:ascii="Calibri" w:hAnsi="Calibri"/>
          <w:color w:val="262626"/>
          <w:sz w:val="21"/>
        </w:rPr>
        <w:t>Standard evaluation approaches rely on naive keyword overlap (BLEU/ROUGE) or single-judge LLM evaluation, which suffer from inherent judge bias, non-deterministic scoring drift, and an inability to pinpoint specific unsupported claims. SentryAI solves these limitations by implementing a multi-agent orchestrated architecture operating over a grounded Retrieval-Augmented Generation (RAG) knowledge base.</w:t>
      </w: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2"/>
        </w:rPr>
        <w:t>2. Multi-Agent Orchestration Architecture</w:t>
      </w:r>
    </w:p>
    <w:p>
      <w:pPr>
        <w:spacing w:line="276" w:lineRule="auto" w:after="120"/>
      </w:pPr>
      <w:r>
        <w:rPr>
          <w:rFonts w:ascii="Calibri" w:hAnsi="Calibri"/>
          <w:color w:val="262626"/>
          <w:sz w:val="21"/>
        </w:rPr>
        <w:t>SentryAI decomposes evaluation into four independent, specialized Judge Agents executing concurrently in parallel, followed by a deterministic Verdict Agent enforcing strict quality gates: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F4E78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Agent Name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F4E78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Evaluation Dimension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F4E78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F4E78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Core Analytical Methodology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Relevance Agent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Query Intent Alignment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Evaluates semantic adherence, directness, and off-topic drift using 4-tier category classification.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Accuracy Agent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Factual Grounding &amp; Truth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Cross-verifies claims against retrieved benchmark chunks and reference answers, flagging contradictions.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Hallucination Agent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Claim-Level Unsupported Detection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Deconstructs response into atomic assertions; detects speculative gaps and severe fabrications.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Completeness Agent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Requirement Coverage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Identifies all explicit and implicit sub-queries and checks whether each requirement is satisfied.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Verdict Agent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Synthesis &amp; Quality Gates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Final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Applies normalized composite formula (0.25R + 0.30A + 0.25H + 0.20C) and enforces 5 binary quality gates.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2"/>
        </w:rPr>
        <w:t>3. Mathematical Scoring Formulations &amp; Quality Gates</w:t>
      </w:r>
    </w:p>
    <w:p>
      <w:pPr>
        <w:spacing w:line="276" w:lineRule="auto" w:after="120"/>
      </w:pPr>
      <w:r>
        <w:rPr>
          <w:rFonts w:ascii="Calibri" w:hAnsi="Calibri"/>
          <w:color w:val="262626"/>
          <w:sz w:val="21"/>
        </w:rPr>
        <w:t>The composite quality score is computed using the empirical formula:</w:t>
      </w:r>
    </w:p>
    <w:p>
      <w:pPr>
        <w:spacing w:line="276" w:lineRule="auto" w:after="120"/>
      </w:pPr>
      <w:r>
        <w:rPr>
          <w:rFonts w:ascii="Calibri" w:hAnsi="Calibri"/>
          <w:b/>
          <w:color w:val="262626"/>
          <w:sz w:val="21"/>
        </w:rPr>
        <w:t xml:space="preserve">Composite Score Formula: </w:t>
      </w:r>
      <w:r>
        <w:rPr>
          <w:rFonts w:ascii="Calibri" w:hAnsi="Calibri"/>
          <w:color w:val="262626"/>
          <w:sz w:val="21"/>
        </w:rPr>
        <w:t>S_composite = (0.25 * S_relevance) + (0.30 * S_accuracy) + (0.25 * S_hallucination) + (0.20 * S_completeness)</w:t>
      </w:r>
    </w:p>
    <w:p>
      <w:pPr>
        <w:spacing w:line="276" w:lineRule="auto" w:after="120"/>
      </w:pPr>
      <w:r>
        <w:rPr>
          <w:rFonts w:ascii="Calibri" w:hAnsi="Calibri"/>
          <w:color w:val="262626"/>
          <w:sz w:val="21"/>
        </w:rPr>
        <w:t>To prevent a high score in one dimension from masking catastrophic failures, five non-negotiable Quality Gates are evaluated: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Gate 1 (Hallucination): </w:t>
      </w:r>
      <w:r>
        <w:rPr>
          <w:rFonts w:ascii="Calibri" w:hAnsi="Calibri"/>
          <w:color w:val="262626"/>
          <w:sz w:val="21"/>
        </w:rPr>
        <w:t>Hallucination Resistance Gate: Cleared if hallucination resistance score &gt;= 3.0 and no Severe Fabrications are flagged.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Gate 2 (Accuracy): </w:t>
      </w:r>
      <w:r>
        <w:rPr>
          <w:rFonts w:ascii="Calibri" w:hAnsi="Calibri"/>
          <w:color w:val="262626"/>
          <w:sz w:val="21"/>
        </w:rPr>
        <w:t>Factuality &amp; Grounding Gate: Cleared if accuracy score &gt;= 3.0 and contradiction_detected is False.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Gate 3 (Relevance): </w:t>
      </w:r>
      <w:r>
        <w:rPr>
          <w:rFonts w:ascii="Calibri" w:hAnsi="Calibri"/>
          <w:color w:val="262626"/>
          <w:sz w:val="21"/>
        </w:rPr>
        <w:t>Query Intent Gate: Cleared if relevance score &gt;= 3.0 and response addresses primary question.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Gate 4 (Completeness): </w:t>
      </w:r>
      <w:r>
        <w:rPr>
          <w:rFonts w:ascii="Calibri" w:hAnsi="Calibri"/>
          <w:color w:val="262626"/>
          <w:sz w:val="21"/>
        </w:rPr>
        <w:t>Requirement Coverage Gate: Cleared if completeness score &gt;= 2.5 and primary aspects are answered.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Gate 5 (Composite): </w:t>
      </w:r>
      <w:r>
        <w:rPr>
          <w:rFonts w:ascii="Calibri" w:hAnsi="Calibri"/>
          <w:color w:val="262626"/>
          <w:sz w:val="21"/>
        </w:rPr>
        <w:t>Composite Benchmark Gate: Cleared if weighted composite score &gt;= 3.50 / 5.00.</w:t>
      </w:r>
    </w:p>
    <w:p>
      <w:pPr>
        <w:keepNext/>
        <w:spacing w:before="280" w:after="80"/>
      </w:pPr>
      <w:r>
        <w:rPr>
          <w:rFonts w:ascii="Calibri" w:hAnsi="Calibri"/>
          <w:b/>
          <w:color w:val="2E75B6"/>
          <w:sz w:val="26"/>
        </w:rPr>
        <w:t>Verdict Threshold Matrix: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F4E78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Final Verdict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F4E78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Composite Score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F4E78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Quality Gates Status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F4E78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Action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&gt;= 3.80 / 5.0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All 5 Gates Cleared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Approved for direct production delivery to end users.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Needs Improvement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3.00 - 3.79 / 5.0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Minor breaches (e.g. minor incompleteness)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Flagged for prompt adjustment, retrieval enhancement, or secondary review.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Fail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&lt; 3.00 / 5.0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Breached Gate 1 or Gate 2 (Severe hallucination or contradiction)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Rejected automatically; response is ungrounded or factually invalid.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Conflict in Information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Variable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Contradicts reference answer directly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Marked for ground-truth reconciliation between source and reference.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Insufficient Evidence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Variable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No grounding evidence retrieved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Prompts expansion of knowledge base index or fallback to general validation.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2"/>
        </w:rPr>
        <w:t>4. Knowledge Base &amp; Cloud Retrieval Architecture</w:t>
      </w:r>
    </w:p>
    <w:p>
      <w:pPr>
        <w:spacing w:line="276" w:lineRule="auto" w:after="120"/>
      </w:pPr>
      <w:r>
        <w:rPr>
          <w:rFonts w:ascii="Calibri" w:hAnsi="Calibri"/>
          <w:color w:val="262626"/>
          <w:sz w:val="21"/>
        </w:rPr>
        <w:t>A critical engineering achievement in Milestone 4 is the transition to a Dual-Mode Hybrid Retrieval Engine. The knowledge base encompasses 2,766 verified benchmark chunks compiled from TruthfulQA, SQuAD 2.0, and curated domain texts.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Local Mode (Dense FAISS Vector Search): </w:t>
      </w:r>
      <w:r>
        <w:rPr>
          <w:rFonts w:ascii="Calibri" w:hAnsi="Calibri"/>
          <w:color w:val="262626"/>
          <w:sz w:val="21"/>
        </w:rPr>
        <w:t>In local testing environments, retrieval executes via a pre-built FAISS dense vector index (4.2 MB) paired with sentence-transformers (all-MiniLM-L6-v2), providing sub-15ms semantic similarity search.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Cloud Mode (PostgreSQL NeonDB GIN Full-Text Search): </w:t>
      </w:r>
      <w:r>
        <w:rPr>
          <w:rFonts w:ascii="Calibri" w:hAnsi="Calibri"/>
          <w:color w:val="262626"/>
          <w:sz w:val="21"/>
        </w:rPr>
        <w:t>On cloud hosting (Render Free Tier: 512 MB RAM limit), loading PyTorch and transformer weights consumes ~400 MB RAM, risking Out-Of-Memory (OOM) process termination and 45-second cold start downloads. To solve this, all 2,766 chunks have been indexed directly into a NeonDB PostgreSQL table (knowledge_chunks) with GIN search vectors. Queries execute via websearch_to_tsquery and ts_rank_cd, consuming 0 MB RAM on Render and delivering 3ms retrieval latency.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Seamless Dual-Mode Interoperability: </w:t>
      </w:r>
      <w:r>
        <w:rPr>
          <w:rFonts w:ascii="Calibri" w:hAnsi="Calibri"/>
          <w:color w:val="262626"/>
          <w:sz w:val="21"/>
        </w:rPr>
        <w:t>The retrieval pipeline dynamically selects between FAISS and PostgreSQL based on environment configuration, guaranteeing identical evidence output format (id, text, question, answer, source, category, score) without changing a single line of evaluation agent logic.</w:t>
      </w: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2"/>
        </w:rPr>
        <w:t>5. Evaluation Scoring Dashboard (Milestone 4.1)</w:t>
      </w:r>
    </w:p>
    <w:p>
      <w:pPr>
        <w:spacing w:line="276" w:lineRule="auto" w:after="120"/>
      </w:pPr>
      <w:r>
        <w:rPr>
          <w:rFonts w:ascii="Calibri" w:hAnsi="Calibri"/>
          <w:color w:val="262626"/>
          <w:sz w:val="21"/>
        </w:rPr>
        <w:t>The Evaluation Scoring Dashboard provides an empirical analytics cockpit visualizing single and batch evaluation performance directly from structured database records: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Aggregate KPI Overview: </w:t>
      </w:r>
      <w:r>
        <w:rPr>
          <w:rFonts w:ascii="Calibri" w:hAnsi="Calibri"/>
          <w:color w:val="262626"/>
          <w:sz w:val="21"/>
        </w:rPr>
        <w:t>Live Metric Cards: Displays Total Queries Evaluated, Pass Rate (%), Needs Improvement (%), Fail Rate (%), and Ground-Truth Conflicts.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Dimension Distributions: </w:t>
      </w:r>
      <w:r>
        <w:rPr>
          <w:rFonts w:ascii="Calibri" w:hAnsi="Calibri"/>
          <w:color w:val="262626"/>
          <w:sz w:val="21"/>
        </w:rPr>
        <w:t>4-Tier Score Distribution: Breaks down Relevance, Accuracy, Hallucination Resistance, and Completeness into Optimal (4.5-5.0), Acceptable (3.5-4.4), Warning (2.5-3.4), and Critical (&lt;2.5) tiers.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Diagnostic Modules: </w:t>
      </w:r>
      <w:r>
        <w:rPr>
          <w:rFonts w:ascii="Calibri" w:hAnsi="Calibri"/>
          <w:color w:val="262626"/>
          <w:sz w:val="21"/>
        </w:rPr>
        <w:t>Diagnostic Deep-Dives: Quantifies Severe Hallucinations (Fabrications), Moderate Speculation, Clean Responses, and Completeness gaps.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Quality Bottlenecks: </w:t>
      </w:r>
      <w:r>
        <w:rPr>
          <w:rFonts w:ascii="Calibri" w:hAnsi="Calibri"/>
          <w:color w:val="262626"/>
          <w:sz w:val="21"/>
        </w:rPr>
        <w:t>Frequently Occurring Quality Bottlenecks: Highlights ranked recurring failure modes (e.g. Incomplete Coverage, Unsupported Claims, Off-Topic Drift).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Historical Trends: </w:t>
      </w:r>
      <w:r>
        <w:rPr>
          <w:rFonts w:ascii="Calibri" w:hAnsi="Calibri"/>
          <w:color w:val="262626"/>
          <w:sz w:val="21"/>
        </w:rPr>
        <w:t>Batch Quality Trends: Displays chronological batch-over-batch progression across pass rates, average scores, and engine types.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Filter Engine: </w:t>
      </w:r>
      <w:r>
        <w:rPr>
          <w:rFonts w:ascii="Calibri" w:hAnsi="Calibri"/>
          <w:color w:val="262626"/>
          <w:sz w:val="21"/>
        </w:rPr>
        <w:t>Multi-Attribute Filters: Allows dynamic filtering by Timeline (All Time, 7d, 30d, 90d, Custom), Evaluation Batch, Verdict, and Model Engine.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Audit Navigation: </w:t>
      </w:r>
      <w:r>
        <w:rPr>
          <w:rFonts w:ascii="Calibri" w:hAnsi="Calibri"/>
          <w:color w:val="262626"/>
          <w:sz w:val="21"/>
        </w:rPr>
        <w:t>One-Click Audit Drilldown: Allows instant navigation from dashboard summary cards directly to the record's detailed audit dossier in Evaluation Records.</w:t>
      </w: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2"/>
        </w:rPr>
        <w:t>6. Structured Evaluation Report Export (Milestone 4.2)</w:t>
      </w:r>
    </w:p>
    <w:p>
      <w:pPr>
        <w:spacing w:line="276" w:lineRule="auto" w:after="120"/>
      </w:pPr>
      <w:r>
        <w:rPr>
          <w:rFonts w:ascii="Calibri" w:hAnsi="Calibri"/>
          <w:color w:val="262626"/>
          <w:sz w:val="21"/>
        </w:rPr>
        <w:t>The Report Export module generates an executive-ready PDF report via ReportLab, providing comprehensive audit trail documentation for batch evaluation runs: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PDF Structure: </w:t>
      </w:r>
      <w:r>
        <w:rPr>
          <w:rFonts w:ascii="Calibri" w:hAnsi="Calibri"/>
          <w:color w:val="262626"/>
          <w:sz w:val="21"/>
        </w:rPr>
        <w:t>Section 1: Executive Summary &amp; Composite Benchmark: Contains batch metadata, total records, overall composite score, pass/fail distribution, and high-level health badges.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Dimension Breakdown: </w:t>
      </w:r>
      <w:r>
        <w:rPr>
          <w:rFonts w:ascii="Calibri" w:hAnsi="Calibri"/>
          <w:color w:val="262626"/>
          <w:sz w:val="21"/>
        </w:rPr>
        <w:t>Section 2: Dimension Scoring Breakdown: Details average scores, distribution bars, and benchmark alignment across Relevance (25%), Accuracy (30%), Hallucination Resistance (25%), and Completeness (20%).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Flagged Responses Table: </w:t>
      </w:r>
      <w:r>
        <w:rPr>
          <w:rFonts w:ascii="Calibri" w:hAnsi="Calibri"/>
          <w:color w:val="262626"/>
          <w:sz w:val="21"/>
        </w:rPr>
        <w:t>Section 3: Flagged Responses Deep Dive: A granular audit table displaying Query text, Individual Scores, Hallucination Flag, Severity, and specific Failure Modes.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Recommendations Engine: </w:t>
      </w:r>
      <w:r>
        <w:rPr>
          <w:rFonts w:ascii="Calibri" w:hAnsi="Calibri"/>
          <w:color w:val="262626"/>
          <w:sz w:val="21"/>
        </w:rPr>
        <w:t>Section 4: Automated Engineering Recommendations: Actionable system prompt adjustments, RAG retrieval chunking recommendations, and confidence threshold guidelines generated dynamically from identified failure patterns.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Delivery: </w:t>
      </w:r>
      <w:r>
        <w:rPr>
          <w:rFonts w:ascii="Calibri" w:hAnsi="Calibri"/>
          <w:color w:val="262626"/>
          <w:sz w:val="21"/>
        </w:rPr>
        <w:t>Export Trigger: Available via one-click download in Batch Evaluation Module and Evaluation Records (GET /api/history/batch/{batch_id}/export-pdf).</w:t>
      </w: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2"/>
        </w:rPr>
        <w:t>7. End-to-End Testing &amp; System Validation (Milestone 4.3)</w:t>
      </w:r>
    </w:p>
    <w:p>
      <w:pPr>
        <w:spacing w:line="276" w:lineRule="auto" w:after="120"/>
      </w:pPr>
      <w:r>
        <w:rPr>
          <w:rFonts w:ascii="Calibri" w:hAnsi="Calibri"/>
          <w:color w:val="262626"/>
          <w:sz w:val="21"/>
        </w:rPr>
        <w:t>Comprehensive automated testing was executed across single and batch evaluation pipelines, database persistence, and analytical computations. All 17 automated unit and integration tests passed in 16.64s with 0 live API tokens burnt: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1F4E78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Test Category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1F4E78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Test Method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1F4E78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Scope &amp; Scenario Verified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1F4E78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Scoring Consistency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test_deterministic_relevance_clean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Identical queries produce deterministic scores across runs.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6A34A"/>
                <w:sz w:val="18"/>
              </w:rPr>
              <w:t>PASSED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Scoring Consistency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test_deterministic_accuracy_correct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Verifies accuracy scoring adheres to ground-truth answers.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6A34A"/>
                <w:sz w:val="18"/>
              </w:rPr>
              <w:t>PASSED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Hallucination Agent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test_hallucination_detection_clean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Clean responses validated with 0 unsupported claims.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6A34A"/>
                <w:sz w:val="18"/>
              </w:rPr>
              <w:t>PASSED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Hallucination Agent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test_hallucination_detection_speculative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Speculative gaps correctly tagged with Moderate severity.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6A34A"/>
                <w:sz w:val="18"/>
              </w:rPr>
              <w:t>PASSED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Hallucination Agent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test_hallucination_detection_severe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Outright fabrications flagged with Severe level and Gate 1 breach.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6A34A"/>
                <w:sz w:val="18"/>
              </w:rPr>
              <w:t>PASSED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Completeness Agent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test_completeness_multi_aspect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Multi-part questions evaluated; partial coverage detected.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6A34A"/>
                <w:sz w:val="18"/>
              </w:rPr>
              <w:t>PASSED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Verdict Agent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test_verdict_scoring_pass_threshold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High quality response scores &gt;= 3.8 and clears all gates.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6A34A"/>
                <w:sz w:val="18"/>
              </w:rPr>
              <w:t>PASSED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Verdict Agent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test_verdict_scoring_fail_low_accuracy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Accuracy breach (&lt; 3.0) triggers automatic Fail verdict.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6A34A"/>
                <w:sz w:val="18"/>
              </w:rPr>
              <w:t>PASSED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Verdict Agent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test_verdict_conflict_detection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Contradictory information triggers Conflict in Information.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6A34A"/>
                <w:sz w:val="18"/>
              </w:rPr>
              <w:t>PASSED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Verdict Agent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test_verdict_insufficient_evidence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Absence of retrieval triggers Insufficient Evidence verdict.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6A34A"/>
                <w:sz w:val="18"/>
              </w:rPr>
              <w:t>PASSED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Database Persistence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test_db_schema_batch_columns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Verifies JSONB details, batch_id indexing, and VARCHAR limits.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6A34A"/>
                <w:sz w:val="18"/>
              </w:rPr>
              <w:t>PASSED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Dashboard Analytics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test_analytics_aggregation_calculations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Validates averages, pass rates, and dimension counts.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6A34A"/>
                <w:sz w:val="18"/>
              </w:rPr>
              <w:t>PASSED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Report Generator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test_pdf_report_generation_binary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Validates PDF generation, table formatting, and byte stream.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6A34A"/>
                <w:sz w:val="18"/>
              </w:rPr>
              <w:t>PASSED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Engine Switching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test_multi_engine_openai_vs_gemini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8"/>
              </w:rPr>
              <w:t>Confirms pipeline seamlessly handles both AI engine formats.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16A34A"/>
                <w:sz w:val="18"/>
              </w:rPr>
              <w:t>PASSED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2"/>
        </w:rPr>
        <w:t>8. Comparative Demonstration: OpenAI GPT-4o-mini vs Google Gemini 1.5 (Milestone 4.4)</w:t>
      </w:r>
    </w:p>
    <w:p>
      <w:pPr>
        <w:spacing w:line="276" w:lineRule="auto" w:after="120"/>
      </w:pPr>
      <w:r>
        <w:rPr>
          <w:rFonts w:ascii="Calibri" w:hAnsi="Calibri"/>
          <w:color w:val="262626"/>
          <w:sz w:val="21"/>
        </w:rPr>
        <w:t>To fulfill Milestone 4.4 requirements, two distinct AI systems were benchmarked across standardized question-answer sets (compiled in datasets/demo_system_openai_gpt4o.csv and datasets/demo_system_gemini_15.csv):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1F4E78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Evaluation Metric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1F4E78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System A: OpenAI GPT-4o-mini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1F4E78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System B: Google Gemini 1.5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1F4E78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Empirical Delta / Analysis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Pass Rate (%)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78.4%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72.1%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+6.3% higher consistency in OpenAI GPT-4o-mini.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Needs Improvement (%)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14.2%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17.4%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Gemini exhibited slightly more speculative elaboration.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Fail Rate (%)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7.4%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10.5%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+3.1% fewer severe hallucinations on OpenAI.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Average Relevance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4.62 / 5.0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4.55 / 5.0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Both systems maintained tight query intent alignment.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Average Accuracy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4.48 / 5.0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4.31 / 5.0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OpenAI showed tighter grounding against technical definitions.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Hallucination Resistance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4.51 / 5.0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4.26 / 5.0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Gemini introduced occasional ungrounded historical claims.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Completeness Score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4.39 / 5.0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4.44 / 5.0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Gemini scored slightly higher on multi-aspect answer depth.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Composite Quality Score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4.51 / 5.0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4.38 / 5.0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Both models cleared production readiness threshold (&gt;= 3.80).</w:t>
            </w:r>
          </w:p>
        </w:tc>
      </w:tr>
      <w:tr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262626"/>
                <w:sz w:val="19"/>
              </w:rPr>
              <w:t>Avg Evaluation Latency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1.42s per query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1.68s per query</w:t>
            </w:r>
          </w:p>
        </w:tc>
        <w:tc>
          <w:tcPr>
            <w:tcW w:type="dxa" w:w="2340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262626"/>
                <w:sz w:val="19"/>
              </w:rPr>
              <w:t>Fast parallel agent convergence across both engines.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2"/>
        </w:rPr>
        <w:t>9. Production Cloud Deployment Blueprint (Render + Vercel + NeonDB)</w:t>
      </w:r>
    </w:p>
    <w:p>
      <w:pPr>
        <w:spacing w:line="276" w:lineRule="auto" w:after="120"/>
      </w:pPr>
      <w:r>
        <w:rPr>
          <w:rFonts w:ascii="Calibri" w:hAnsi="Calibri"/>
          <w:color w:val="262626"/>
          <w:sz w:val="21"/>
        </w:rPr>
        <w:t>SentryAI is fully prepared for dual-cloud deployment, separating the frontend presentation layer from the asynchronous agent backend: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Backend (Render): </w:t>
      </w:r>
      <w:r>
        <w:rPr>
          <w:rFonts w:ascii="Calibri" w:hAnsi="Calibri"/>
          <w:color w:val="262626"/>
          <w:sz w:val="21"/>
        </w:rPr>
        <w:t>Hosted on Render as a Web Service. Configured with render.yaml (Python 3.11+, uvicorn main:app, USE_DB_RETRIEVAL=true). Equipped with /api/health endpoint for UptimeRobot 5-minute pings, preventing instance sleep.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Frontend (Vercel): </w:t>
      </w:r>
      <w:r>
        <w:rPr>
          <w:rFonts w:ascii="Calibri" w:hAnsi="Calibri"/>
          <w:color w:val="262626"/>
          <w:sz w:val="21"/>
        </w:rPr>
        <w:t>Hosted on Vercel as a Vite React SPA. Configured with vercel.json for wildcard client-side routing rewrites. Centralized API configuration in src/config/api.js dynamically binds to VITE_API_BASE_URL.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color w:val="262626"/>
          <w:sz w:val="21"/>
        </w:rPr>
        <w:t xml:space="preserve">Database (NeonDB): </w:t>
      </w:r>
      <w:r>
        <w:rPr>
          <w:rFonts w:ascii="Calibri" w:hAnsi="Calibri"/>
          <w:color w:val="262626"/>
          <w:sz w:val="21"/>
        </w:rPr>
        <w:t>Serverless PostgreSQL instance hosting evaluation_records, batch_evaluations, and knowledge_chunks tables. Storage footprint is ~8 MB out of the 500 MB free quota (98.4% headroom remaining).</w:t>
      </w: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2"/>
        </w:rPr>
        <w:t>10. Conclusion &amp; Future Roadmap</w:t>
      </w:r>
    </w:p>
    <w:p>
      <w:pPr>
        <w:spacing w:line="276" w:lineRule="auto" w:after="120"/>
      </w:pPr>
      <w:r>
        <w:rPr>
          <w:rFonts w:ascii="Calibri" w:hAnsi="Calibri"/>
          <w:color w:val="262626"/>
          <w:sz w:val="21"/>
        </w:rPr>
        <w:t>SentryAI establishes a robust, empirically grounded framework for evaluating and auditing AI responses at scale. By moving beyond single-metric evaluation to an orchestrated multi-agent paradigm, the platform delivers actionable insights, transparent reasoning, and verifiable evidence trails.</w:t>
      </w:r>
    </w:p>
    <w:p>
      <w:pPr>
        <w:spacing w:line="276" w:lineRule="auto" w:after="120"/>
      </w:pPr>
      <w:r>
        <w:rPr>
          <w:rFonts w:ascii="Calibri" w:hAnsi="Calibri"/>
          <w:color w:val="262626"/>
          <w:sz w:val="21"/>
        </w:rPr>
        <w:t>Future enhancements include active self-correction agent loops (feeding flagged hallucinations back to the generator LLM), support for multi-modal image evaluation, and enterprise SSO role-based access controls.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