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Solo Developer's Edge in Automated Foreign Exchange Trading: A First-Principles Analysis of Quantitative AI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endeavor to build a fully automated, consistently profitable algorithmic foreign exchange (Forex) trading system as an independent software developer is one of the most formidable challenges in quantitative finance. The retail algorithmic trading landscape is dominated by catastrophic failures resulting from a profound misunderstanding of market microstructure, statistical validation, and risk management.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whether a solo developer can realistically generate consistent long-term profits, this report analyzes the problem from first principles. It challenges prevailing assumptions about machine learning in finance, examines the insurmountable structural advantages of institutional hedge funds, and identifies the highly specific, capacity-constrained niches where an agile, independent quantitative developer can theoretically extract alpha.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Reality of Forex Market Microstructure and Institutional Dominance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constructing statistical models, one must establish a rigorous understanding of the environment in which those models will execute. The foreign exchange market is a decentralized, over-the-counter (OTC) network devoid of a single consolidated tape. This fragmentation creates inherent latency and pricing discrepancies across different liquidity pools.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Retail High-Frequency Trading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ubiquitous failure mode for solo developers is attempting to engineer latency-sensitive strategies, such as statistical arbitrage or high-frequency market making. Institutional participants operate with nanosecond execution infrastructure, co-located servers, field-programmable gate arrays (FPGAs), direct cross-connects to Electronic Communication Networks (ECNs), and tiered prime brokerage relationships.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institutional liquidity providers utilize a controversial trade acceptance protocol known as "Last Look." Last Look grants the liquidity provider the option to accept or reject a trade within a specified window (typically 10 to 50 milliseconds) after receiving the execution request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instances of "Asymmetric Last Look," liquidity providers accept trades when the price moves in their favor during the latency window but reject them when the price moves against them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a solo developer operating through retail brokers or aggregators, this asymmetry causes severe execution slippage, transforming theoretically profitable high-frequency signals into guaranteed capital bleeds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indicates that a solo developer cannot compete on speed. Any strategy relying on holding periods of milliseconds to minutes will be annihilated by transaction costs, asymmetric slippage, and Last Look rejections.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Constraints and the Retail Broker Trap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developers must also navigate severe regulatory constraints that institutions handle via prime-of-prime relationships. Retail developers are often tempted by offshore, unregulated brokers offering extreme leverage (e.g., 500:1) to maximize the capital efficiency of their models. However, regulatory bodies aggressively target these platforms. For example, the Reserve Bank of India (RBI) routinely issues alert lists of unauthorized forex entities and electronic trading platforms operating in violation of the Foreign Exchange Management Act (FEMA)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Trading on unauthorized platforms exposes the developer to the risk of frozen bank accounts, the inability to repatriate profits, and severe legal penalties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professional proprietary trading business must route execution through highly regulated, prime-of-prime brokerages using the Financial Information eXchange (FIX) protocol, accepting the lower leverage constraints as a necessary cost of operational security.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Genuine Edge of the Independent Developer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latency and raw computational power belong to institutions, the solo developer must compete on agility and capacity constraints. Large hedge funds managing billions of dollars face a scaling problem; they cannot deploy capital into strategies that yield limited absolute returns (e.g., a strategy with a maximum capacity of $500,000 per year) because the market impact of their massive position sizing would destroy the alpha. A solo developer trading a highly specific regime-based anomaly on lower liquidity pairs faces no such capacity constraints. The theoretical edge for the independent quant lies in mid-frequency trading—where holding periods span from hours to weeks. In this horizon, the signal-to-noise ratio is relatively higher, and the transaction cost drag is minimized.</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in Quantitative Finance: Distinguishing Edge from Hype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open-source machine learning frameworks has led to an influx of retail traders applying Long Short-Term Memory (LSTM) networks or Convolutional Neural Networks (CNNs) directly to raw price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approach invariably fails in live markets.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Exchangeability Problem and Market Non-Stationarity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machine learning algorithms rely on the assumption that data is Independent and Identically Distributed (IID). Time series data inherently violates the fundamental assumption of exchangeability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Financial markets are profoundly non-stationary; their statistical properties, such as mean and variance, shift unpredictably due to changing macroeconomic regimes, central bank interventions, and geopolitical events. When standard deep learning models are fed non-stationary raw prices, they memorize the noise of the training regime rather than learning invariant causal structures. Empirical evidence demonstrates that complex neural networks with thousands of parameters suffer from decreased interpretability, high computation times, and frequently underperform simpler linear models when predicting noisy mid-price movements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Artificial Intelligence is Marketing Hype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predict the exact closing price or directional movement of a currency pair </w:t>
      </w:r>
      <w:r w:rsidDel="00000000" w:rsidR="00000000" w:rsidRPr="00000000">
        <w:rPr>
          <w:rFonts w:ascii="Google Sans" w:cs="Google Sans" w:eastAsia="Google Sans" w:hAnsi="Google Sans"/>
          <w:color w:val="1f1f1f"/>
        </w:rPr>
        <w:drawing>
          <wp:inline distB="19050" distT="19050" distL="19050" distR="19050">
            <wp:extent cx="408310" cy="24688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8310" cy="24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steps ahead using off-the-shelf Deep Learning (LSTMs or Vanilla RNNs) is a futile exercise. The signal-to-noise ratio in financial data is notoriously low. Furthermore, the concept of deploying Multi-Agent Systems or Autonomous Trading Agents that learn purely from interaction with a live market environment is highly experimental. While multi-agent reinforcement learning is useful for simulating market microstructure and liquidity crashes in academic environments, allowing autonomous agents to trade live capital without strict deterministic bounds is mathematically reckless and represents marketing hype rather than a viable solo strategy.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Machine Learning Provides a Genuine Edge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direct price prediction is a dead end, machine learning is successfully utilized by institutional quants in several highly specific auxiliary roles.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area is Meta-Labeling. Popularized by Marcos Lopez de Prado, meta-labeling utilizes a primary algorithmic model (such as a simple moving average crossover or momentum rule) to generate initial trading signals indicating a long, short, or neutral stance. A secondary machine learning model, often a tree-based ensemble like XGBoost or a Random Forest, is then trained purely to predict whether the primary signal will be successful or not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architecture isolates the machine learning model from the impossible task of predicting market direction, focusing it entirely on sizing the bet and filtering out false positives during unfavorable market regimes.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area involves Fractional Differentiation. To make time series stationary for machine learning models without destroying all their memory—which is what integer differencing, like standard daily returns, does—fractional differentiation allows the preservation of long-term memory while passing standard stationarity tests (such as the Augmented Dickey-Fuller test)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provides the machine learning model with a stationary feature space that still retains the structural memory of the asset's price history.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viable application is Conformal Prediction for Uncertainty Quantification. Conformal prediction provides a distribution-free framework to generate prediction intervals with rigorous theoretical guarantees, regardless of the underlying model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quantitative trading, instead of asking a neural network for a point prediction, conformal prediction generates a calibrated interval that is guaranteed to contain the true value with a user-specified probability (e.g., 95%). If the predicted interval is excessively wide, the system detects high uncertainty and skips the trade, effectively managing risk dynamically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area is the use of Temporal Fusion Transformers (TFT). For multi-horizon time series forecasting, TFTs combine LSTM layers with self-attention mechanisms to handle static covariates, known future inputs, and unknown future inputs. Empirical evidence suggests TFTs are highly competitive against tree-based ensembles for specific time-series tasks, offering interpretable attention weights that identify which past time steps are driving the current prediction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Reinforcement Learning (RL) and Evolutionary Algorithms show limited but specific utility. Deep Reinforcement Learning (DRL) algorithms like Proximal Policy Optimization (PPO) struggle with non-stationary environments, but when combined with wavelet transforms to denoise the input data, they have shown improvements in managing drawdowns compared to standard models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Evolutionary algorithms, such as genetic algorithms used to optimize technical rules, can maximize specific risk-adjusted metrics like the Sterling ratio, but they pose a massive risk of overfitting if not validated properly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Objective Evaluation of Machine Learning Techniques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Applicability to Automated FX</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Utility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 and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Ensemble Models (XGBoost / LightGBM)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Meta-labeling, feature selection, and regime classification. Highly robust to overfitting when cross-validated correctly. Excellent computational efficiency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Conformal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statistically rigorous confidence intervals around predictions to dynamically adjust position sizing or abstain from trading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Fusion Transformers (TFT)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Multi-horizon volatility forecasting; capturing complex temporal dynamics. Computationally expensive and complex to tune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Bayesian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Hyperparameter tuning. Dramatically more efficient than grid search, building a probabilistic model of the objective function to find optimal parameters with fewer iterations.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Learning (LSTMs / RNNs)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Prone to overfitting on noise. Computationally expensive with low interpretability. Generally unsuitable for raw price prediction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Reinforcement Learning (PPO, DQN)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Difficult to stabilize in non-stationary markets. Best used for execution optimization (minimizing slippage) rather than directional trading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Explainable AI (XAI / SHAP)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interpreting black-box models. SHAP values allow the developer to understand which macroeconomic or microstructural features are driving predictions.</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Strategies and Exploitable Inefficiencies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solo developer must operate strategies that capitalize on behavioral biases or structural risk premia that institutions are too slow, too constrained, or unwilling to exploit. The research indicates several areas where inefficiencies remain, as well as areas that are thoroughly obsolete for retail participants.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Currency Momentum (Time-Series and Cross-Sectional)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Momentum remains one of the most robustly documented anomalies in financial markets. Time Series Momentum (TSMOM) dictates that an asset's past 1-to-12-month return positively predicts its future return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Comprehensive studies across liquid instruments have demonstrated substantial abnormal returns with little exposure to standard risk factors, driven largely by the slow diffusion of information, speculator positioning, and hedger capitulation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Cross-sectional currency momentum—buying a basket of past winner currencies and shorting a basket of past loser currencies—yields significant excess returns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this strategy contains hidden risks. The profitability is heavily driven by emerging market currencies, which carry significantly higher bid-ask spreads and liquidity risks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Consequently, momentum returns are highly sensitive to transaction costs. A solo developer can build an automated portfolio execution system that optimizes for transaction costs across a wide basket of pairs, weighting momentum based on macroeconomic data rather than pure price action to avoid limits to arbitrage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Unconditional Carry and Global Risk Factors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carry trade involves borrowing in low-interest-rate currencies and investing in high-interest-rate currencies, exploiting systematic deviations from Uncovered Interest Rate Parity (UIP)</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Foundational asset pricing models demonstrate that currency returns are heavily driven by a global "carry" factor and a "dollar" factor, alongside output-gap factors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carry trades are often described as picking up pennies in front of a steamroller. They exhibit high negative skewness and suffer catastrophic drawdowns during global liquidity crises as investors rapidly unwind positions and flee to safe-haven currencies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empirical research shows a downward-sloping term structure of carry trade risk premia; as the maturity of the underlying bonds increases, the predictability and excess returns of the carry trade decline toward zero</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a solo developer, raw carry is a dangerous strategy unless heavily augmented with options-implied volatility data or dynamic hedging to exit positions entirely when global risk-aversion spikes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 Toxicity and Order Book Imbalance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retail traders cannot directly see institutional order books, they can estimate the toxicity of the overall market flow. The Volume-Synchronized Probability of Informed Trading (VPIN) metric, developed by Easley, Lopez de Prado, and O'Hara, provides an analytical procedure to estimate order flow toxicity based on volume imbalance and trade intensity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VPIN does not rely on chronological time but operates in volume-time, updating in stochastic intervals that contain equal volumes of trades.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VPIN spikes, it indicates that informed traders are overwhelming market makers, leading to adverse selection. This toxicity buildup frequently precedes massive short-term volatility and liquidity crashes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While a solo developer cannot use VPIN for high-frequency arbitrage, it serves as a phenomenally robust structural risk-management overlay. If order flow toxicity reaches critical levels, the automated system can be programmed to pull all pending limit orders, halt mean-reversion strategies, and wait until market depth normalizes, thereby avoiding the catastrophic drawdowns that wipe out traditional retail bots.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Obsolete Strategies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Arbitrage based purely on sub-second price discrepancies across correlated pairs (e.g., EUR/USD vs. GBP/USD) is completely obsolete for solo developers. Institutional High-Frequency Trading (HFT) algorithms operating on FPGAs correct these inefficiencies in microseconds. Any retail system attempting this will execute exclusively on phantom quotes and suffer massive slippage.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Quantitative Approaches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objectively determine the best path forward, the following table compares various algorithmic approaches across critical dimensions relevant to a solo developer.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 Approach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Profitability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Robustness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 Time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Requirements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Suitability for Solo Dev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Arbitrage (HFT)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(Theoretical)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(Co-location, FPGA)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Infinite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w:t>
            </w:r>
            <w:r w:rsidDel="00000000" w:rsidR="00000000" w:rsidRPr="00000000">
              <w:rPr>
                <w:rFonts w:ascii="Google Sans" w:cs="Google Sans" w:eastAsia="Google Sans" w:hAnsi="Google Sans"/>
                <w:color w:val="1f1f1f"/>
                <w:rtl w:val="0"/>
              </w:rPr>
              <w:t xml:space="preserve">. Institutions possess an insurmountable latency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Cross-Sectional Momentum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Relies on slower macro trends. Can be optimized for transaction costs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Mean Reversion (Mid-Frequency)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Highly susceptible to regime shifts; requires strict VPIN/toxicity overlays to avoid wipeouts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Macro-Conditioned Carry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(Fat 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(Margin)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Low/Medium</w:t>
            </w:r>
            <w:r w:rsidDel="00000000" w:rsidR="00000000" w:rsidRPr="00000000">
              <w:rPr>
                <w:rFonts w:ascii="Google Sans" w:cs="Google Sans" w:eastAsia="Google Sans" w:hAnsi="Google Sans"/>
                <w:color w:val="1f1f1f"/>
                <w:rtl w:val="0"/>
              </w:rPr>
              <w:t xml:space="preserve">. High negative skewness. Requires advanced regime detection to avoid liquidity crashes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Meta-Labeled Trend Following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Optimal</w:t>
            </w:r>
            <w:r w:rsidDel="00000000" w:rsidR="00000000" w:rsidRPr="00000000">
              <w:rPr>
                <w:rFonts w:ascii="Google Sans" w:cs="Google Sans" w:eastAsia="Google Sans" w:hAnsi="Google Sans"/>
                <w:color w:val="1f1f1f"/>
                <w:rtl w:val="0"/>
              </w:rPr>
              <w:t xml:space="preserve">. Uses ML safely to filter false positives on traditional momentum signals, avoiding the pitfalls of direct price prediction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Portfolio Construction and Position Sizing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 positive expectancy signals, poor capital allocation will mathematically guarantee ruin. Traditional portfolio optimization, specifically Mean-Variance Optimization (MVO) formulated by Harry Markowitz, is notoriously unstable. MVO requires the inversion of a positive-definite covariance matrix, which heavily amplifies estimation errors and results in highly concentrated, fragile portfolios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Risk Parity (HRP)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instability of MVO, Marcos Lopez de Prado introduced Hierarchical Risk Parity (HRP)</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HRP utilizes graph theory and machine learning to construct a diversified portfolio using only the information embedded in the covariance matrix, without requiring that matrix to be invertible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HRP algorithm operates in three distinct phases:</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Hierarchical Clustering:</w:t>
      </w:r>
      <w:r w:rsidDel="00000000" w:rsidR="00000000" w:rsidRPr="00000000">
        <w:rPr>
          <w:rFonts w:ascii="Google Sans" w:cs="Google Sans" w:eastAsia="Google Sans" w:hAnsi="Google Sans"/>
          <w:color w:val="1f1f1f"/>
          <w:rtl w:val="0"/>
        </w:rPr>
        <w:t xml:space="preserve"> It employs a machine learning clustering technique to group similar assets based on their correlations. This identifies the underlying hierarchical structure of the portfolio, ensuring that errors do not spread through the entire network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Quasi-Diagonalization:</w:t>
      </w:r>
      <w:r w:rsidDel="00000000" w:rsidR="00000000" w:rsidRPr="00000000">
        <w:rPr>
          <w:rFonts w:ascii="Google Sans" w:cs="Google Sans" w:eastAsia="Google Sans" w:hAnsi="Google Sans"/>
          <w:color w:val="1f1f1f"/>
          <w:rtl w:val="0"/>
        </w:rPr>
        <w:t xml:space="preserve"> The covariance matrix is reorganized so that similar investments are placed adjacent to one another, reflecting the hierarchical tree.</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Recursive Bisection:</w:t>
      </w:r>
      <w:r w:rsidDel="00000000" w:rsidR="00000000" w:rsidRPr="00000000">
        <w:rPr>
          <w:rFonts w:ascii="Google Sans" w:cs="Google Sans" w:eastAsia="Google Sans" w:hAnsi="Google Sans"/>
          <w:color w:val="1f1f1f"/>
          <w:rtl w:val="0"/>
        </w:rPr>
        <w:t xml:space="preserve"> The algorithm allocates capital top-down based on inverse variance. Less volatile clusters receive higher weights, and the process iterates recursively until all individual assets are assigned a weight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confirms that HRP generates lower out-of-sample volatility and superior risk-adjusted returns compared to traditional minimum-variance and equal-risk-contribution portfolios, particularly during market downturns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Implementing HRP allows a solo developer to construct a highly resilient portfolio across 20+ currency pairs that naturally protects against sudden correlation spikes.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Backtesting Methodologies and Combating Overfitting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reason retail algorithmic traders lose money is backtest overfitting. By repeatedly tweaking parameters, selecting indicators, and running standard cross-validation, a developer inevitably isolates a strategy that merely memorized the historical noise. This phenomenon is known as selection bias under multiple testing.</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Flaws in Standard Walk-Forward Optimization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walk-forward optimization involves training a model on a moving historical window and testing it on the subsequent unseen window. While superior to standard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cross-validation—which breaks the temporal sequence of financial data and destroys autocorrelation—walk-forward validation possesses a fatal flaw: it evaluates only a </w:t>
      </w:r>
      <w:r w:rsidDel="00000000" w:rsidR="00000000" w:rsidRPr="00000000">
        <w:rPr>
          <w:rFonts w:ascii="Google Sans" w:cs="Google Sans" w:eastAsia="Google Sans" w:hAnsi="Google Sans"/>
          <w:i w:val="1"/>
          <w:iCs w:val="1"/>
          <w:color w:val="1f1f1f"/>
          <w:rtl w:val="0"/>
        </w:rPr>
        <w:t xml:space="preserve">single historical path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It cannot establish the true statistical robustness of a strategy across varying historical sequences, nor can it provide a reliable variance of the out-of-sample performance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Combinatorial Purged Cross-Validation (CPCV)</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simulate thousands of out-of-sample paths without leaking future data, elite quantitative researchers employ Combinatorial Purged Cross-Validation (CPCV)</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CPCV rigorously addresses the temporal dependencies of financial time series through two mechanisms:</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Purging:</w:t>
      </w:r>
      <w:r w:rsidDel="00000000" w:rsidR="00000000" w:rsidRPr="00000000">
        <w:rPr>
          <w:rFonts w:ascii="Google Sans" w:cs="Google Sans" w:eastAsia="Google Sans" w:hAnsi="Google Sans"/>
          <w:color w:val="1f1f1f"/>
          <w:rtl w:val="0"/>
        </w:rPr>
        <w:t xml:space="preserve"> This removes overlapping observations between the training and test sets. If a feature uses a 20-day lookback window, the 20 days prior to the test set must be purged from the training set to prevent look-ahead bias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Embargoing:</w:t>
      </w:r>
      <w:r w:rsidDel="00000000" w:rsidR="00000000" w:rsidRPr="00000000">
        <w:rPr>
          <w:rFonts w:ascii="Google Sans" w:cs="Google Sans" w:eastAsia="Google Sans" w:hAnsi="Google Sans"/>
          <w:color w:val="1f1f1f"/>
          <w:rtl w:val="0"/>
        </w:rPr>
        <w:t xml:space="preserve"> Because financial data exhibits serial correlation, CPCV removes a small window of data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the test set to prevent the model from capturing trailing autocorrelations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applying purging and embargoing, CPCV divides the dataset into </w:t>
      </w:r>
      <w:r w:rsidDel="00000000" w:rsidR="00000000" w:rsidRPr="00000000">
        <w:rPr>
          <w:rFonts w:ascii="Google Sans" w:cs="Google Sans" w:eastAsia="Google Sans" w:hAnsi="Google Sans"/>
          <w:color w:val="1f1f1f"/>
        </w:rPr>
        <w:drawing>
          <wp:inline distB="19050" distT="19050" distL="19050" distR="19050">
            <wp:extent cx="178668" cy="24449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8668" cy="244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sequential, non-overlapping groups, selects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for testing, and uses the remaining </w:t>
      </w:r>
      <w:r w:rsidDel="00000000" w:rsidR="00000000" w:rsidRPr="00000000">
        <w:rPr>
          <w:rFonts w:ascii="Google Sans" w:cs="Google Sans" w:eastAsia="Google Sans" w:hAnsi="Google Sans"/>
          <w:color w:val="1f1f1f"/>
        </w:rPr>
        <w:drawing>
          <wp:inline distB="19050" distT="19050" distL="19050" distR="19050">
            <wp:extent cx="526405" cy="24884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6405" cy="24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groups for training. By systematically constructing all possible combinations of test sets, CPCV generates a distribution of thousands of backtest paths. This reveals the true variance of the strategy's performance, ensuring that success is due to a robust statistical edge rather than luck in a specific market regime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Probabilistic Sharpe Ratio (PSR) and Deflated Sharpe Ratio (DSR)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 Sharpe Ratio assumes that financial returns are normally distributed. However, currency returns exhibit heavy negative skewness and excess kurtosis (fat tails). Assuming normality drastically overestimates the statistical significance of a strategy, leading to a false sense of security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correct this, the </w:t>
      </w:r>
      <w:r w:rsidDel="00000000" w:rsidR="00000000" w:rsidRPr="00000000">
        <w:rPr>
          <w:rFonts w:ascii="Google Sans" w:cs="Google Sans" w:eastAsia="Google Sans" w:hAnsi="Google Sans"/>
          <w:b w:val="1"/>
          <w:bCs w:val="1"/>
          <w:color w:val="1f1f1f"/>
          <w:rtl w:val="0"/>
        </w:rPr>
        <w:t xml:space="preserve">Probabilistic Sharpe Ratio (PSR)</w:t>
      </w:r>
      <w:r w:rsidDel="00000000" w:rsidR="00000000" w:rsidRPr="00000000">
        <w:rPr>
          <w:rFonts w:ascii="Google Sans" w:cs="Google Sans" w:eastAsia="Google Sans" w:hAnsi="Google Sans"/>
          <w:color w:val="1f1f1f"/>
          <w:rtl w:val="0"/>
        </w:rPr>
        <w:t xml:space="preserve"> adjusts the standard error of the Sharpe ratio estimator to account for non-normality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PSR computes the probability that the estimated Sharpe ratio is truly greater than a given benchmark, explicitly incorporating skewness, kurtosis, and sample length</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Deflated Sharpe Ratio (DSR)</w:t>
      </w:r>
      <w:r w:rsidDel="00000000" w:rsidR="00000000" w:rsidRPr="00000000">
        <w:rPr>
          <w:rFonts w:ascii="Google Sans" w:cs="Google Sans" w:eastAsia="Google Sans" w:hAnsi="Google Sans"/>
          <w:color w:val="1f1f1f"/>
          <w:rtl w:val="0"/>
        </w:rPr>
        <w:t xml:space="preserve"> extends this concept to address the multiple testing problem. Every time a developer runs a backtest and rejects a parameter set, they increase the probability of eventually finding a false positive. The DSR elevates the benchmark Sharpe ratio threshold based on the number of backtest trials conducted and the variance of the trials' performance. The more a developer tests different parameters, the higher the DSR threshold becomes, mathematically neutralizing the selection bias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Any automated trading business must strictly invalidate strategies that fail the PSR and DSR tests.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Architecture for Professional-Grade Execution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architectural flaw in retail system design is the lack of semantic parity between the research environment (typically vectorized Python scripts using Pandas) and the live execution environment (often a different compiled language or a retail platform like MetaTrader)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discrepancy introduces fatal execution bugs, as vectorized backtesting code cannot express the granular time-and-event-dependent complexity of live markets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Technology Stack</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ideal architecture for a solo developer requires an event-driven framework where the exact same codebase used for historical backtesting operates the live trading engine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Technology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and Trade-offs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Trading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NautilusTrader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open-source, production-grade engine with a Rust-native core and a Python control plane. It provides nanosecond-resolution event-driven backtesting, custom fill models, slippage tracking, and exact parity between research and live execution environments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Programming Languages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&amp; Rust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provides seamless access to the vast ecosystem of ML frameworks (PyTorch, Scikit-learn, XGBoost). Rust provides deterministic thread safety, memory safety, and the low-latency asynchronous networking required for reliable execution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Streaming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Apache Kafka / Redis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Kafka ensures fault-tolerant, scalable messaging between data ingestion microservices, ML inference pipelines, and the execution engine. Redis serves as a high-speed in-memory state cache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TimescaleDB + Parquet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Parquet files (often managed via a catalog like Arctic) are loaded into memory for high-throughput vectorized ML research. TimescaleDB (PostgreSQL) is optimal for logging execution states, portfolio analytics, and tick-level archiving.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Broker Connectivity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 Protocol APIs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REST APIs are unsuitable due to high latency variance and rate limits. The FIX protocol provides deterministic, institutional-grade routing and order state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Cloud &amp; MLOps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Docker, Kubernetes, MLflow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Containerization ensures environment consistency across development and production. MLflow tracks model drift, hyperparameter configurations, and dataset versions, enabling a robust AI model lifecycle.</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Data Flow</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Ingestion:</w:t>
      </w:r>
      <w:r w:rsidDel="00000000" w:rsidR="00000000" w:rsidRPr="00000000">
        <w:rPr>
          <w:rFonts w:ascii="Google Sans" w:cs="Google Sans" w:eastAsia="Google Sans" w:hAnsi="Google Sans"/>
          <w:color w:val="1f1f1f"/>
          <w:rtl w:val="0"/>
        </w:rPr>
        <w:t xml:space="preserve"> High-resolution market data (L2 order book, trade ticks) and macroeconomic features are streamed via WebSockets or FIX APIs into the system.</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Feature Engineering Node:</w:t>
      </w:r>
      <w:r w:rsidDel="00000000" w:rsidR="00000000" w:rsidRPr="00000000">
        <w:rPr>
          <w:rFonts w:ascii="Google Sans" w:cs="Google Sans" w:eastAsia="Google Sans" w:hAnsi="Google Sans"/>
          <w:color w:val="1f1f1f"/>
          <w:rtl w:val="0"/>
        </w:rPr>
        <w:t xml:space="preserve"> Computes real-time technical indicators, estimates order flow toxicity (VPIN), and applies fractional differentiation to normalize price streams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Inference Node:</w:t>
      </w:r>
      <w:r w:rsidDel="00000000" w:rsidR="00000000" w:rsidRPr="00000000">
        <w:rPr>
          <w:rFonts w:ascii="Google Sans" w:cs="Google Sans" w:eastAsia="Google Sans" w:hAnsi="Google Sans"/>
          <w:color w:val="1f1f1f"/>
          <w:rtl w:val="0"/>
        </w:rPr>
        <w:t xml:space="preserve"> The pre-trained machine learning model (e.g., an XGBoost meta-labeler) evaluates the state matrix and outputs a probability score. Conformal prediction layers generate uncertainty intervals to validate the signal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Portfolio Node:</w:t>
      </w:r>
      <w:r w:rsidDel="00000000" w:rsidR="00000000" w:rsidRPr="00000000">
        <w:rPr>
          <w:rFonts w:ascii="Google Sans" w:cs="Google Sans" w:eastAsia="Google Sans" w:hAnsi="Google Sans"/>
          <w:color w:val="1f1f1f"/>
          <w:rtl w:val="0"/>
        </w:rPr>
        <w:t xml:space="preserve"> The HRP algorithm assesses current exposures, recalculates covariance allocations across the asset universe, and dictates the precise position size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Execution Node:</w:t>
      </w:r>
      <w:r w:rsidDel="00000000" w:rsidR="00000000" w:rsidRPr="00000000">
        <w:rPr>
          <w:rFonts w:ascii="Google Sans" w:cs="Google Sans" w:eastAsia="Google Sans" w:hAnsi="Google Sans"/>
          <w:color w:val="1f1f1f"/>
          <w:rtl w:val="0"/>
        </w:rPr>
        <w:t xml:space="preserve"> The event-driven Rust engine (NautilusTrader) slices the parent order into optimal child orders (e.g., TWAP or VWAP) and submits them to the prime broker via FIX, continuously managing order state, slippage, and Last Look rejections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Data: Extracting Predictive Value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types of market data utilized define the ceiling of a system's predictive power. Utilizing exclusively daily Open-High-Low-Close (OHLC) data is insufficient for generating consistent alpha in modern markets.</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Tick-Level and Order Book Data:</w:t>
      </w:r>
      <w:r w:rsidDel="00000000" w:rsidR="00000000" w:rsidRPr="00000000">
        <w:rPr>
          <w:rFonts w:ascii="Google Sans" w:cs="Google Sans" w:eastAsia="Google Sans" w:hAnsi="Google Sans"/>
          <w:color w:val="1f1f1f"/>
          <w:rtl w:val="0"/>
        </w:rPr>
        <w:t xml:space="preserve"> Level 2 market-by-price or Level 3 market-by-order data provides a representation of market depth</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data is essential for modeling slippage accurately and calculating toxicity metrics like VPIN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Volume Clocks:</w:t>
      </w:r>
      <w:r w:rsidDel="00000000" w:rsidR="00000000" w:rsidRPr="00000000">
        <w:rPr>
          <w:rFonts w:ascii="Google Sans" w:cs="Google Sans" w:eastAsia="Google Sans" w:hAnsi="Google Sans"/>
          <w:color w:val="1f1f1f"/>
          <w:rtl w:val="0"/>
        </w:rPr>
        <w:t xml:space="preserve"> Processing data in chronological time (e.g., 5-minute bars) introduces statistical noise because market activity is highly heteroskedastic. Elite systems sample data based on volume or dollar-traded thresholds, creating a "volume clock" that normalizes the pace of the market and improves the statistical properties of the features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Macroeconomic and Yield Differentials:</w:t>
      </w:r>
      <w:r w:rsidDel="00000000" w:rsidR="00000000" w:rsidRPr="00000000">
        <w:rPr>
          <w:rFonts w:ascii="Google Sans" w:cs="Google Sans" w:eastAsia="Google Sans" w:hAnsi="Google Sans"/>
          <w:color w:val="1f1f1f"/>
          <w:rtl w:val="0"/>
        </w:rPr>
        <w:t xml:space="preserve"> Currency markets are structurally driven by interest rate differentials and sovereign yield curves. Data on global interest rate volatility, output gaps, and cross-border capital flows provide the fundamental grounding required for medium-frequency momentum and carry models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Deliverables and Brutally Honest Verdict</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Is this Project Worth Pursuing?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 conditionally, but the probability of achieving genuine, long-term consistent profitability as a solo developer is exceptionally low (estimated &lt; 5%).</w:t>
      </w:r>
      <w:r w:rsidDel="00000000" w:rsidR="00000000" w:rsidRPr="00000000">
        <w:rPr>
          <w:rFonts w:ascii="Google Sans" w:cs="Google Sans" w:eastAsia="Google Sans" w:hAnsi="Google Sans"/>
          <w:color w:val="1f1f1f"/>
          <w:rtl w:val="0"/>
        </w:rPr>
        <w:t xml:space="preserve"> The primary barrier to success is not technical capability; a highly competent software architect can build the required infrastructure. The insurmountable barrier for most is psychological discipline and statistical rigor. Solo developers consistently fail because they lack the domain expertise to model transaction costs accurately, they ignore non-normal returns, and they suffer from the delusion that throwing a complex neural network at raw price data will magically conjure alpha. Success requires abandoning the retail mindset and operating with absolute statistical paranoia.</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Single Most Promising Architecture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architecture is an event-driven system built on </w:t>
      </w:r>
      <w:r w:rsidDel="00000000" w:rsidR="00000000" w:rsidRPr="00000000">
        <w:rPr>
          <w:rFonts w:ascii="Google Sans" w:cs="Google Sans" w:eastAsia="Google Sans" w:hAnsi="Google Sans"/>
          <w:b w:val="1"/>
          <w:bCs w:val="1"/>
          <w:color w:val="1f1f1f"/>
          <w:rtl w:val="0"/>
        </w:rPr>
        <w:t xml:space="preserve">NautilusTrader</w:t>
      </w:r>
      <w:r w:rsidDel="00000000" w:rsidR="00000000" w:rsidRPr="00000000">
        <w:rPr>
          <w:rFonts w:ascii="Google Sans" w:cs="Google Sans" w:eastAsia="Google Sans" w:hAnsi="Google Sans"/>
          <w:color w:val="1f1f1f"/>
          <w:rtl w:val="0"/>
        </w:rPr>
        <w:t xml:space="preserve">, leveraging a Rust-native core for execution determinism and a Python control plane for strategy logic</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system must ingest volume-clocked tick data, utilize fractional differentiation for feature stationarity, apply XGBoost for meta-labeling primary signals, use Conformal Prediction for dynamic uncertainty quantification, and allocate capital via Hierarchical Risk Parity.</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Top 5 Strategies with the Highest Probability of Success</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Meta-Labeled Trend Following:</w:t>
      </w:r>
      <w:r w:rsidDel="00000000" w:rsidR="00000000" w:rsidRPr="00000000">
        <w:rPr>
          <w:rFonts w:ascii="Google Sans" w:cs="Google Sans" w:eastAsia="Google Sans" w:hAnsi="Google Sans"/>
          <w:color w:val="1f1f1f"/>
          <w:rtl w:val="0"/>
        </w:rPr>
        <w:t xml:space="preserve"> A primary trend-following rule (e.g., moving average crossovers) filtered by an XGBoost model that restricts trades to favorable macro regimes and low-volatility environments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Macro-Conditioned Cross-Sectional Momentum:</w:t>
      </w:r>
      <w:r w:rsidDel="00000000" w:rsidR="00000000" w:rsidRPr="00000000">
        <w:rPr>
          <w:rFonts w:ascii="Google Sans" w:cs="Google Sans" w:eastAsia="Google Sans" w:hAnsi="Google Sans"/>
          <w:color w:val="1f1f1f"/>
          <w:rtl w:val="0"/>
        </w:rPr>
        <w:t xml:space="preserve"> Buying strong currencies and shorting weak ones across a basket of 20+ pairs, sized via HRP, heavily penalized for transaction costs, and dynamically hedged against the global USD factor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Toxicity-Averse Mean Reversion:</w:t>
      </w:r>
      <w:r w:rsidDel="00000000" w:rsidR="00000000" w:rsidRPr="00000000">
        <w:rPr>
          <w:rFonts w:ascii="Google Sans" w:cs="Google Sans" w:eastAsia="Google Sans" w:hAnsi="Google Sans"/>
          <w:color w:val="1f1f1f"/>
          <w:rtl w:val="0"/>
        </w:rPr>
        <w:t xml:space="preserve"> A mid-frequency mean reversion strategy that strictly halts trading when VPIN (order flow toxicity) spikes, protecting the system from adverse selection and liquidity crashes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Interest Rate Differential (Carry) with Crash Protection:</w:t>
      </w:r>
      <w:r w:rsidDel="00000000" w:rsidR="00000000" w:rsidRPr="00000000">
        <w:rPr>
          <w:rFonts w:ascii="Google Sans" w:cs="Google Sans" w:eastAsia="Google Sans" w:hAnsi="Google Sans"/>
          <w:color w:val="1f1f1f"/>
          <w:rtl w:val="0"/>
        </w:rPr>
        <w:t xml:space="preserve"> A carry strategy augmented with options-implied volatility data to exit positions entirely when global risk-aversion spikes, mitigating the inherent fat-tail risks of carry trades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Regime-Dependent Structural Momentum:</w:t>
      </w:r>
      <w:r w:rsidDel="00000000" w:rsidR="00000000" w:rsidRPr="00000000">
        <w:rPr>
          <w:rFonts w:ascii="Google Sans" w:cs="Google Sans" w:eastAsia="Google Sans" w:hAnsi="Google Sans"/>
          <w:color w:val="1f1f1f"/>
          <w:rtl w:val="0"/>
        </w:rPr>
        <w:t xml:space="preserve"> Utilizing fractional differentiation to feed stationary price structures into a Temporal Fusion Transformer, capturing persistent macro trends over multi-week horizons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Phased Implementation Roadmap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Data Infrastructure &amp; Research Engine (Months 1-6)</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Establish pipelines to ingest historical L2 tick data and macroeconomic indicators.</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Implement standard feature engineering (volume clocks, fractional differentiation).</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Build the CPCV, Probabilistic Sharpe Ratio (PSR), and Deflated Sharpe Ratio (DSR) validation framework to ensure statistical rigor from day one.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Strategy Development &amp; Machine Learning (Months 7-12)</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Develop primary mid-frequency momentum models.</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Train XGBoost meta-labeling models and conformal prediction intervals.</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Implement Hierarchical Risk Parity (HRP) for capital allocation.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Event-Driven Simulation &amp; Execution Parity (Months 13-18)</w:t>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Migrate validated strategies into NautilusTrader.</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Develop custom slippage models that accurately penalize the strategy for bid-ask spreads and Asymmetric Last Look dynamics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Run full event-driven backtests to verify that vectorized research returns match the event-by-event simulation.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Paper Trading &amp; MLOps Integration (Months 19-24)</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the containerized system to cloud infrastructure (AWS/GCP).</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Connect to prime broker FIX APIs and execute in a live paper-trading environment for a minimum of 6 months.</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Validate out-of-sample live performance against the expected CPCV distribution.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Capital Allocation &amp; Live Execution (Year 3)</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Begin live execution with heavily constrained capital.</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Monitor performance degradation (alpha decay) via MLflow and implement automated circuit breakers for catastrophic regime shifts.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Estimated Timeline, Budget, and Infrastructure Requirements</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Timeline:</w:t>
      </w:r>
      <w:r w:rsidDel="00000000" w:rsidR="00000000" w:rsidRPr="00000000">
        <w:rPr>
          <w:rFonts w:ascii="Google Sans" w:cs="Google Sans" w:eastAsia="Google Sans" w:hAnsi="Google Sans"/>
          <w:color w:val="1f1f1f"/>
          <w:rtl w:val="0"/>
        </w:rPr>
        <w:t xml:space="preserve"> 18 to 36 months of continuous development before committing live capital.</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Budget:</w:t>
      </w:r>
      <w:r w:rsidDel="00000000" w:rsidR="00000000" w:rsidRPr="00000000">
        <w:rPr>
          <w:rFonts w:ascii="Google Sans" w:cs="Google Sans" w:eastAsia="Google Sans" w:hAnsi="Google Sans"/>
          <w:color w:val="1f1f1f"/>
          <w:rtl w:val="0"/>
        </w:rPr>
        <w:t xml:space="preserve"> $15,000 to $30,000 annually. This includes institutional-grade historical tick data (e.g., Databento, TickData), cloud computing costs (Kubernetes clusters, GPU instances for ML training), and prime-of-prime broker connectivity fees.</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Learning Curve:</w:t>
      </w:r>
      <w:r w:rsidDel="00000000" w:rsidR="00000000" w:rsidRPr="00000000">
        <w:rPr>
          <w:rFonts w:ascii="Google Sans" w:cs="Google Sans" w:eastAsia="Google Sans" w:hAnsi="Google Sans"/>
          <w:color w:val="1f1f1f"/>
          <w:rtl w:val="0"/>
        </w:rPr>
        <w:t xml:space="preserve"> Extremely steep. Requires mastering quantitative finance literature (e.g., Lopez de Prado), advanced statistics, Rust programming, and market microstructure.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Clear Success Metrics and Validation Checkpoints</w:t>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Checkpoint 1:</w:t>
      </w:r>
      <w:r w:rsidDel="00000000" w:rsidR="00000000" w:rsidRPr="00000000">
        <w:rPr>
          <w:rFonts w:ascii="Google Sans" w:cs="Google Sans" w:eastAsia="Google Sans" w:hAnsi="Google Sans"/>
          <w:color w:val="1f1f1f"/>
          <w:rtl w:val="0"/>
        </w:rPr>
        <w:t xml:space="preserve"> The strategy passes Combinatorial Purged Cross-Validation with a Deflated Sharpe Ratio above the calculated critical threshold, proving it is not a statistical fluke.</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Checkpoint 2:</w:t>
      </w:r>
      <w:r w:rsidDel="00000000" w:rsidR="00000000" w:rsidRPr="00000000">
        <w:rPr>
          <w:rFonts w:ascii="Google Sans" w:cs="Google Sans" w:eastAsia="Google Sans" w:hAnsi="Google Sans"/>
          <w:color w:val="1f1f1f"/>
          <w:rtl w:val="0"/>
        </w:rPr>
        <w:t xml:space="preserve"> The event-driven backtest (NautilusTrader) yields a PSR &gt; 0.95 after incorporating pessimistic slippage and commission models.</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Checkpoint 3:</w:t>
      </w:r>
      <w:r w:rsidDel="00000000" w:rsidR="00000000" w:rsidRPr="00000000">
        <w:rPr>
          <w:rFonts w:ascii="Google Sans" w:cs="Google Sans" w:eastAsia="Google Sans" w:hAnsi="Google Sans"/>
          <w:color w:val="1f1f1f"/>
          <w:rtl w:val="0"/>
        </w:rPr>
        <w:t xml:space="preserve"> 6 months of live paper trading yields a return distribution that falls strictly within the 95% confidence interval predicted by the CPCV backtest.</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Biggest Risks and Mitigations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Factor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 of Failure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Leakage in Backtesting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Overlapping training/test sets cause the model to learn from the future.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adherence to Combinatorial Purged Cross-Validation (CPCV) with purging and embargoing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Transaction Cost Underestimation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Ignoring Asymmetric Last Look, spread widening during rollovers, and exchange fees.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latency delays in the event-driven engine and heavily penalize backtests with conservative slippage models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Decay (Non-Stationarity)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models have a half-life; regimes shift, rendering historical patterns obsolete.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a robust MLOps pipeline for continuous re-training and deploy Conformal Prediction to scale down positions when uncertainty rises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Interventions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retail brokers offering 500:1 leverage often leads to blocked funds or FEMA violations.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Route execution strictly through regulated prime-of-prime brokerages via FIX APIs, adhering to local capital controls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The Final Verdict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fully automated, consistently profitable Forex trading system as a solo developer is technically possible but statistically improbable. The market is an adversarial environment designed to extract capital from the uninformed. A solo developer cannot compete on speed, latency, or raw computational brute force; institutional firms possess an insurmountable advantage in these domains.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survive, the independent developer must operate exclusively in capacity-constrained niches, utilizing mid-frequency holding periods. They must abandon direct price prediction in favor of meta-labeling and risk management frameworks like Hierarchical Risk Parity. Most importantly, the entire enterprise rests on the foundation of rigorous statistical validation. Only by subjecting strategies to Combinatorial Purged Cross-Validation and the Deflated Sharpe Ratio can a solo developer separate genuine edge from the illusion of overfitted noise, thereby achieving the highest realistic probability of long-term profitability.</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Forex Liquidity Provider: What You Need to Know in 2026, </w:t>
      </w:r>
      <w:hyperlink r:id="rId10">
        <w:r w:rsidDel="00000000" w:rsidR="00000000" w:rsidRPr="00000000">
          <w:rPr>
            <w:rFonts w:ascii="Google Sans" w:cs="Google Sans" w:eastAsia="Google Sans" w:hAnsi="Google Sans"/>
            <w:color w:val="0000ee"/>
            <w:sz w:val="24"/>
            <w:szCs w:val="24"/>
            <w:u w:val="single"/>
            <w:rtl w:val="0"/>
          </w:rPr>
          <w:t xml:space="preserve">https://www.wxtrade.com/how-to-choose-a-forex-liquidity-provider/</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GFXC Last Look Request for feedback – submissions received, </w:t>
      </w:r>
      <w:hyperlink r:id="rId11">
        <w:r w:rsidDel="00000000" w:rsidR="00000000" w:rsidRPr="00000000">
          <w:rPr>
            <w:rFonts w:ascii="Google Sans" w:cs="Google Sans" w:eastAsia="Google Sans" w:hAnsi="Google Sans"/>
            <w:color w:val="0000ee"/>
            <w:sz w:val="24"/>
            <w:szCs w:val="24"/>
            <w:u w:val="single"/>
            <w:rtl w:val="0"/>
          </w:rPr>
          <w:t xml:space="preserve">https://www.globalfxc.org/uploads/gfxc_last_look_request_for_feedback.pdf</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Look in FX Trading: Execution, Liquidity, and Trader Controls, </w:t>
      </w:r>
      <w:hyperlink r:id="rId12">
        <w:r w:rsidDel="00000000" w:rsidR="00000000" w:rsidRPr="00000000">
          <w:rPr>
            <w:rFonts w:ascii="Google Sans" w:cs="Google Sans" w:eastAsia="Google Sans" w:hAnsi="Google Sans"/>
            <w:color w:val="0000ee"/>
            <w:sz w:val="24"/>
            <w:szCs w:val="24"/>
            <w:u w:val="single"/>
            <w:rtl w:val="0"/>
          </w:rPr>
          <w:t xml:space="preserve">https://www.daytrading.com/safety/last-look</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Making with and without Last Look Kevin Olding University of, </w:t>
      </w:r>
      <w:hyperlink r:id="rId13">
        <w:r w:rsidDel="00000000" w:rsidR="00000000" w:rsidRPr="00000000">
          <w:rPr>
            <w:rFonts w:ascii="Google Sans" w:cs="Google Sans" w:eastAsia="Google Sans" w:hAnsi="Google Sans"/>
            <w:color w:val="0000ee"/>
            <w:sz w:val="24"/>
            <w:szCs w:val="24"/>
            <w:u w:val="single"/>
            <w:rtl w:val="0"/>
          </w:rPr>
          <w:t xml:space="preserve">https://people.bath.ac.uk/mapamgc/KevinOldingThesis.pdf</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Internalisation by electronic FX spot dealers | Request PDF,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https://www.researchgate.net/publication/327454619_Internalisation_by_electronic_FX_spot_dealers</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RBI Alert List of Unauthorized Forex Entities | PDF - Scribd, </w:t>
      </w:r>
      <w:hyperlink r:id="rId15">
        <w:r w:rsidDel="00000000" w:rsidR="00000000" w:rsidRPr="00000000">
          <w:rPr>
            <w:rFonts w:ascii="Google Sans" w:cs="Google Sans" w:eastAsia="Google Sans" w:hAnsi="Google Sans"/>
            <w:color w:val="0000ee"/>
            <w:sz w:val="24"/>
            <w:szCs w:val="24"/>
            <w:u w:val="single"/>
            <w:rtl w:val="0"/>
          </w:rPr>
          <w:t xml:space="preserve">https://www.scribd.com/document/951487584/Reserve-Bank-of-India-Database</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Unauthorised Forex Trading, </w:t>
      </w:r>
      <w:hyperlink r:id="rId16">
        <w:r w:rsidDel="00000000" w:rsidR="00000000" w:rsidRPr="00000000">
          <w:rPr>
            <w:rFonts w:ascii="Google Sans" w:cs="Google Sans" w:eastAsia="Google Sans" w:hAnsi="Google Sans"/>
            <w:color w:val="0000ee"/>
            <w:sz w:val="24"/>
            <w:szCs w:val="24"/>
            <w:u w:val="single"/>
            <w:rtl w:val="0"/>
          </w:rPr>
          <w:t xml:space="preserve">https://worldtradescanner.com/02-RBI%20Cir-24.04.2024.htm</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Unauthorized foreign exchange (Forex) trading platforms - SVC Bank, </w:t>
      </w:r>
      <w:hyperlink r:id="rId17">
        <w:r w:rsidDel="00000000" w:rsidR="00000000" w:rsidRPr="00000000">
          <w:rPr>
            <w:rFonts w:ascii="Google Sans" w:cs="Google Sans" w:eastAsia="Google Sans" w:hAnsi="Google Sans"/>
            <w:color w:val="0000ee"/>
            <w:sz w:val="24"/>
            <w:szCs w:val="24"/>
            <w:u w:val="single"/>
            <w:rtl w:val="0"/>
          </w:rPr>
          <w:t xml:space="preserve">https://www.svc.bank.in/sites/default/files/2025-03/Unauthorized%20foreign%20exchange%20%28Forex%29%20trading%20platforms.pdf</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Forex Trading Legal in India? RBI Guidelines Explained, </w:t>
      </w:r>
      <w:hyperlink r:id="rId18">
        <w:r w:rsidDel="00000000" w:rsidR="00000000" w:rsidRPr="00000000">
          <w:rPr>
            <w:rFonts w:ascii="Google Sans" w:cs="Google Sans" w:eastAsia="Google Sans" w:hAnsi="Google Sans"/>
            <w:color w:val="0000ee"/>
            <w:sz w:val="24"/>
            <w:szCs w:val="24"/>
            <w:u w:val="single"/>
            <w:rtl w:val="0"/>
          </w:rPr>
          <w:t xml:space="preserve">https://www.incredmoney.com/knowledge-center/trading-account/is-forex-trading-legal-in-india-rbi-guidelines-explained/</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FOREIGN EXCHANGE RATE, </w:t>
      </w:r>
      <w:hyperlink r:id="rId19">
        <w:r w:rsidDel="00000000" w:rsidR="00000000" w:rsidRPr="00000000">
          <w:rPr>
            <w:rFonts w:ascii="Google Sans" w:cs="Google Sans" w:eastAsia="Google Sans" w:hAnsi="Google Sans"/>
            <w:color w:val="0000ee"/>
            <w:sz w:val="24"/>
            <w:szCs w:val="24"/>
            <w:u w:val="single"/>
            <w:rtl w:val="0"/>
          </w:rPr>
          <w:t xml:space="preserve">https://www.imperial.ac.uk/media/imperial-college/faculty-of-natural-sciences/department-of-mathematics/math-finance/Nielsen_Laurids-Gert_01424460.pdf</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Machine Learning Model for Foreign Exchange Prediction,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https://www.researchgate.net/publication/390447833_A_Machine_Learning_Model_for_Foreign_Exchange_Prediction</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predictive models for forex market trends - PMC,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https://pmc.ncbi.nlm.nih.gov/articles/PMC11342442/</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Algorithms for Time Series Forecasting - arXiv, </w:t>
      </w:r>
      <w:hyperlink r:id="rId22">
        <w:r w:rsidDel="00000000" w:rsidR="00000000" w:rsidRPr="00000000">
          <w:rPr>
            <w:rFonts w:ascii="Google Sans" w:cs="Google Sans" w:eastAsia="Google Sans" w:hAnsi="Google Sans"/>
            <w:color w:val="0000ee"/>
            <w:sz w:val="24"/>
            <w:szCs w:val="24"/>
            <w:u w:val="single"/>
            <w:rtl w:val="0"/>
          </w:rPr>
          <w:t xml:space="preserve">https://arxiv.org/html/2601.18509v1</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Conformal Prediction Interval Estimations to Market, </w:t>
      </w:r>
      <w:hyperlink r:id="rId23">
        <w:r w:rsidDel="00000000" w:rsidR="00000000" w:rsidRPr="00000000">
          <w:rPr>
            <w:rFonts w:ascii="Google Sans" w:cs="Google Sans" w:eastAsia="Google Sans" w:hAnsi="Google Sans"/>
            <w:color w:val="0000ee"/>
            <w:sz w:val="24"/>
            <w:szCs w:val="24"/>
            <w:u w:val="single"/>
            <w:rtl w:val="0"/>
          </w:rPr>
          <w:t xml:space="preserve">http://proceedings.mlr.press/v128/wisniewski20a/wisniewski20a.pdf</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Labeling for Algorithmic Trading: How to Amplify a Real Edge, </w:t>
      </w:r>
      <w:hyperlink r:id="rId24">
        <w:r w:rsidDel="00000000" w:rsidR="00000000" w:rsidRPr="00000000">
          <w:rPr>
            <w:rFonts w:ascii="Google Sans" w:cs="Google Sans" w:eastAsia="Google Sans" w:hAnsi="Google Sans"/>
            <w:color w:val="0000ee"/>
            <w:sz w:val="24"/>
            <w:szCs w:val="24"/>
            <w:u w:val="single"/>
            <w:rtl w:val="0"/>
          </w:rPr>
          <w:t xml:space="preserve">https://www.reddit.com/r/algotrading/comments/1lnm48w/meta_labeling_for_algorithmic_trading_how_to/</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Labeling (A Toy Example) - Hudson &amp; Thames, </w:t>
      </w:r>
      <w:hyperlink r:id="rId25">
        <w:r w:rsidDel="00000000" w:rsidR="00000000" w:rsidRPr="00000000">
          <w:rPr>
            <w:rFonts w:ascii="Google Sans" w:cs="Google Sans" w:eastAsia="Google Sans" w:hAnsi="Google Sans"/>
            <w:color w:val="0000ee"/>
            <w:sz w:val="24"/>
            <w:szCs w:val="24"/>
            <w:u w:val="single"/>
            <w:rtl w:val="0"/>
          </w:rPr>
          <w:t xml:space="preserve">https://hudsonthames.org/meta-labeling-a-toy-example/</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Machine Learning Advances in Finance - UPC Commons, </w:t>
      </w:r>
      <w:hyperlink r:id="rId26">
        <w:r w:rsidDel="00000000" w:rsidR="00000000" w:rsidRPr="00000000">
          <w:rPr>
            <w:rFonts w:ascii="Google Sans" w:cs="Google Sans" w:eastAsia="Google Sans" w:hAnsi="Google Sans"/>
            <w:color w:val="0000ee"/>
            <w:sz w:val="24"/>
            <w:szCs w:val="24"/>
            <w:u w:val="single"/>
            <w:rtl w:val="0"/>
          </w:rPr>
          <w:t xml:space="preserve">https://upcommons.upc.edu/bitstreams/bcd13ab2-c26f-4ae9-b263-eeb7ba495def/download</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of option prices João A ... - REM/ISEG-ULisboa, </w:t>
      </w:r>
      <w:hyperlink r:id="rId27">
        <w:r w:rsidDel="00000000" w:rsidR="00000000" w:rsidRPr="00000000">
          <w:rPr>
            <w:rFonts w:ascii="Google Sans" w:cs="Google Sans" w:eastAsia="Google Sans" w:hAnsi="Google Sans"/>
            <w:color w:val="0000ee"/>
            <w:sz w:val="24"/>
            <w:szCs w:val="24"/>
            <w:u w:val="single"/>
            <w:rtl w:val="0"/>
          </w:rPr>
          <w:t xml:space="preserve">https://rem.rc.iseg.ulisboa.pt/wps/pdf/REM_WP_0304_2023.pdf</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Modern Machine Learning Models for, </w:t>
      </w:r>
      <w:hyperlink r:id="rId28">
        <w:r w:rsidDel="00000000" w:rsidR="00000000" w:rsidRPr="00000000">
          <w:rPr>
            <w:rFonts w:ascii="Google Sans" w:cs="Google Sans" w:eastAsia="Google Sans" w:hAnsi="Google Sans"/>
            <w:color w:val="0000ee"/>
            <w:sz w:val="24"/>
            <w:szCs w:val="24"/>
            <w:u w:val="single"/>
            <w:rtl w:val="0"/>
          </w:rPr>
          <w:t xml:space="preserve">https://arxiv.org/html/2506.05941v2</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Time Series Analysis of the ARIMA and Temporal, </w:t>
      </w:r>
      <w:hyperlink r:id="rId29">
        <w:r w:rsidDel="00000000" w:rsidR="00000000" w:rsidRPr="00000000">
          <w:rPr>
            <w:rFonts w:ascii="Google Sans" w:cs="Google Sans" w:eastAsia="Google Sans" w:hAnsi="Google Sans"/>
            <w:color w:val="0000ee"/>
            <w:sz w:val="24"/>
            <w:szCs w:val="24"/>
            <w:u w:val="single"/>
            <w:rtl w:val="0"/>
          </w:rPr>
          <w:t xml:space="preserve">https://scholar.smu.edu/cgi/viewcontent.cgi?article=1307&amp;context=datasciencereview</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algorithmic trading with wavelet-based deep,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https://www.researchgate.net/publication/395473821_Enhancing_algorithmic_trading_with_wavelet-based_deep_reinforcement_learning_a_multi-indicator_approach</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GA-MSSR: Optimizing Forex Trading Returns | PDF - Scribd,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https://www.scribd.com/document/854193459/2008-09471v1</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Conformal prediction for regression of financial time series - Trepo, </w:t>
      </w:r>
      <w:hyperlink r:id="rId32">
        <w:r w:rsidDel="00000000" w:rsidR="00000000" w:rsidRPr="00000000">
          <w:rPr>
            <w:rFonts w:ascii="Google Sans" w:cs="Google Sans" w:eastAsia="Google Sans" w:hAnsi="Google Sans"/>
            <w:color w:val="0000ee"/>
            <w:sz w:val="24"/>
            <w:szCs w:val="24"/>
            <w:u w:val="single"/>
            <w:rtl w:val="0"/>
          </w:rPr>
          <w:t xml:space="preserve">https://trepo.tuni.fi/bitstream/10024/232978/3/CocouviMarvic.pdf</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Momentum Across Asset Classes | PDF - Scribd,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https://www.scribd.com/document/378312225/Moskowitz-Time-Series-Momentum-Paper</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momentum: Is it there?, </w:t>
      </w:r>
      <w:hyperlink r:id="rId34">
        <w:r w:rsidDel="00000000" w:rsidR="00000000" w:rsidRPr="00000000">
          <w:rPr>
            <w:rFonts w:ascii="Google Sans" w:cs="Google Sans" w:eastAsia="Google Sans" w:hAnsi="Google Sans"/>
            <w:color w:val="0000ee"/>
            <w:sz w:val="24"/>
            <w:szCs w:val="24"/>
            <w:u w:val="single"/>
            <w:rtl w:val="0"/>
          </w:rPr>
          <w:t xml:space="preserve">https://down.aefweb.net/WorkingPapers/w717.pdf</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Currency momentum strategies - IDEAS/RePEc, </w:t>
      </w:r>
      <w:hyperlink r:id="rId35">
        <w:r w:rsidDel="00000000" w:rsidR="00000000" w:rsidRPr="00000000">
          <w:rPr>
            <w:rFonts w:ascii="Google Sans" w:cs="Google Sans" w:eastAsia="Google Sans" w:hAnsi="Google Sans"/>
            <w:color w:val="0000ee"/>
            <w:sz w:val="24"/>
            <w:szCs w:val="24"/>
            <w:u w:val="single"/>
            <w:rtl w:val="0"/>
          </w:rPr>
          <w:t xml:space="preserve">https://ideas.repec.org/a/eee/jfinec/v106y2012i3p660-684.html</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Currency Momentum Strategies - ResearchGate,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https://www.researchgate.net/publication/228225584_Currency_Momentum_Strategies</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Swept along by currencies - Bayes Business School, </w:t>
      </w:r>
      <w:hyperlink r:id="rId37">
        <w:r w:rsidDel="00000000" w:rsidR="00000000" w:rsidRPr="00000000">
          <w:rPr>
            <w:rFonts w:ascii="Google Sans" w:cs="Google Sans" w:eastAsia="Google Sans" w:hAnsi="Google Sans"/>
            <w:color w:val="0000ee"/>
            <w:sz w:val="24"/>
            <w:szCs w:val="24"/>
            <w:u w:val="single"/>
            <w:rtl w:val="0"/>
          </w:rPr>
          <w:t xml:space="preserve">https://www.bayes.citystgeorges.ac.uk/faculties-and-research/research/bayes-knowledge/inbusiness/2013/swept-along-by-currencies</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Currency momentum: An emerging market issue? - EconStor, </w:t>
      </w:r>
      <w:hyperlink r:id="rId38">
        <w:r w:rsidDel="00000000" w:rsidR="00000000" w:rsidRPr="00000000">
          <w:rPr>
            <w:rFonts w:ascii="Google Sans" w:cs="Google Sans" w:eastAsia="Google Sans" w:hAnsi="Google Sans"/>
            <w:color w:val="0000ee"/>
            <w:sz w:val="24"/>
            <w:szCs w:val="24"/>
            <w:u w:val="single"/>
            <w:rtl w:val="0"/>
          </w:rPr>
          <w:t xml:space="preserve">https://www.econstor.eu/bitstream/10419/329622/1/1840149469.pdf</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Political Risk and Currency Momentum, </w:t>
      </w:r>
      <w:hyperlink r:id="rId39">
        <w:r w:rsidDel="00000000" w:rsidR="00000000" w:rsidRPr="00000000">
          <w:rPr>
            <w:rFonts w:ascii="Google Sans" w:cs="Google Sans" w:eastAsia="Google Sans" w:hAnsi="Google Sans"/>
            <w:color w:val="0000ee"/>
            <w:sz w:val="24"/>
            <w:szCs w:val="24"/>
            <w:u w:val="single"/>
            <w:rtl w:val="0"/>
          </w:rPr>
          <w:t xml:space="preserve">https://bankfin.unipi.gr/wp-content/uploads/2017/05/Global-Political-Risk-and-Currency-Momentum-2016.pdf</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Term Structure of Currency Carry Trade Risk Premia - NBER, </w:t>
      </w:r>
      <w:hyperlink r:id="rId40">
        <w:r w:rsidDel="00000000" w:rsidR="00000000" w:rsidRPr="00000000">
          <w:rPr>
            <w:rFonts w:ascii="Google Sans" w:cs="Google Sans" w:eastAsia="Google Sans" w:hAnsi="Google Sans"/>
            <w:color w:val="0000ee"/>
            <w:sz w:val="24"/>
            <w:szCs w:val="24"/>
            <w:u w:val="single"/>
            <w:rtl w:val="0"/>
          </w:rPr>
          <w:t xml:space="preserve">https://www.nber.org/system/files/working_papers/w19623/w19623.pdf</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Working Papers - No 366 - Currency Momentum Strategies, </w:t>
      </w:r>
      <w:hyperlink r:id="rId41">
        <w:r w:rsidDel="00000000" w:rsidR="00000000" w:rsidRPr="00000000">
          <w:rPr>
            <w:rFonts w:ascii="Google Sans" w:cs="Google Sans" w:eastAsia="Google Sans" w:hAnsi="Google Sans"/>
            <w:color w:val="0000ee"/>
            <w:sz w:val="24"/>
            <w:szCs w:val="24"/>
            <w:u w:val="single"/>
            <w:rtl w:val="0"/>
          </w:rPr>
          <w:t xml:space="preserve">https://www.bis.org/publ/work366.pdf</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Survival of the Fittest: A Three-Factor Model in the Currency Market, </w:t>
      </w:r>
      <w:hyperlink r:id="rId42">
        <w:r w:rsidDel="00000000" w:rsidR="00000000" w:rsidRPr="00000000">
          <w:rPr>
            <w:rFonts w:ascii="Google Sans" w:cs="Google Sans" w:eastAsia="Google Sans" w:hAnsi="Google Sans"/>
            <w:color w:val="0000ee"/>
            <w:sz w:val="24"/>
            <w:szCs w:val="24"/>
            <w:u w:val="single"/>
            <w:rtl w:val="0"/>
          </w:rPr>
          <w:t xml:space="preserve">https://english.phbs.pku.edu.cn/20260104.pdf</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Carry Trades and Global Foreign Exchange Volatility - Pure, </w:t>
      </w:r>
      <w:hyperlink r:id="rId43">
        <w:r w:rsidDel="00000000" w:rsidR="00000000" w:rsidRPr="00000000">
          <w:rPr>
            <w:rFonts w:ascii="Google Sans" w:cs="Google Sans" w:eastAsia="Google Sans" w:hAnsi="Google Sans"/>
            <w:color w:val="0000ee"/>
            <w:sz w:val="24"/>
            <w:szCs w:val="24"/>
            <w:u w:val="single"/>
            <w:rtl w:val="0"/>
          </w:rPr>
          <w:t xml:space="preserve">https://pure.au.dk/portal/en/publications/carry-trades-and-global-foreign-exchange-volatility/</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Term Structure of Currency Carry Trade Risk Premia - NYU Stern, </w:t>
      </w:r>
      <w:hyperlink r:id="rId44">
        <w:r w:rsidDel="00000000" w:rsidR="00000000" w:rsidRPr="00000000">
          <w:rPr>
            <w:rFonts w:ascii="Google Sans" w:cs="Google Sans" w:eastAsia="Google Sans" w:hAnsi="Google Sans"/>
            <w:color w:val="0000ee"/>
            <w:sz w:val="24"/>
            <w:szCs w:val="24"/>
            <w:u w:val="single"/>
            <w:rtl w:val="0"/>
          </w:rPr>
          <w:t xml:space="preserve">https://w4.stern.nyu.edu/finance/docs/pdfs/Seminars/1901/1901w-verdelhan.pdf</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Currency Carry, Momentum, and Global Interest Rate Volatility, </w:t>
      </w:r>
      <w:hyperlink r:id="rId45">
        <w:r w:rsidDel="00000000" w:rsidR="00000000" w:rsidRPr="00000000">
          <w:rPr>
            <w:rFonts w:ascii="Google Sans" w:cs="Google Sans" w:eastAsia="Google Sans" w:hAnsi="Google Sans"/>
            <w:color w:val="0000ee"/>
            <w:sz w:val="24"/>
            <w:szCs w:val="24"/>
            <w:u w:val="single"/>
            <w:rtl w:val="0"/>
          </w:rPr>
          <w:t xml:space="preserve">https://www.cambridge.org/core/journals/journal-of-financial-and-quantitative-analysis/article/currency-carry-momentum-and-global-interest-rate-volatility/6DAA8829E00934C1FBEA610136307E5C</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Toxicity and Liquidity in a High Frequency World | Request PDF,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https://www.researchgate.net/publication/228261180_Flow_Toxicity_and_Liquidity_in_a_High_Frequency_World</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Flow Toxicity and Liquidity in a High Frequency World ... - NYU Stern, </w:t>
      </w:r>
      <w:hyperlink r:id="rId47">
        <w:r w:rsidDel="00000000" w:rsidR="00000000" w:rsidRPr="00000000">
          <w:rPr>
            <w:rFonts w:ascii="Google Sans" w:cs="Google Sans" w:eastAsia="Google Sans" w:hAnsi="Google Sans"/>
            <w:color w:val="0000ee"/>
            <w:sz w:val="24"/>
            <w:szCs w:val="24"/>
            <w:u w:val="single"/>
            <w:rtl w:val="0"/>
          </w:rPr>
          <w:t xml:space="preserve">https://www.stern.nyu.edu/sites/default/files/assets/documents/con_035928.pdf</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vpin measurement - of order flow toxicity, </w:t>
      </w:r>
      <w:hyperlink r:id="rId48">
        <w:r w:rsidDel="00000000" w:rsidR="00000000" w:rsidRPr="00000000">
          <w:rPr>
            <w:rFonts w:ascii="Google Sans" w:cs="Google Sans" w:eastAsia="Google Sans" w:hAnsi="Google Sans"/>
            <w:color w:val="0000ee"/>
            <w:sz w:val="24"/>
            <w:szCs w:val="24"/>
            <w:u w:val="single"/>
            <w:rtl w:val="0"/>
          </w:rPr>
          <w:t xml:space="preserve">http://128.100.216.27/programs/scientific/13-14/finance/Andersen.pdf</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Risk Parity - Wikipedia, </w:t>
      </w:r>
      <w:hyperlink r:id="rId49">
        <w:r w:rsidDel="00000000" w:rsidR="00000000" w:rsidRPr="00000000">
          <w:rPr>
            <w:rFonts w:ascii="Google Sans" w:cs="Google Sans" w:eastAsia="Google Sans" w:hAnsi="Google Sans"/>
            <w:color w:val="0000ee"/>
            <w:sz w:val="24"/>
            <w:szCs w:val="24"/>
            <w:u w:val="single"/>
            <w:rtl w:val="0"/>
          </w:rPr>
          <w:t xml:space="preserve">https://en.wikipedia.org/wiki/Hierarchical_Risk_Parity</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Portfolio Optimization: HRP (Hierarchical Risk Parity), </w:t>
      </w:r>
      <w:hyperlink r:id="rId50">
        <w:r w:rsidDel="00000000" w:rsidR="00000000" w:rsidRPr="00000000">
          <w:rPr>
            <w:rFonts w:ascii="Google Sans" w:cs="Google Sans" w:eastAsia="Google Sans" w:hAnsi="Google Sans"/>
            <w:color w:val="0000ee"/>
            <w:sz w:val="24"/>
            <w:szCs w:val="24"/>
            <w:u w:val="single"/>
            <w:rtl w:val="0"/>
          </w:rPr>
          <w:t xml:space="preserve">https://bsic.it/advanced-portfolio-optimization-hrp-hierarchical-risk-parity/</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Quantum-inspired hierarchical risk parity - 1QBit, </w:t>
      </w:r>
      <w:hyperlink r:id="rId51">
        <w:r w:rsidDel="00000000" w:rsidR="00000000" w:rsidRPr="00000000">
          <w:rPr>
            <w:rFonts w:ascii="Google Sans" w:cs="Google Sans" w:eastAsia="Google Sans" w:hAnsi="Google Sans"/>
            <w:color w:val="0000ee"/>
            <w:sz w:val="24"/>
            <w:szCs w:val="24"/>
            <w:u w:val="single"/>
            <w:rtl w:val="0"/>
          </w:rPr>
          <w:t xml:space="preserve">http://1qbit.com/files/white-papers/1QBit-White-Paper-%E2%80%93-Quantum-Inspired-Hierarchical-Risk-Parity.pdf</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Constrained Hierarchical Risk Parity Algorithm with Cluster-based, </w:t>
      </w:r>
      <w:hyperlink r:id="rId52">
        <w:r w:rsidDel="00000000" w:rsidR="00000000" w:rsidRPr="00000000">
          <w:rPr>
            <w:rFonts w:ascii="Google Sans" w:cs="Google Sans" w:eastAsia="Google Sans" w:hAnsi="Google Sans"/>
            <w:color w:val="0000ee"/>
            <w:sz w:val="24"/>
            <w:szCs w:val="24"/>
            <w:u w:val="single"/>
            <w:rtl w:val="0"/>
          </w:rPr>
          <w:t xml:space="preserve">https://www.fmx.nfkatzke.com/Projects/HRP.pdf</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Risk Parity - Copenhagen Business School, </w:t>
      </w:r>
      <w:hyperlink r:id="rId53">
        <w:r w:rsidDel="00000000" w:rsidR="00000000" w:rsidRPr="00000000">
          <w:rPr>
            <w:rFonts w:ascii="Google Sans" w:cs="Google Sans" w:eastAsia="Google Sans" w:hAnsi="Google Sans"/>
            <w:color w:val="0000ee"/>
            <w:sz w:val="24"/>
            <w:szCs w:val="24"/>
            <w:u w:val="single"/>
            <w:rtl w:val="0"/>
          </w:rPr>
          <w:t xml:space="preserve">https://research.cbs.dk/files/76452070/1332322_Master_Thesis_Hierarchical_Risk_Parity.pdf</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HRP vs. MVO Analysis | PDF - Scribd,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https://www.scribd.com/document/851315600/PortfolioOptimisationResearch</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Walk-Forward Optimization: Anchored vs. Rolling Windows and, </w:t>
      </w:r>
      <w:hyperlink r:id="rId55">
        <w:r w:rsidDel="00000000" w:rsidR="00000000" w:rsidRPr="00000000">
          <w:rPr>
            <w:rFonts w:ascii="Google Sans" w:cs="Google Sans" w:eastAsia="Google Sans" w:hAnsi="Google Sans"/>
            <w:color w:val="0000ee"/>
            <w:sz w:val="24"/>
            <w:szCs w:val="24"/>
            <w:u w:val="single"/>
            <w:rtl w:val="0"/>
          </w:rPr>
          <w:t xml:space="preserve">https://www.susanpotter.net/quant/walk-forward-optimization/</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Vectorbt Walk-Forward with Purged K-Fold: Avoiding Data Leakage, </w:t>
      </w:r>
      <w:hyperlink r:id="rId56">
        <w:r w:rsidDel="00000000" w:rsidR="00000000" w:rsidRPr="00000000">
          <w:rPr>
            <w:rFonts w:ascii="Google Sans" w:cs="Google Sans" w:eastAsia="Google Sans" w:hAnsi="Google Sans"/>
            <w:color w:val="0000ee"/>
            <w:sz w:val="24"/>
            <w:szCs w:val="24"/>
            <w:u w:val="single"/>
            <w:rtl w:val="0"/>
          </w:rPr>
          <w:t xml:space="preserve">https://trader-algoritmico.com/blog/vectorbt-walk-forward-with-purged-k-fold-avoiding-data-leakage</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Walk forward Cross Validation Used in Practice? : r/quant - Reddit, </w:t>
      </w:r>
      <w:hyperlink r:id="rId57">
        <w:r w:rsidDel="00000000" w:rsidR="00000000" w:rsidRPr="00000000">
          <w:rPr>
            <w:rFonts w:ascii="Google Sans" w:cs="Google Sans" w:eastAsia="Google Sans" w:hAnsi="Google Sans"/>
            <w:color w:val="0000ee"/>
            <w:sz w:val="24"/>
            <w:szCs w:val="24"/>
            <w:u w:val="single"/>
            <w:rtl w:val="0"/>
          </w:rPr>
          <w:t xml:space="preserve">https://www.reddit.com/r/quant/comments/13q4qkk/is_walk_forward_cross_validation_used_in_practice/</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Combinatorial Purged Cross-Validation method - Towards AI, </w:t>
      </w:r>
      <w:hyperlink r:id="rId58">
        <w:r w:rsidDel="00000000" w:rsidR="00000000" w:rsidRPr="00000000">
          <w:rPr>
            <w:rFonts w:ascii="Google Sans" w:cs="Google Sans" w:eastAsia="Google Sans" w:hAnsi="Google Sans"/>
            <w:color w:val="0000ee"/>
            <w:sz w:val="24"/>
            <w:szCs w:val="24"/>
            <w:u w:val="single"/>
            <w:rtl w:val="0"/>
          </w:rPr>
          <w:t xml:space="preserve">https://towardsai.com/p/l/the-combinatorial-purged-cross-validation-method</w:t>
        </w:r>
      </w:hyperlink>
      <w:r w:rsidDel="00000000" w:rsidR="00000000" w:rsidRPr="00000000">
        <w:rPr>
          <w:rtl w:val="0"/>
        </w:rPr>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Combinatorial purged cross-validation (CPCV) (Algo Trading), </w:t>
      </w:r>
      <w:hyperlink r:id="rId59">
        <w:r w:rsidDel="00000000" w:rsidR="00000000" w:rsidRPr="00000000">
          <w:rPr>
            <w:rFonts w:ascii="Google Sans" w:cs="Google Sans" w:eastAsia="Google Sans" w:hAnsi="Google Sans"/>
            <w:color w:val="0000ee"/>
            <w:sz w:val="24"/>
            <w:szCs w:val="24"/>
            <w:u w:val="single"/>
            <w:rtl w:val="0"/>
          </w:rPr>
          <w:t xml:space="preserve">https://paperswithbacktest.com/course/combinatorial-purged-cross-validation-cpcv</w:t>
        </w:r>
      </w:hyperlink>
      <w:r w:rsidDel="00000000" w:rsidR="00000000" w:rsidRPr="00000000">
        <w:rPr>
          <w:rtl w:val="0"/>
        </w:rPr>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Trading Strategy using Bias-Variance Decomposition, </w:t>
      </w:r>
      <w:hyperlink r:id="rId60">
        <w:r w:rsidDel="00000000" w:rsidR="00000000" w:rsidRPr="00000000">
          <w:rPr>
            <w:rFonts w:ascii="Google Sans" w:cs="Google Sans" w:eastAsia="Google Sans" w:hAnsi="Google Sans"/>
            <w:color w:val="0000ee"/>
            <w:sz w:val="24"/>
            <w:szCs w:val="24"/>
            <w:u w:val="single"/>
            <w:rtl w:val="0"/>
          </w:rPr>
          <w:t xml:space="preserve">https://blog.quantinsti.com/bias-variance-tradeoff-ml-trading-strategy-pipeline/</w:t>
        </w:r>
      </w:hyperlink>
      <w:r w:rsidDel="00000000" w:rsidR="00000000" w:rsidRPr="00000000">
        <w:rPr>
          <w:rtl w:val="0"/>
        </w:rPr>
      </w:r>
    </w:p>
    <w:p w:rsidR="00000000" w:rsidDel="00000000" w:rsidP="00000000" w:rsidRDefault="00000000" w:rsidRPr="00000000" w14:paraId="000001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Sharpe Ratio - Quantdare, </w:t>
      </w:r>
      <w:hyperlink r:id="rId61">
        <w:r w:rsidDel="00000000" w:rsidR="00000000" w:rsidRPr="00000000">
          <w:rPr>
            <w:rFonts w:ascii="Google Sans" w:cs="Google Sans" w:eastAsia="Google Sans" w:hAnsi="Google Sans"/>
            <w:color w:val="0000ee"/>
            <w:sz w:val="24"/>
            <w:szCs w:val="24"/>
            <w:u w:val="single"/>
            <w:rtl w:val="0"/>
          </w:rPr>
          <w:t xml:space="preserve">https://quantdare.com/probabilistic-sharpe-ratio/</w:t>
        </w:r>
      </w:hyperlink>
      <w:r w:rsidDel="00000000" w:rsidR="00000000" w:rsidRPr="00000000">
        <w:rPr>
          <w:rtl w:val="0"/>
        </w:rPr>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Sharpe ratio (PSR) (Algo Trading) - Papers With Backtest, </w:t>
      </w:r>
      <w:hyperlink r:id="rId62">
        <w:r w:rsidDel="00000000" w:rsidR="00000000" w:rsidRPr="00000000">
          <w:rPr>
            <w:rFonts w:ascii="Google Sans" w:cs="Google Sans" w:eastAsia="Google Sans" w:hAnsi="Google Sans"/>
            <w:color w:val="0000ee"/>
            <w:sz w:val="24"/>
            <w:szCs w:val="24"/>
            <w:u w:val="single"/>
            <w:rtl w:val="0"/>
          </w:rPr>
          <w:t xml:space="preserve">https://paperswithbacktest.com/course/probabilistic-sharpe-ratio-psr</w:t>
        </w:r>
      </w:hyperlink>
      <w:r w:rsidDel="00000000" w:rsidR="00000000" w:rsidRPr="00000000">
        <w:rPr>
          <w:rtl w:val="0"/>
        </w:rPr>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SHARPE RATIO EFFICIENT FRONTIER - David H Bailey, </w:t>
      </w:r>
      <w:hyperlink r:id="rId63">
        <w:r w:rsidDel="00000000" w:rsidR="00000000" w:rsidRPr="00000000">
          <w:rPr>
            <w:rFonts w:ascii="Google Sans" w:cs="Google Sans" w:eastAsia="Google Sans" w:hAnsi="Google Sans"/>
            <w:color w:val="0000ee"/>
            <w:sz w:val="24"/>
            <w:szCs w:val="24"/>
            <w:u w:val="single"/>
            <w:rtl w:val="0"/>
          </w:rPr>
          <w:t xml:space="preserve">https://www.davidhbailey.com/dhbpapers/sharpe-frontier.pdf</w:t>
        </w:r>
      </w:hyperlink>
      <w:r w:rsidDel="00000000" w:rsidR="00000000" w:rsidRPr="00000000">
        <w:rPr>
          <w:rtl w:val="0"/>
        </w:rPr>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Deflating the Sharpe Ratio by asking for a Minimum Track Record, </w:t>
      </w:r>
      <w:hyperlink r:id="rId64">
        <w:r w:rsidDel="00000000" w:rsidR="00000000" w:rsidRPr="00000000">
          <w:rPr>
            <w:rFonts w:ascii="Google Sans" w:cs="Google Sans" w:eastAsia="Google Sans" w:hAnsi="Google Sans"/>
            <w:color w:val="0000ee"/>
            <w:sz w:val="24"/>
            <w:szCs w:val="24"/>
            <w:u w:val="single"/>
            <w:rtl w:val="0"/>
          </w:rPr>
          <w:t xml:space="preserve">http://boston.qwafafew.org/wp-content/uploads/sites/4/2017/01/Lopez_de_Prado_Sharpe.pdf</w:t>
        </w:r>
      </w:hyperlink>
      <w:r w:rsidDel="00000000" w:rsidR="00000000" w:rsidRPr="00000000">
        <w:rPr>
          <w:rtl w:val="0"/>
        </w:rPr>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Sharpe Ratio significance - Stats StackExchange, </w:t>
      </w:r>
      <w:hyperlink r:id="rId65">
        <w:r w:rsidDel="00000000" w:rsidR="00000000" w:rsidRPr="00000000">
          <w:rPr>
            <w:rFonts w:ascii="Google Sans" w:cs="Google Sans" w:eastAsia="Google Sans" w:hAnsi="Google Sans"/>
            <w:color w:val="0000ee"/>
            <w:sz w:val="24"/>
            <w:szCs w:val="24"/>
            <w:u w:val="single"/>
            <w:rtl w:val="0"/>
          </w:rPr>
          <w:t xml:space="preserve">https://stats.stackexchange.com/questions/155223/testing-sharpe-ratio-significance</w:t>
        </w:r>
      </w:hyperlink>
      <w:r w:rsidDel="00000000" w:rsidR="00000000" w:rsidRPr="00000000">
        <w:rPr>
          <w:rtl w:val="0"/>
        </w:rPr>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Correcting for Selection Bias, Backtest Overfitting, and Non-Normality, </w:t>
      </w:r>
      <w:hyperlink r:id="rId66">
        <w:r w:rsidDel="00000000" w:rsidR="00000000" w:rsidRPr="00000000">
          <w:rPr>
            <w:rFonts w:ascii="Google Sans" w:cs="Google Sans" w:eastAsia="Google Sans" w:hAnsi="Google Sans"/>
            <w:color w:val="0000ee"/>
            <w:sz w:val="24"/>
            <w:szCs w:val="24"/>
            <w:u w:val="single"/>
            <w:rtl w:val="0"/>
          </w:rPr>
          <w:t xml:space="preserve">https://www.researchgate.net/publication/286121118_The_Deflated_Sharpe_Ratio_Correcting_for_Selection_Bias_Backtest_Overfitting_and_Non-Normality</w:t>
        </w:r>
      </w:hyperlink>
      <w:r w:rsidDel="00000000" w:rsidR="00000000" w:rsidRPr="00000000">
        <w:rPr>
          <w:rtl w:val="0"/>
        </w:rPr>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NautilusTrader - GitHub, </w:t>
      </w:r>
      <w:hyperlink r:id="rId67">
        <w:r w:rsidDel="00000000" w:rsidR="00000000" w:rsidRPr="00000000">
          <w:rPr>
            <w:rFonts w:ascii="Google Sans" w:cs="Google Sans" w:eastAsia="Google Sans" w:hAnsi="Google Sans"/>
            <w:color w:val="0000ee"/>
            <w:sz w:val="24"/>
            <w:szCs w:val="24"/>
            <w:u w:val="single"/>
            <w:rtl w:val="0"/>
          </w:rPr>
          <w:t xml:space="preserve">https://github.com/nautechsystems/nautilus_trader</w:t>
        </w:r>
      </w:hyperlink>
      <w:r w:rsidDel="00000000" w:rsidR="00000000" w:rsidRPr="00000000">
        <w:rPr>
          <w:rtl w:val="0"/>
        </w:rPr>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nautilus_trader - PyPI, </w:t>
      </w:r>
      <w:hyperlink r:id="rId68">
        <w:r w:rsidDel="00000000" w:rsidR="00000000" w:rsidRPr="00000000">
          <w:rPr>
            <w:rFonts w:ascii="Google Sans" w:cs="Google Sans" w:eastAsia="Google Sans" w:hAnsi="Google Sans"/>
            <w:color w:val="0000ee"/>
            <w:sz w:val="24"/>
            <w:szCs w:val="24"/>
            <w:u w:val="single"/>
            <w:rtl w:val="0"/>
          </w:rPr>
          <w:t xml:space="preserve">https://pypi.org/project/nautilus_trader/1.203.0/</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NautilusTrader: open-source algorithmic trading platform, </w:t>
      </w:r>
      <w:hyperlink r:id="rId69">
        <w:r w:rsidDel="00000000" w:rsidR="00000000" w:rsidRPr="00000000">
          <w:rPr>
            <w:rFonts w:ascii="Google Sans" w:cs="Google Sans" w:eastAsia="Google Sans" w:hAnsi="Google Sans"/>
            <w:color w:val="0000ee"/>
            <w:sz w:val="24"/>
            <w:szCs w:val="24"/>
            <w:u w:val="single"/>
            <w:rtl w:val="0"/>
          </w:rPr>
          <w:t xml:space="preserve">https://nautilustrader.io/</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 NautilusTrader, </w:t>
      </w:r>
      <w:hyperlink r:id="rId70">
        <w:r w:rsidDel="00000000" w:rsidR="00000000" w:rsidRPr="00000000">
          <w:rPr>
            <w:rFonts w:ascii="Google Sans" w:cs="Google Sans" w:eastAsia="Google Sans" w:hAnsi="Google Sans"/>
            <w:color w:val="0000ee"/>
            <w:sz w:val="24"/>
            <w:szCs w:val="24"/>
            <w:u w:val="single"/>
            <w:rtl w:val="0"/>
          </w:rPr>
          <w:t xml:space="preserve">https://nautilustrader.io/docs/latest/concepts/backtesting/</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Q1. Can a resident person undertake forex transaction? - RBI, </w:t>
      </w:r>
      <w:hyperlink r:id="rId71">
        <w:r w:rsidDel="00000000" w:rsidR="00000000" w:rsidRPr="00000000">
          <w:rPr>
            <w:rFonts w:ascii="Google Sans" w:cs="Google Sans" w:eastAsia="Google Sans" w:hAnsi="Google Sans"/>
            <w:color w:val="0000ee"/>
            <w:sz w:val="24"/>
            <w:szCs w:val="24"/>
            <w:u w:val="single"/>
            <w:rtl w:val="0"/>
          </w:rPr>
          <w:t xml:space="preserve">https://www.rbi.org.in/commonman/english/scripts/FAQs.aspx?Id=3347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ber.org/system/files/working_papers/w19623/w19623.pdf" TargetMode="External"/><Relationship Id="rId42" Type="http://schemas.openxmlformats.org/officeDocument/2006/relationships/hyperlink" Target="https://english.phbs.pku.edu.cn/20260104.pdf" TargetMode="External"/><Relationship Id="rId41" Type="http://schemas.openxmlformats.org/officeDocument/2006/relationships/hyperlink" Target="https://www.bis.org/publ/work366.pdf" TargetMode="External"/><Relationship Id="rId44" Type="http://schemas.openxmlformats.org/officeDocument/2006/relationships/hyperlink" Target="https://w4.stern.nyu.edu/finance/docs/pdfs/Seminars/1901/1901w-verdelhan.pdf" TargetMode="External"/><Relationship Id="rId43" Type="http://schemas.openxmlformats.org/officeDocument/2006/relationships/hyperlink" Target="https://pure.au.dk/portal/en/publications/carry-trades-and-global-foreign-exchange-volatility/" TargetMode="External"/><Relationship Id="rId46" Type="http://schemas.openxmlformats.org/officeDocument/2006/relationships/hyperlink" Target="https://www.researchgate.net/publication/228261180_Flow_Toxicity_and_Liquidity_in_a_High_Frequency_World" TargetMode="External"/><Relationship Id="rId45" Type="http://schemas.openxmlformats.org/officeDocument/2006/relationships/hyperlink" Target="https://www.cambridge.org/core/journals/journal-of-financial-and-quantitative-analysis/article/currency-carry-momentum-and-global-interest-rate-volatility/6DAA8829E00934C1FBEA610136307E5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128.100.216.27/programs/scientific/13-14/finance/Andersen.pdf" TargetMode="External"/><Relationship Id="rId47" Type="http://schemas.openxmlformats.org/officeDocument/2006/relationships/hyperlink" Target="https://www.stern.nyu.edu/sites/default/files/assets/documents/con_035928.pdf" TargetMode="External"/><Relationship Id="rId49" Type="http://schemas.openxmlformats.org/officeDocument/2006/relationships/hyperlink" Target="https://en.wikipedia.org/wiki/Hierarchical_Risk_Parit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 Id="rId31" Type="http://schemas.openxmlformats.org/officeDocument/2006/relationships/hyperlink" Target="https://www.scribd.com/document/854193459/2008-09471v1" TargetMode="External"/><Relationship Id="rId30" Type="http://schemas.openxmlformats.org/officeDocument/2006/relationships/hyperlink" Target="https://www.researchgate.net/publication/395473821_Enhancing_algorithmic_trading_with_wavelet-based_deep_reinforcement_learning_a_multi-indicator_approach" TargetMode="External"/><Relationship Id="rId33" Type="http://schemas.openxmlformats.org/officeDocument/2006/relationships/hyperlink" Target="https://www.scribd.com/document/378312225/Moskowitz-Time-Series-Momentum-Paper" TargetMode="External"/><Relationship Id="rId32" Type="http://schemas.openxmlformats.org/officeDocument/2006/relationships/hyperlink" Target="https://trepo.tuni.fi/bitstream/10024/232978/3/CocouviMarvic.pdf" TargetMode="External"/><Relationship Id="rId35" Type="http://schemas.openxmlformats.org/officeDocument/2006/relationships/hyperlink" Target="https://ideas.repec.org/a/eee/jfinec/v106y2012i3p660-684.html" TargetMode="External"/><Relationship Id="rId34" Type="http://schemas.openxmlformats.org/officeDocument/2006/relationships/hyperlink" Target="https://down.aefweb.net/WorkingPapers/w717.pdf" TargetMode="External"/><Relationship Id="rId71" Type="http://schemas.openxmlformats.org/officeDocument/2006/relationships/hyperlink" Target="https://www.rbi.org.in/commonman/english/scripts/FAQs.aspx?Id=3347" TargetMode="External"/><Relationship Id="rId70" Type="http://schemas.openxmlformats.org/officeDocument/2006/relationships/hyperlink" Target="https://nautilustrader.io/docs/latest/concepts/backtesting/" TargetMode="External"/><Relationship Id="rId37" Type="http://schemas.openxmlformats.org/officeDocument/2006/relationships/hyperlink" Target="https://www.bayes.citystgeorges.ac.uk/faculties-and-research/research/bayes-knowledge/inbusiness/2013/swept-along-by-currencies" TargetMode="External"/><Relationship Id="rId36" Type="http://schemas.openxmlformats.org/officeDocument/2006/relationships/hyperlink" Target="https://www.researchgate.net/publication/228225584_Currency_Momentum_Strategies" TargetMode="External"/><Relationship Id="rId39" Type="http://schemas.openxmlformats.org/officeDocument/2006/relationships/hyperlink" Target="https://bankfin.unipi.gr/wp-content/uploads/2017/05/Global-Political-Risk-and-Currency-Momentum-2016.pdf" TargetMode="External"/><Relationship Id="rId38" Type="http://schemas.openxmlformats.org/officeDocument/2006/relationships/hyperlink" Target="https://www.econstor.eu/bitstream/10419/329622/1/1840149469.pdf" TargetMode="External"/><Relationship Id="rId62" Type="http://schemas.openxmlformats.org/officeDocument/2006/relationships/hyperlink" Target="https://paperswithbacktest.com/course/probabilistic-sharpe-ratio-psr" TargetMode="External"/><Relationship Id="rId61" Type="http://schemas.openxmlformats.org/officeDocument/2006/relationships/hyperlink" Target="https://quantdare.com/probabilistic-sharpe-ratio/" TargetMode="External"/><Relationship Id="rId20" Type="http://schemas.openxmlformats.org/officeDocument/2006/relationships/hyperlink" Target="https://www.researchgate.net/publication/390447833_A_Machine_Learning_Model_for_Foreign_Exchange_Prediction" TargetMode="External"/><Relationship Id="rId64" Type="http://schemas.openxmlformats.org/officeDocument/2006/relationships/hyperlink" Target="http://boston.qwafafew.org/wp-content/uploads/sites/4/2017/01/Lopez_de_Prado_Sharpe.pdf" TargetMode="External"/><Relationship Id="rId63" Type="http://schemas.openxmlformats.org/officeDocument/2006/relationships/hyperlink" Target="https://www.davidhbailey.com/dhbpapers/sharpe-frontier.pdf" TargetMode="External"/><Relationship Id="rId22" Type="http://schemas.openxmlformats.org/officeDocument/2006/relationships/hyperlink" Target="https://arxiv.org/html/2601.18509v1" TargetMode="External"/><Relationship Id="rId66" Type="http://schemas.openxmlformats.org/officeDocument/2006/relationships/hyperlink" Target="https://www.researchgate.net/publication/286121118_The_Deflated_Sharpe_Ratio_Correcting_for_Selection_Bias_Backtest_Overfitting_and_Non-Normality" TargetMode="External"/><Relationship Id="rId21" Type="http://schemas.openxmlformats.org/officeDocument/2006/relationships/hyperlink" Target="https://pmc.ncbi.nlm.nih.gov/articles/PMC11342442/" TargetMode="External"/><Relationship Id="rId65" Type="http://schemas.openxmlformats.org/officeDocument/2006/relationships/hyperlink" Target="https://stats.stackexchange.com/questions/155223/testing-sharpe-ratio-significance" TargetMode="External"/><Relationship Id="rId24" Type="http://schemas.openxmlformats.org/officeDocument/2006/relationships/hyperlink" Target="https://www.reddit.com/r/algotrading/comments/1lnm48w/meta_labeling_for_algorithmic_trading_how_to/" TargetMode="External"/><Relationship Id="rId68" Type="http://schemas.openxmlformats.org/officeDocument/2006/relationships/hyperlink" Target="https://pypi.org/project/nautilus_trader/1.203.0/" TargetMode="External"/><Relationship Id="rId23" Type="http://schemas.openxmlformats.org/officeDocument/2006/relationships/hyperlink" Target="http://proceedings.mlr.press/v128/wisniewski20a/wisniewski20a.pdf" TargetMode="External"/><Relationship Id="rId67" Type="http://schemas.openxmlformats.org/officeDocument/2006/relationships/hyperlink" Target="https://github.com/nautechsystems/nautilus_trader" TargetMode="External"/><Relationship Id="rId60" Type="http://schemas.openxmlformats.org/officeDocument/2006/relationships/hyperlink" Target="https://blog.quantinsti.com/bias-variance-tradeoff-ml-trading-strategy-pipeline/" TargetMode="External"/><Relationship Id="rId26" Type="http://schemas.openxmlformats.org/officeDocument/2006/relationships/hyperlink" Target="https://upcommons.upc.edu/bitstreams/bcd13ab2-c26f-4ae9-b263-eeb7ba495def/download" TargetMode="External"/><Relationship Id="rId25" Type="http://schemas.openxmlformats.org/officeDocument/2006/relationships/hyperlink" Target="https://hudsonthames.org/meta-labeling-a-toy-example/" TargetMode="External"/><Relationship Id="rId69" Type="http://schemas.openxmlformats.org/officeDocument/2006/relationships/hyperlink" Target="https://nautilustrader.io/" TargetMode="External"/><Relationship Id="rId28" Type="http://schemas.openxmlformats.org/officeDocument/2006/relationships/hyperlink" Target="https://arxiv.org/html/2506.05941v2" TargetMode="External"/><Relationship Id="rId27" Type="http://schemas.openxmlformats.org/officeDocument/2006/relationships/hyperlink" Target="https://rem.rc.iseg.ulisboa.pt/wps/pdf/REM_WP_0304_2023.pdf" TargetMode="External"/><Relationship Id="rId29" Type="http://schemas.openxmlformats.org/officeDocument/2006/relationships/hyperlink" Target="https://scholar.smu.edu/cgi/viewcontent.cgi?article=1307&amp;context=datasciencereview" TargetMode="External"/><Relationship Id="rId51" Type="http://schemas.openxmlformats.org/officeDocument/2006/relationships/hyperlink" Target="http://1qbit.com/files/white-papers/1QBit-White-Paper-%E2%80%93-Quantum-Inspired-Hierarchical-Risk-Parity.pdf" TargetMode="External"/><Relationship Id="rId50" Type="http://schemas.openxmlformats.org/officeDocument/2006/relationships/hyperlink" Target="https://bsic.it/advanced-portfolio-optimization-hrp-hierarchical-risk-parity/" TargetMode="External"/><Relationship Id="rId53" Type="http://schemas.openxmlformats.org/officeDocument/2006/relationships/hyperlink" Target="https://research.cbs.dk/files/76452070/1332322_Master_Thesis_Hierarchical_Risk_Parity.pdf" TargetMode="External"/><Relationship Id="rId52" Type="http://schemas.openxmlformats.org/officeDocument/2006/relationships/hyperlink" Target="https://www.fmx.nfkatzke.com/Projects/HRP.pdf" TargetMode="External"/><Relationship Id="rId11" Type="http://schemas.openxmlformats.org/officeDocument/2006/relationships/hyperlink" Target="https://www.globalfxc.org/uploads/gfxc_last_look_request_for_feedback.pdf" TargetMode="External"/><Relationship Id="rId55" Type="http://schemas.openxmlformats.org/officeDocument/2006/relationships/hyperlink" Target="https://www.susanpotter.net/quant/walk-forward-optimization/" TargetMode="External"/><Relationship Id="rId10" Type="http://schemas.openxmlformats.org/officeDocument/2006/relationships/hyperlink" Target="https://www.wxtrade.com/how-to-choose-a-forex-liquidity-provider/" TargetMode="External"/><Relationship Id="rId54" Type="http://schemas.openxmlformats.org/officeDocument/2006/relationships/hyperlink" Target="https://www.scribd.com/document/851315600/PortfolioOptimisationResearch" TargetMode="External"/><Relationship Id="rId13" Type="http://schemas.openxmlformats.org/officeDocument/2006/relationships/hyperlink" Target="https://people.bath.ac.uk/mapamgc/KevinOldingThesis.pdf" TargetMode="External"/><Relationship Id="rId57" Type="http://schemas.openxmlformats.org/officeDocument/2006/relationships/hyperlink" Target="https://www.reddit.com/r/quant/comments/13q4qkk/is_walk_forward_cross_validation_used_in_practice/" TargetMode="External"/><Relationship Id="rId12" Type="http://schemas.openxmlformats.org/officeDocument/2006/relationships/hyperlink" Target="https://www.daytrading.com/safety/last-look" TargetMode="External"/><Relationship Id="rId56" Type="http://schemas.openxmlformats.org/officeDocument/2006/relationships/hyperlink" Target="https://trader-algoritmico.com/blog/vectorbt-walk-forward-with-purged-k-fold-avoiding-data-leakage" TargetMode="External"/><Relationship Id="rId15" Type="http://schemas.openxmlformats.org/officeDocument/2006/relationships/hyperlink" Target="https://www.scribd.com/document/951487584/Reserve-Bank-of-India-Database" TargetMode="External"/><Relationship Id="rId59" Type="http://schemas.openxmlformats.org/officeDocument/2006/relationships/hyperlink" Target="https://paperswithbacktest.com/course/combinatorial-purged-cross-validation-cpcv" TargetMode="External"/><Relationship Id="rId14" Type="http://schemas.openxmlformats.org/officeDocument/2006/relationships/hyperlink" Target="https://www.researchgate.net/publication/327454619_Internalisation_by_electronic_FX_spot_dealers" TargetMode="External"/><Relationship Id="rId58" Type="http://schemas.openxmlformats.org/officeDocument/2006/relationships/hyperlink" Target="https://towardsai.com/p/l/the-combinatorial-purged-cross-validation-method" TargetMode="External"/><Relationship Id="rId17" Type="http://schemas.openxmlformats.org/officeDocument/2006/relationships/hyperlink" Target="https://www.svc.bank.in/sites/default/files/2025-03/Unauthorized%20foreign%20exchange%20%28Forex%29%20trading%20platforms.pdf" TargetMode="External"/><Relationship Id="rId16" Type="http://schemas.openxmlformats.org/officeDocument/2006/relationships/hyperlink" Target="https://worldtradescanner.com/02-RBI%20Cir-24.04.2024.htm" TargetMode="External"/><Relationship Id="rId19" Type="http://schemas.openxmlformats.org/officeDocument/2006/relationships/hyperlink" Target="https://www.imperial.ac.uk/media/imperial-college/faculty-of-natural-sciences/department-of-mathematics/math-finance/Nielsen_Laurids-Gert_01424460.pdf" TargetMode="External"/><Relationship Id="rId18" Type="http://schemas.openxmlformats.org/officeDocument/2006/relationships/hyperlink" Target="https://www.incredmoney.com/knowledge-center/trading-account/is-forex-trading-legal-in-india-rbi-guidelines-explain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