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44"/>
          <w:szCs w:val="44"/>
        </w:rPr>
      </w:pPr>
      <w:r>
        <w:rPr>
          <w:sz w:val="44"/>
          <w:szCs w:val="44"/>
        </w:rPr>
        <w:t>Microsoft Copilot for M365</w:t>
      </w:r>
    </w:p>
    <w:p>
      <w:pPr>
        <w:pStyle w:val="Title"/>
        <w:rPr>
          <w:sz w:val="44"/>
          <w:szCs w:val="44"/>
        </w:rPr>
      </w:pPr>
      <w:r>
        <w:rPr>
          <w:sz w:val="44"/>
          <w:szCs w:val="44"/>
        </w:rPr>
        <w:t>Readiness Assessment Framework</w:t>
      </w:r>
    </w:p>
    <w:p>
      <w:pPr>
        <w:pStyle w:val="Subtitle"/>
        <w:jc w:val="both"/>
        <w:rPr/>
      </w:pPr>
      <w:r>
        <w:rPr/>
        <w:t>A Comprehensive Methodology for Evaluating Organizational Preparedness for AI Driven Workplace Solutions.</w:t>
      </w:r>
    </w:p>
    <w:p>
      <w:pPr>
        <w:pStyle w:val="Subtitle"/>
        <w:jc w:val="both"/>
        <w:rPr/>
      </w:pPr>
      <w:r>
        <w:rPr/>
      </w:r>
    </w:p>
    <w:p>
      <w:pPr>
        <w:pStyle w:val="Subtitle"/>
        <w:jc w:val="both"/>
        <w:rPr/>
      </w:pPr>
      <w:r>
        <w:rPr/>
      </w:r>
    </w:p>
    <w:p>
      <w:pPr>
        <w:pStyle w:val="Subtitle"/>
        <w:jc w:val="both"/>
        <w:rPr/>
      </w:pPr>
      <w:r>
        <w:rPr/>
      </w:r>
    </w:p>
    <w:p>
      <w:pPr>
        <w:pStyle w:val="Subtitle"/>
        <w:jc w:val="both"/>
        <w:rPr/>
      </w:pPr>
      <w:r>
        <w:rPr/>
      </w:r>
    </w:p>
    <w:p>
      <w:pPr>
        <w:pStyle w:val="Subtitle"/>
        <w:jc w:val="both"/>
        <w:rPr/>
      </w:pPr>
      <w:r>
        <w:rPr/>
      </w:r>
    </w:p>
    <w:p>
      <w:pPr>
        <w:pStyle w:val="Subtitle"/>
        <w:jc w:val="both"/>
        <w:rPr/>
      </w:pPr>
      <w:r>
        <w:rPr/>
      </w:r>
    </w:p>
    <w:p>
      <w:pPr>
        <w:pStyle w:val="Subtitle"/>
        <w:jc w:val="both"/>
        <w:rPr/>
      </w:pPr>
      <w:r>
        <w:rPr/>
      </w:r>
    </w:p>
    <w:p>
      <w:pPr>
        <w:pStyle w:val="Subtitle"/>
        <w:jc w:val="both"/>
        <w:rPr/>
      </w:pPr>
      <w:r>
        <w:rPr/>
      </w:r>
    </w:p>
    <w:p>
      <w:pPr>
        <w:pStyle w:val="Subtitle"/>
        <w:jc w:val="both"/>
        <w:rPr/>
      </w:pPr>
      <w:r>
        <w:rPr/>
      </w:r>
    </w:p>
    <w:p>
      <w:pPr>
        <w:pStyle w:val="Subtitle"/>
        <w:jc w:val="both"/>
        <w:rPr/>
      </w:pPr>
      <w:r>
        <w:rPr/>
      </w:r>
    </w:p>
    <w:p>
      <w:pPr>
        <w:pStyle w:val="Normal"/>
        <w:spacing w:before="480" w:after="120"/>
        <w:jc w:val="center"/>
        <w:rPr/>
      </w:pPr>
      <w:r>
        <w:rPr>
          <w:b/>
          <w:bCs/>
          <w:sz w:val="24"/>
          <w:szCs w:val="24"/>
        </w:rPr>
        <w:t>Nitron Digital LLC</w:t>
      </w:r>
    </w:p>
    <w:p>
      <w:pPr>
        <w:pStyle w:val="Normal"/>
        <w:spacing w:before="0" w:after="120"/>
        <w:jc w:val="center"/>
        <w:rPr/>
      </w:pPr>
      <w:r>
        <w:rPr/>
        <w:t>Version 1.0 | December 2025</w:t>
      </w:r>
    </w:p>
    <w:p>
      <w:pPr>
        <w:pStyle w:val="Normal"/>
        <w:spacing w:before="0" w:after="120"/>
        <w:jc w:val="center"/>
        <w:rPr/>
      </w:pPr>
      <w:r>
        <w:rPr/>
      </w:r>
    </w:p>
    <w:p>
      <w:pPr>
        <w:pStyle w:val="Normal"/>
        <w:spacing w:before="480" w:after="240"/>
        <w:jc w:val="center"/>
        <w:rPr/>
      </w:pPr>
      <w:r>
        <w:rPr>
          <w:b/>
          <w:bCs/>
          <w:color w:val="1E3A8A"/>
          <w:sz w:val="20"/>
          <w:szCs w:val="20"/>
        </w:rPr>
        <w:t>COMPLIANCE &amp; CERTIFICATIONS</w:t>
      </w:r>
    </w:p>
    <w:tbl>
      <w:tblPr>
        <w:tblW w:w="9360" w:type="dxa"/>
        <w:jc w:val="start"/>
        <w:tblInd w:w="0" w:type="dxa"/>
        <w:tblLayout w:type="fixed"/>
        <w:tblCellMar>
          <w:top w:w="100" w:type="dxa"/>
          <w:start w:w="100" w:type="dxa"/>
          <w:bottom w:w="100" w:type="dxa"/>
          <w:end w:w="100" w:type="dxa"/>
        </w:tblCellMar>
      </w:tblPr>
      <w:tblGrid>
        <w:gridCol w:w="2340"/>
        <w:gridCol w:w="2340"/>
        <w:gridCol w:w="2340"/>
        <w:gridCol w:w="2340"/>
      </w:tblGrid>
      <w:tr>
        <w:trPr/>
        <w:tc>
          <w:tcPr>
            <w:tcW w:w="2340" w:type="dxa"/>
            <w:tcBorders/>
          </w:tcPr>
          <w:p>
            <w:pPr>
              <w:pStyle w:val="Normal"/>
              <w:jc w:val="center"/>
              <w:rPr/>
            </w:pPr>
            <w:r>
              <w:rPr>
                <w:b/>
                <w:bCs/>
                <w:color w:val="1E3A8A"/>
                <w:sz w:val="18"/>
                <w:szCs w:val="18"/>
              </w:rPr>
              <w:t>Microsoft</w:t>
            </w:r>
          </w:p>
          <w:p>
            <w:pPr>
              <w:pStyle w:val="Normal"/>
              <w:jc w:val="center"/>
              <w:rPr/>
            </w:pPr>
            <w:r>
              <w:rPr>
                <w:color w:val="475569"/>
                <w:sz w:val="16"/>
                <w:szCs w:val="16"/>
              </w:rPr>
              <w:t>Solutions Partner</w:t>
            </w:r>
          </w:p>
        </w:tc>
        <w:tc>
          <w:tcPr>
            <w:tcW w:w="2340" w:type="dxa"/>
            <w:tcBorders/>
          </w:tcPr>
          <w:p>
            <w:pPr>
              <w:pStyle w:val="Normal"/>
              <w:jc w:val="center"/>
              <w:rPr/>
            </w:pPr>
            <w:r>
              <w:rPr>
                <w:b/>
                <w:bCs/>
                <w:color w:val="1E3A8A"/>
                <w:sz w:val="18"/>
                <w:szCs w:val="18"/>
              </w:rPr>
              <w:t>NIST AI RMF</w:t>
            </w:r>
          </w:p>
          <w:p>
            <w:pPr>
              <w:pStyle w:val="Normal"/>
              <w:jc w:val="center"/>
              <w:rPr/>
            </w:pPr>
            <w:r>
              <w:rPr>
                <w:color w:val="475569"/>
                <w:sz w:val="16"/>
                <w:szCs w:val="16"/>
              </w:rPr>
              <w:t>Certified</w:t>
            </w:r>
          </w:p>
        </w:tc>
        <w:tc>
          <w:tcPr>
            <w:tcW w:w="2340" w:type="dxa"/>
            <w:tcBorders/>
          </w:tcPr>
          <w:p>
            <w:pPr>
              <w:pStyle w:val="Normal"/>
              <w:jc w:val="center"/>
              <w:rPr/>
            </w:pPr>
            <w:r>
              <w:rPr>
                <w:b/>
                <w:bCs/>
                <w:color w:val="1E3A8A"/>
                <w:sz w:val="18"/>
                <w:szCs w:val="18"/>
              </w:rPr>
              <w:t>HIPAA</w:t>
            </w:r>
          </w:p>
          <w:p>
            <w:pPr>
              <w:pStyle w:val="Normal"/>
              <w:jc w:val="center"/>
              <w:rPr/>
            </w:pPr>
            <w:r>
              <w:rPr>
                <w:color w:val="475569"/>
                <w:sz w:val="16"/>
                <w:szCs w:val="16"/>
              </w:rPr>
              <w:t>Compliant</w:t>
            </w:r>
          </w:p>
        </w:tc>
        <w:tc>
          <w:tcPr>
            <w:tcW w:w="2340" w:type="dxa"/>
            <w:tcBorders/>
          </w:tcPr>
          <w:p>
            <w:pPr>
              <w:pStyle w:val="Normal"/>
              <w:jc w:val="center"/>
              <w:rPr/>
            </w:pPr>
            <w:r>
              <w:rPr>
                <w:b/>
                <w:bCs/>
                <w:color w:val="1E3A8A"/>
                <w:sz w:val="18"/>
                <w:szCs w:val="18"/>
              </w:rPr>
              <w:t>FedRAMP</w:t>
            </w:r>
          </w:p>
          <w:p>
            <w:pPr>
              <w:pStyle w:val="Normal"/>
              <w:jc w:val="center"/>
              <w:rPr/>
            </w:pPr>
            <w:r>
              <w:rPr>
                <w:color w:val="475569"/>
                <w:sz w:val="16"/>
                <w:szCs w:val="16"/>
              </w:rPr>
              <w:t>Ready</w:t>
            </w:r>
          </w:p>
        </w:tc>
      </w:tr>
    </w:tbl>
    <w:p>
      <w:pPr>
        <w:pStyle w:val="Normal"/>
        <w:spacing w:before="960" w:after="0"/>
        <w:rPr/>
      </w:pPr>
      <w:r>
        <w:rPr/>
      </w:r>
    </w:p>
    <w:p>
      <w:pPr>
        <w:pStyle w:val="Normal"/>
        <w:pBdr>
          <w:top w:val="single" w:sz="6" w:space="1" w:color="CBD5E1"/>
        </w:pBdr>
        <w:spacing w:before="480" w:after="240"/>
        <w:jc w:val="center"/>
        <w:rPr/>
      </w:pPr>
      <w:r>
        <w:rPr/>
      </w:r>
    </w:p>
    <w:p>
      <w:pPr>
        <w:pStyle w:val="Normal"/>
        <w:spacing w:before="0" w:after="120"/>
        <w:jc w:val="center"/>
        <w:rPr/>
      </w:pPr>
      <w:r>
        <w:rPr>
          <w:color w:val="475569"/>
          <w:sz w:val="20"/>
          <w:szCs w:val="20"/>
        </w:rPr>
        <w:t>info@nitron.digital  |  (833) 3-NITRON  |  nitron.digital</w:t>
      </w:r>
    </w:p>
    <w:p>
      <w:pPr>
        <w:pStyle w:val="Normal"/>
        <w:jc w:val="center"/>
        <w:rPr>
          <w:i/>
          <w:i/>
          <w:iCs/>
          <w:color w:val="64748B"/>
          <w:sz w:val="18"/>
          <w:szCs w:val="18"/>
        </w:rPr>
      </w:pPr>
      <w:r>
        <w:rPr>
          <w:i/>
          <w:iCs/>
          <w:color w:val="64748B"/>
          <w:sz w:val="18"/>
          <w:szCs w:val="18"/>
        </w:rPr>
        <w:t>Compliance First AI Security for Microsoft Environments</w:t>
      </w:r>
    </w:p>
    <w:p>
      <w:pPr>
        <w:pStyle w:val="Normal"/>
        <w:jc w:val="center"/>
        <w:rPr>
          <w:i/>
          <w:i/>
          <w:iCs/>
          <w:color w:val="64748B"/>
          <w:sz w:val="18"/>
          <w:szCs w:val="18"/>
        </w:rPr>
      </w:pPr>
      <w:r>
        <w:rPr>
          <w:i/>
          <w:iCs/>
          <w:color w:val="64748B"/>
          <w:sz w:val="18"/>
          <w:szCs w:val="18"/>
        </w:rPr>
      </w:r>
    </w:p>
    <w:sdt>
      <w:sdtPr>
        <w:docPartObj>
          <w:docPartGallery w:val="Table of Contents"/>
          <w:docPartUnique w:val="true"/>
        </w:docPartObj>
      </w:sdtPr>
      <w:sdtContent>
        <w:p>
          <w:pPr>
            <w:pStyle w:val="TOCHeading"/>
            <w:spacing w:before="0" w:after="120"/>
            <w:rPr/>
          </w:pPr>
          <w:r>
            <w:br w:type="page"/>
          </w:r>
          <w:r>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r>
            <w:rPr>
              <w:rStyle w:val="IndexLink"/>
            </w:rPr>
            <w:t>Executive Overview</w:t>
          </w:r>
          <w:r>
            <w:rPr/>
            <w:tab/>
            <w:t>2</w:t>
          </w:r>
        </w:p>
        <w:p>
          <w:pPr>
            <w:pStyle w:val="TOC1"/>
            <w:tabs>
              <w:tab w:val="clear" w:pos="9026"/>
              <w:tab w:val="right" w:pos="9025" w:leader="dot"/>
            </w:tabs>
            <w:rPr/>
          </w:pPr>
          <w:r>
            <w:rPr/>
            <w:t>Assessment Dimensions</w:t>
            <w:tab/>
            <w:t>3</w:t>
          </w:r>
        </w:p>
        <w:p>
          <w:pPr>
            <w:pStyle w:val="TOC2"/>
            <w:tabs>
              <w:tab w:val="clear" w:pos="8743"/>
              <w:tab w:val="right" w:pos="9025" w:leader="dot"/>
            </w:tabs>
            <w:rPr/>
          </w:pPr>
          <w:r>
            <w:rPr/>
            <w:t>1. Security &amp; Governance Foundation</w:t>
            <w:tab/>
            <w:t>3</w:t>
          </w:r>
        </w:p>
        <w:p>
          <w:pPr>
            <w:pStyle w:val="TOC3"/>
            <w:tabs>
              <w:tab w:val="clear" w:pos="8459"/>
              <w:tab w:val="right" w:pos="9025" w:leader="dot"/>
            </w:tabs>
            <w:rPr/>
          </w:pPr>
          <w:r>
            <w:rPr/>
            <w:t>Key Evaluation Areas:</w:t>
            <w:tab/>
            <w:t>3</w:t>
          </w:r>
        </w:p>
        <w:p>
          <w:pPr>
            <w:pStyle w:val="TOC2"/>
            <w:tabs>
              <w:tab w:val="clear" w:pos="8743"/>
              <w:tab w:val="right" w:pos="9025" w:leader="dot"/>
            </w:tabs>
            <w:rPr/>
          </w:pPr>
          <w:r>
            <w:rPr/>
            <w:t>2. Data Classification &amp; Sensitivity</w:t>
            <w:tab/>
            <w:t>3</w:t>
          </w:r>
        </w:p>
        <w:p>
          <w:pPr>
            <w:pStyle w:val="TOC3"/>
            <w:tabs>
              <w:tab w:val="clear" w:pos="8459"/>
              <w:tab w:val="right" w:pos="9025" w:leader="dot"/>
            </w:tabs>
            <w:rPr/>
          </w:pPr>
          <w:r>
            <w:rPr/>
            <w:t>Key Evaluation Areas:</w:t>
            <w:tab/>
            <w:t>3</w:t>
          </w:r>
        </w:p>
        <w:p>
          <w:pPr>
            <w:pStyle w:val="TOC2"/>
            <w:tabs>
              <w:tab w:val="clear" w:pos="8743"/>
              <w:tab w:val="right" w:pos="9025" w:leader="dot"/>
            </w:tabs>
            <w:rPr/>
          </w:pPr>
          <w:r>
            <w:rPr/>
            <w:t>3. Content Organization &amp; Oversharing</w:t>
            <w:tab/>
            <w:t>3</w:t>
          </w:r>
        </w:p>
        <w:p>
          <w:pPr>
            <w:pStyle w:val="TOC3"/>
            <w:tabs>
              <w:tab w:val="clear" w:pos="8459"/>
              <w:tab w:val="right" w:pos="9025" w:leader="dot"/>
            </w:tabs>
            <w:rPr/>
          </w:pPr>
          <w:r>
            <w:rPr/>
            <w:t>Key Evaluation Areas:</w:t>
            <w:tab/>
            <w:t>3</w:t>
          </w:r>
        </w:p>
        <w:p>
          <w:pPr>
            <w:pStyle w:val="TOC2"/>
            <w:tabs>
              <w:tab w:val="clear" w:pos="8743"/>
              <w:tab w:val="right" w:pos="9025" w:leader="dot"/>
            </w:tabs>
            <w:rPr/>
          </w:pPr>
          <w:r>
            <w:rPr/>
            <w:t>4. User Access &amp; Identity Controls</w:t>
            <w:tab/>
            <w:t>3</w:t>
          </w:r>
        </w:p>
        <w:p>
          <w:pPr>
            <w:pStyle w:val="TOC3"/>
            <w:tabs>
              <w:tab w:val="clear" w:pos="8459"/>
              <w:tab w:val="right" w:pos="9025" w:leader="dot"/>
            </w:tabs>
            <w:rPr/>
          </w:pPr>
          <w:r>
            <w:rPr/>
            <w:t>Key Evaluation Areas:</w:t>
            <w:tab/>
            <w:t>4</w:t>
          </w:r>
        </w:p>
        <w:p>
          <w:pPr>
            <w:pStyle w:val="TOC2"/>
            <w:tabs>
              <w:tab w:val="clear" w:pos="8743"/>
              <w:tab w:val="right" w:pos="9025" w:leader="dot"/>
            </w:tabs>
            <w:rPr/>
          </w:pPr>
          <w:r>
            <w:rPr/>
            <w:t>5. Regulatory Compliance &amp; Privacy</w:t>
            <w:tab/>
            <w:t>4</w:t>
          </w:r>
        </w:p>
        <w:p>
          <w:pPr>
            <w:pStyle w:val="TOC3"/>
            <w:tabs>
              <w:tab w:val="clear" w:pos="8459"/>
              <w:tab w:val="right" w:pos="9025" w:leader="dot"/>
            </w:tabs>
            <w:rPr/>
          </w:pPr>
          <w:r>
            <w:rPr/>
            <w:t>Key Evaluation Areas:</w:t>
            <w:tab/>
            <w:t>4</w:t>
          </w:r>
        </w:p>
        <w:p>
          <w:pPr>
            <w:pStyle w:val="TOC2"/>
            <w:tabs>
              <w:tab w:val="clear" w:pos="8743"/>
              <w:tab w:val="right" w:pos="9025" w:leader="dot"/>
            </w:tabs>
            <w:rPr/>
          </w:pPr>
          <w:r>
            <w:rPr/>
            <w:t>6. Technical Infrastructure &amp; Licensing</w:t>
            <w:tab/>
            <w:t>4</w:t>
          </w:r>
        </w:p>
        <w:p>
          <w:pPr>
            <w:pStyle w:val="TOC3"/>
            <w:tabs>
              <w:tab w:val="clear" w:pos="8459"/>
              <w:tab w:val="right" w:pos="9025" w:leader="dot"/>
            </w:tabs>
            <w:rPr/>
          </w:pPr>
          <w:r>
            <w:rPr/>
            <w:t>Key Evaluation Areas:</w:t>
            <w:tab/>
            <w:t>4</w:t>
          </w:r>
        </w:p>
        <w:p>
          <w:pPr>
            <w:pStyle w:val="TOC1"/>
            <w:tabs>
              <w:tab w:val="clear" w:pos="9026"/>
              <w:tab w:val="right" w:pos="9025" w:leader="dot"/>
            </w:tabs>
            <w:rPr/>
          </w:pPr>
          <w:r>
            <w:rPr/>
            <w:t>Assessment Methodology</w:t>
            <w:tab/>
            <w:t>4</w:t>
          </w:r>
        </w:p>
        <w:p>
          <w:pPr>
            <w:pStyle w:val="TOC2"/>
            <w:tabs>
              <w:tab w:val="clear" w:pos="8743"/>
              <w:tab w:val="right" w:pos="9025" w:leader="dot"/>
            </w:tabs>
            <w:rPr/>
          </w:pPr>
          <w:r>
            <w:rPr/>
            <w:t>Phase 1: Discovery &amp; Data Collection</w:t>
            <w:tab/>
            <w:t>4</w:t>
          </w:r>
        </w:p>
        <w:p>
          <w:pPr>
            <w:pStyle w:val="TOC2"/>
            <w:tabs>
              <w:tab w:val="clear" w:pos="8743"/>
              <w:tab w:val="right" w:pos="9025" w:leader="dot"/>
            </w:tabs>
            <w:rPr/>
          </w:pPr>
          <w:r>
            <w:rPr/>
            <w:t>Phase 2: Gap Analysis &amp; Risk Scoring</w:t>
            <w:tab/>
            <w:t>5</w:t>
          </w:r>
        </w:p>
        <w:p>
          <w:pPr>
            <w:pStyle w:val="TOC2"/>
            <w:tabs>
              <w:tab w:val="clear" w:pos="8743"/>
              <w:tab w:val="right" w:pos="9025" w:leader="dot"/>
            </w:tabs>
            <w:rPr/>
          </w:pPr>
          <w:r>
            <w:rPr/>
            <w:t>Phase 3: Remediation Planning</w:t>
            <w:tab/>
            <w:t>5</w:t>
          </w:r>
        </w:p>
        <w:p>
          <w:pPr>
            <w:pStyle w:val="TOC2"/>
            <w:tabs>
              <w:tab w:val="clear" w:pos="8743"/>
              <w:tab w:val="right" w:pos="9025" w:leader="dot"/>
            </w:tabs>
            <w:rPr/>
          </w:pPr>
          <w:r>
            <w:rPr/>
            <w:t>Phase 4: Reporting &amp; Presentation</w:t>
            <w:tab/>
            <w:t>5</w:t>
          </w:r>
        </w:p>
        <w:p>
          <w:pPr>
            <w:pStyle w:val="TOC1"/>
            <w:tabs>
              <w:tab w:val="clear" w:pos="9026"/>
              <w:tab w:val="right" w:pos="9025" w:leader="dot"/>
            </w:tabs>
            <w:rPr/>
          </w:pPr>
          <w:r>
            <w:rPr/>
            <w:t>Readiness Scoring Model</w:t>
            <w:tab/>
            <w:t>5</w:t>
          </w:r>
        </w:p>
        <w:p>
          <w:pPr>
            <w:pStyle w:val="TOC3"/>
            <w:tabs>
              <w:tab w:val="clear" w:pos="8459"/>
              <w:tab w:val="right" w:pos="9025" w:leader="dot"/>
            </w:tabs>
            <w:rPr/>
          </w:pPr>
          <w:r>
            <w:rPr/>
            <w:t>Readiness Recommendations:</w:t>
            <w:tab/>
            <w:t>6</w:t>
          </w:r>
        </w:p>
        <w:p>
          <w:pPr>
            <w:pStyle w:val="TOC1"/>
            <w:tabs>
              <w:tab w:val="clear" w:pos="9026"/>
              <w:tab w:val="right" w:pos="9025" w:leader="dot"/>
            </w:tabs>
            <w:rPr/>
          </w:pPr>
          <w:r>
            <w:rPr/>
            <w:t>Critical Risk Categories for Regulated Industries</w:t>
            <w:tab/>
            <w:t>6</w:t>
          </w:r>
        </w:p>
        <w:p>
          <w:pPr>
            <w:pStyle w:val="TOC2"/>
            <w:tabs>
              <w:tab w:val="clear" w:pos="8743"/>
              <w:tab w:val="right" w:pos="9025" w:leader="dot"/>
            </w:tabs>
            <w:rPr/>
          </w:pPr>
          <w:r>
            <w:rPr/>
            <w:t>1. Data Exfiltration Risk</w:t>
            <w:tab/>
            <w:t>6</w:t>
          </w:r>
        </w:p>
        <w:p>
          <w:pPr>
            <w:pStyle w:val="TOC3"/>
            <w:tabs>
              <w:tab w:val="clear" w:pos="8459"/>
              <w:tab w:val="right" w:pos="9025" w:leader="dot"/>
            </w:tabs>
            <w:rPr/>
          </w:pPr>
          <w:r>
            <w:rPr/>
            <w:t>Assessment Criteria:</w:t>
            <w:tab/>
            <w:t>6</w:t>
          </w:r>
        </w:p>
        <w:p>
          <w:pPr>
            <w:pStyle w:val="TOC2"/>
            <w:tabs>
              <w:tab w:val="clear" w:pos="8743"/>
              <w:tab w:val="right" w:pos="9025" w:leader="dot"/>
            </w:tabs>
            <w:rPr/>
          </w:pPr>
          <w:r>
            <w:rPr/>
            <w:t>2. Compliance Violation Risk</w:t>
            <w:tab/>
            <w:t>6</w:t>
          </w:r>
        </w:p>
        <w:p>
          <w:pPr>
            <w:pStyle w:val="TOC3"/>
            <w:tabs>
              <w:tab w:val="clear" w:pos="8459"/>
              <w:tab w:val="right" w:pos="9025" w:leader="dot"/>
            </w:tabs>
            <w:rPr/>
          </w:pPr>
          <w:r>
            <w:rPr/>
            <w:t>Assessment Criteria:</w:t>
            <w:tab/>
            <w:t>6</w:t>
          </w:r>
        </w:p>
        <w:p>
          <w:pPr>
            <w:pStyle w:val="TOC2"/>
            <w:tabs>
              <w:tab w:val="clear" w:pos="8743"/>
              <w:tab w:val="right" w:pos="9025" w:leader="dot"/>
            </w:tabs>
            <w:rPr/>
          </w:pPr>
          <w:r>
            <w:rPr/>
            <w:t>3. Intellectual Property Exposure</w:t>
            <w:tab/>
            <w:t>6</w:t>
          </w:r>
        </w:p>
        <w:p>
          <w:pPr>
            <w:pStyle w:val="TOC3"/>
            <w:tabs>
              <w:tab w:val="clear" w:pos="8459"/>
              <w:tab w:val="right" w:pos="9025" w:leader="dot"/>
            </w:tabs>
            <w:rPr/>
          </w:pPr>
          <w:r>
            <w:rPr/>
            <w:t>Assessment Criteria:</w:t>
            <w:tab/>
            <w:t>6</w:t>
          </w:r>
        </w:p>
        <w:p>
          <w:pPr>
            <w:pStyle w:val="TOC1"/>
            <w:tabs>
              <w:tab w:val="clear" w:pos="9026"/>
              <w:tab w:val="right" w:pos="9025" w:leader="dot"/>
            </w:tabs>
            <w:rPr/>
          </w:pPr>
          <w:r>
            <w:rPr/>
            <w:t>Assessment Tools &amp; Scripts</w:t>
            <w:tab/>
            <w:t>6</w:t>
          </w:r>
        </w:p>
        <w:p>
          <w:pPr>
            <w:pStyle w:val="TOC2"/>
            <w:tabs>
              <w:tab w:val="clear" w:pos="8743"/>
              <w:tab w:val="right" w:pos="9025" w:leader="dot"/>
            </w:tabs>
            <w:rPr/>
          </w:pPr>
          <w:r>
            <w:rPr/>
            <w:t>PowerShell Assessment Scripts</w:t>
            <w:tab/>
            <w:t>6</w:t>
          </w:r>
        </w:p>
        <w:p>
          <w:pPr>
            <w:pStyle w:val="TOC3"/>
            <w:tabs>
              <w:tab w:val="clear" w:pos="8459"/>
              <w:tab w:val="right" w:pos="9025" w:leader="dot"/>
            </w:tabs>
            <w:rPr/>
          </w:pPr>
          <w:r>
            <w:rPr/>
            <w:t>1. Oversharing Detection Script</w:t>
            <w:tab/>
            <w:t>6</w:t>
          </w:r>
        </w:p>
        <w:p>
          <w:pPr>
            <w:pStyle w:val="TOC3"/>
            <w:tabs>
              <w:tab w:val="clear" w:pos="8459"/>
              <w:tab w:val="right" w:pos="9025" w:leader="dot"/>
            </w:tabs>
            <w:rPr/>
          </w:pPr>
          <w:r>
            <w:rPr/>
            <w:t>2. Sensitivity Label Coverage Report</w:t>
            <w:tab/>
            <w:t>7</w:t>
          </w:r>
        </w:p>
        <w:p>
          <w:pPr>
            <w:pStyle w:val="TOC3"/>
            <w:tabs>
              <w:tab w:val="clear" w:pos="8459"/>
              <w:tab w:val="right" w:pos="9025" w:leader="dot"/>
            </w:tabs>
            <w:rPr/>
          </w:pPr>
          <w:r>
            <w:rPr/>
            <w:t>3. External User Access Audit</w:t>
            <w:tab/>
            <w:t>7</w:t>
          </w:r>
        </w:p>
        <w:p>
          <w:pPr>
            <w:pStyle w:val="TOC3"/>
            <w:tabs>
              <w:tab w:val="clear" w:pos="8459"/>
              <w:tab w:val="right" w:pos="9025" w:leader="dot"/>
            </w:tabs>
            <w:rPr/>
          </w:pPr>
          <w:r>
            <w:rPr/>
            <w:t>4. Conditional Access Policy Review</w:t>
            <w:tab/>
            <w:t>7</w:t>
          </w:r>
        </w:p>
        <w:p>
          <w:pPr>
            <w:pStyle w:val="TOC1"/>
            <w:tabs>
              <w:tab w:val="clear" w:pos="9026"/>
              <w:tab w:val="right" w:pos="9025" w:leader="dot"/>
            </w:tabs>
            <w:rPr/>
          </w:pPr>
          <w:r>
            <w:rPr/>
            <w:t>Assessment Deliverables</w:t>
            <w:tab/>
            <w:t>7</w:t>
          </w:r>
        </w:p>
        <w:p>
          <w:pPr>
            <w:pStyle w:val="TOC2"/>
            <w:tabs>
              <w:tab w:val="clear" w:pos="8743"/>
              <w:tab w:val="right" w:pos="9025" w:leader="dot"/>
            </w:tabs>
            <w:rPr/>
          </w:pPr>
          <w:r>
            <w:rPr/>
            <w:t>1. Executive Readiness Report</w:t>
            <w:tab/>
            <w:t>7</w:t>
          </w:r>
        </w:p>
        <w:p>
          <w:pPr>
            <w:pStyle w:val="TOC2"/>
            <w:tabs>
              <w:tab w:val="clear" w:pos="8743"/>
              <w:tab w:val="right" w:pos="9025" w:leader="dot"/>
            </w:tabs>
            <w:rPr/>
          </w:pPr>
          <w:r>
            <w:rPr/>
            <w:t>2. Technical Findings Report</w:t>
            <w:tab/>
            <w:t>7</w:t>
          </w:r>
        </w:p>
        <w:p>
          <w:pPr>
            <w:pStyle w:val="TOC2"/>
            <w:tabs>
              <w:tab w:val="clear" w:pos="8743"/>
              <w:tab w:val="right" w:pos="9025" w:leader="dot"/>
            </w:tabs>
            <w:rPr/>
          </w:pPr>
          <w:r>
            <w:rPr/>
            <w:t>3. Remediation Roadmap</w:t>
            <w:tab/>
            <w:t>7</w:t>
          </w:r>
        </w:p>
        <w:p>
          <w:pPr>
            <w:pStyle w:val="TOC2"/>
            <w:tabs>
              <w:tab w:val="clear" w:pos="8743"/>
              <w:tab w:val="right" w:pos="9025" w:leader="dot"/>
            </w:tabs>
            <w:rPr/>
          </w:pPr>
          <w:r>
            <w:rPr/>
            <w:t>4. Copilot Implementation Playbook</w:t>
            <w:tab/>
            <w:t>7</w:t>
          </w:r>
        </w:p>
        <w:p>
          <w:pPr>
            <w:pStyle w:val="TOC1"/>
            <w:tabs>
              <w:tab w:val="clear" w:pos="9026"/>
              <w:tab w:val="right" w:pos="9025" w:leader="dot"/>
            </w:tabs>
            <w:rPr/>
          </w:pPr>
          <w:r>
            <w:rPr/>
            <w:t>Conclusion</w:t>
            <w:tab/>
            <w:t>7</w:t>
          </w:r>
          <w:r>
            <w:rPr/>
            <w:fldChar w:fldCharType="end"/>
          </w:r>
        </w:p>
      </w:sdtContent>
    </w:sdt>
    <w:p>
      <w:pPr>
        <w:pStyle w:val="Heading1"/>
        <w:rPr/>
      </w:pPr>
      <w:r>
        <w:rPr/>
      </w:r>
      <w:r>
        <w:br w:type="page"/>
      </w:r>
    </w:p>
    <w:p>
      <w:pPr>
        <w:pStyle w:val="Heading1"/>
        <w:spacing w:before="0" w:after="120"/>
        <w:rPr/>
      </w:pPr>
      <w:bookmarkStart w:id="0" w:name="__RefHeading___Toc2361_4112803792"/>
      <w:bookmarkEnd w:id="0"/>
      <w:r>
        <w:rPr/>
        <w:t>Executive Overview</w:t>
      </w:r>
    </w:p>
    <w:p>
      <w:pPr>
        <w:pStyle w:val="Normal"/>
        <w:spacing w:before="0" w:after="120"/>
        <w:jc w:val="both"/>
        <w:rPr/>
      </w:pPr>
      <w:r>
        <w:rPr/>
        <w:t>Microsoft Copilot for M365 represents a transformational shift in workplace productivity, leveraging artificial intelligence to enhance how users interact with their data, documents, and communications. However, successful CoPilot deployment requires careful evaluation of an organization's Microsoft 365 environment to ensure security, compliance, and optimal performance.</w:t>
      </w:r>
    </w:p>
    <w:p>
      <w:pPr>
        <w:pStyle w:val="Normal"/>
        <w:spacing w:before="0" w:after="120"/>
        <w:jc w:val="both"/>
        <w:rPr/>
      </w:pPr>
      <w:r>
        <w:rPr/>
        <w:t>This Readiness Assessment Framework provides a structured methodology for evaluating organizational preparedness across six critical dimensions: Security &amp; Governance, Data Classification, Content Organization, User Access Controls, Compliance Requirements, and Technical Infrastructure. The framework is specifically designed for regulated industries where data protection and compliance are paramount.</w:t>
      </w:r>
    </w:p>
    <w:p>
      <w:pPr>
        <w:pStyle w:val="Normal"/>
        <w:spacing w:before="0" w:after="120"/>
        <w:jc w:val="both"/>
        <w:rPr/>
      </w:pPr>
      <w:r>
        <w:rPr/>
        <w:t>Organizations that complete this assessment will receive a comprehensive readiness score, prioritized remediation roadmap, and implementation timeline tailored to their specific risk profile and regulatory requirements.</w:t>
      </w:r>
    </w:p>
    <w:p>
      <w:pPr>
        <w:pStyle w:val="Heading1"/>
        <w:rPr/>
      </w:pPr>
      <w:bookmarkStart w:id="1" w:name="__RefHeading___Toc2363_4112803792"/>
      <w:bookmarkEnd w:id="1"/>
      <w:r>
        <w:rPr/>
        <w:t>Assessment Dimensions</w:t>
      </w:r>
    </w:p>
    <w:p>
      <w:pPr>
        <w:pStyle w:val="Heading2"/>
        <w:rPr/>
      </w:pPr>
      <w:bookmarkStart w:id="2" w:name="__RefHeading___Toc2365_4112803792"/>
      <w:bookmarkEnd w:id="2"/>
      <w:r>
        <w:rPr/>
        <w:t>1. Security &amp; Governance Foundation</w:t>
      </w:r>
    </w:p>
    <w:p>
      <w:pPr>
        <w:pStyle w:val="Normal"/>
        <w:spacing w:before="0" w:after="80"/>
        <w:jc w:val="both"/>
        <w:rPr/>
      </w:pPr>
      <w:r>
        <w:rPr>
          <w:b/>
          <w:bCs/>
        </w:rPr>
        <w:t xml:space="preserve">Objective: </w:t>
      </w:r>
      <w:r>
        <w:rPr/>
        <w:t>Evaluate the maturity of core M365 security controls that protect Copilot interactions and prevent unauthorized data access.</w:t>
      </w:r>
    </w:p>
    <w:p>
      <w:pPr>
        <w:pStyle w:val="Heading3"/>
        <w:jc w:val="both"/>
        <w:rPr/>
      </w:pPr>
      <w:bookmarkStart w:id="3" w:name="__RefHeading___Toc2367_4112803792"/>
      <w:bookmarkEnd w:id="3"/>
      <w:r>
        <w:rPr/>
        <w:t>Key Evaluation Areas:</w:t>
      </w:r>
    </w:p>
    <w:p>
      <w:pPr>
        <w:pStyle w:val="ListParagraph"/>
        <w:numPr>
          <w:ilvl w:val="0"/>
          <w:numId w:val="82"/>
        </w:numPr>
        <w:jc w:val="both"/>
        <w:rPr/>
      </w:pPr>
      <w:r>
        <w:rPr>
          <w:b/>
          <w:bCs/>
        </w:rPr>
        <w:t xml:space="preserve">Azure Entra ID Configuration: </w:t>
      </w:r>
      <w:r>
        <w:rPr/>
        <w:t>SSO implementation, MFA enforcement, conditional access policies</w:t>
      </w:r>
    </w:p>
    <w:p>
      <w:pPr>
        <w:pStyle w:val="ListParagraph"/>
        <w:numPr>
          <w:ilvl w:val="0"/>
          <w:numId w:val="83"/>
        </w:numPr>
        <w:jc w:val="both"/>
        <w:rPr/>
      </w:pPr>
      <w:r>
        <w:rPr>
          <w:b/>
          <w:bCs/>
        </w:rPr>
        <w:t xml:space="preserve">Zero Trust Architecture: </w:t>
      </w:r>
      <w:r>
        <w:rPr/>
        <w:t>Device compliance, identity verification, least-privilege access</w:t>
      </w:r>
    </w:p>
    <w:p>
      <w:pPr>
        <w:pStyle w:val="ListParagraph"/>
        <w:numPr>
          <w:ilvl w:val="0"/>
          <w:numId w:val="84"/>
        </w:numPr>
        <w:jc w:val="both"/>
        <w:rPr/>
      </w:pPr>
      <w:r>
        <w:rPr>
          <w:b/>
          <w:bCs/>
        </w:rPr>
        <w:t xml:space="preserve">Microsoft Purview Deployment: </w:t>
      </w:r>
      <w:r>
        <w:rPr/>
        <w:t>DLP policies, information protection, audit logging</w:t>
      </w:r>
    </w:p>
    <w:p>
      <w:pPr>
        <w:pStyle w:val="ListParagraph"/>
        <w:numPr>
          <w:ilvl w:val="0"/>
          <w:numId w:val="85"/>
        </w:numPr>
        <w:jc w:val="both"/>
        <w:rPr/>
      </w:pPr>
      <w:r>
        <w:rPr>
          <w:b/>
          <w:bCs/>
        </w:rPr>
        <w:t xml:space="preserve">Defender for Cloud Apps: </w:t>
      </w:r>
      <w:r>
        <w:rPr/>
        <w:t>CASB policies, shadow IT discovery, session controls</w:t>
      </w:r>
    </w:p>
    <w:p>
      <w:pPr>
        <w:pStyle w:val="ListParagraph"/>
        <w:numPr>
          <w:ilvl w:val="0"/>
          <w:numId w:val="86"/>
        </w:numPr>
        <w:spacing w:before="0" w:after="120"/>
        <w:jc w:val="both"/>
        <w:rPr/>
      </w:pPr>
      <w:r>
        <w:rPr>
          <w:b/>
          <w:bCs/>
        </w:rPr>
        <w:t xml:space="preserve">Security Baselines: </w:t>
      </w:r>
      <w:r>
        <w:rPr/>
        <w:t>M365 security score, security policies, threat protection</w:t>
      </w:r>
    </w:p>
    <w:p>
      <w:pPr>
        <w:pStyle w:val="Heading2"/>
        <w:jc w:val="both"/>
        <w:rPr/>
      </w:pPr>
      <w:bookmarkStart w:id="4" w:name="__RefHeading___Toc2369_4112803792"/>
      <w:bookmarkEnd w:id="4"/>
      <w:r>
        <w:rPr/>
        <w:t>2. Data Classification &amp; Sensitivity</w:t>
      </w:r>
    </w:p>
    <w:p>
      <w:pPr>
        <w:pStyle w:val="Normal"/>
        <w:spacing w:before="0" w:after="80"/>
        <w:rPr/>
      </w:pPr>
      <w:r>
        <w:rPr>
          <w:b/>
          <w:bCs/>
        </w:rPr>
        <w:t xml:space="preserve">Objective: </w:t>
      </w:r>
      <w:r>
        <w:rPr/>
        <w:t>Assess the organization's ability to identify, classify, and protect sensitive information that Copilot will access.</w:t>
      </w:r>
    </w:p>
    <w:p>
      <w:pPr>
        <w:pStyle w:val="Heading3"/>
        <w:rPr/>
      </w:pPr>
      <w:bookmarkStart w:id="5" w:name="__RefHeading___Toc2371_4112803792"/>
      <w:bookmarkEnd w:id="5"/>
      <w:r>
        <w:rPr/>
        <w:t>Key Evaluation Areas:</w:t>
      </w:r>
    </w:p>
    <w:p>
      <w:pPr>
        <w:pStyle w:val="ListParagraph"/>
        <w:numPr>
          <w:ilvl w:val="0"/>
          <w:numId w:val="87"/>
        </w:numPr>
        <w:rPr/>
      </w:pPr>
      <w:r>
        <w:rPr>
          <w:b/>
          <w:bCs/>
        </w:rPr>
        <w:t xml:space="preserve">Sensitivity Label Coverage: </w:t>
      </w:r>
      <w:r>
        <w:rPr/>
        <w:t>Percentage of documents with applied labels, label taxonomy completeness</w:t>
      </w:r>
    </w:p>
    <w:p>
      <w:pPr>
        <w:pStyle w:val="ListParagraph"/>
        <w:numPr>
          <w:ilvl w:val="0"/>
          <w:numId w:val="88"/>
        </w:numPr>
        <w:rPr/>
      </w:pPr>
      <w:r>
        <w:rPr>
          <w:b/>
          <w:bCs/>
        </w:rPr>
        <w:t xml:space="preserve">Auto-Classification Maturity: </w:t>
      </w:r>
      <w:r>
        <w:rPr/>
        <w:t>Trainable classifiers, sensitive info types, automatic labeling policies</w:t>
      </w:r>
    </w:p>
    <w:p>
      <w:pPr>
        <w:pStyle w:val="ListParagraph"/>
        <w:numPr>
          <w:ilvl w:val="0"/>
          <w:numId w:val="89"/>
        </w:numPr>
        <w:rPr/>
      </w:pPr>
      <w:r>
        <w:rPr>
          <w:b/>
          <w:bCs/>
        </w:rPr>
        <w:t xml:space="preserve">Data Loss Prevention: </w:t>
      </w:r>
      <w:r>
        <w:rPr/>
        <w:t>DLP policy coverage, endpoint DLP, policy effectiveness</w:t>
      </w:r>
    </w:p>
    <w:p>
      <w:pPr>
        <w:pStyle w:val="ListParagraph"/>
        <w:numPr>
          <w:ilvl w:val="0"/>
          <w:numId w:val="90"/>
        </w:numPr>
        <w:rPr/>
      </w:pPr>
      <w:r>
        <w:rPr>
          <w:b/>
          <w:bCs/>
        </w:rPr>
        <w:t xml:space="preserve">Retention &amp; Disposal: </w:t>
      </w:r>
      <w:r>
        <w:rPr/>
        <w:t>Retention policies, deletion policies, legal hold capabilities</w:t>
      </w:r>
    </w:p>
    <w:p>
      <w:pPr>
        <w:pStyle w:val="ListParagraph"/>
        <w:numPr>
          <w:ilvl w:val="0"/>
          <w:numId w:val="91"/>
        </w:numPr>
        <w:spacing w:before="0" w:after="120"/>
        <w:rPr/>
      </w:pPr>
      <w:r>
        <w:rPr>
          <w:b/>
          <w:bCs/>
        </w:rPr>
        <w:t xml:space="preserve">Sensitive Data Inventory: </w:t>
      </w:r>
      <w:r>
        <w:rPr/>
        <w:t>PII, PHI, financial data, intellectual property mapping</w:t>
      </w:r>
    </w:p>
    <w:p>
      <w:pPr>
        <w:pStyle w:val="Heading2"/>
        <w:rPr/>
      </w:pPr>
      <w:bookmarkStart w:id="6" w:name="__RefHeading___Toc2373_4112803792"/>
      <w:bookmarkEnd w:id="6"/>
      <w:r>
        <w:rPr/>
        <w:t>3. Content Organization &amp; Oversharing</w:t>
      </w:r>
    </w:p>
    <w:p>
      <w:pPr>
        <w:pStyle w:val="Normal"/>
        <w:spacing w:before="0" w:after="80"/>
        <w:rPr/>
      </w:pPr>
      <w:r>
        <w:rPr>
          <w:b/>
          <w:bCs/>
        </w:rPr>
        <w:t xml:space="preserve">Objective: </w:t>
      </w:r>
      <w:r>
        <w:rPr/>
        <w:t>Identify oversharing risks in SharePoint, OneDrive, and Teams where Copilot may surface inappropriate content to users.</w:t>
      </w:r>
    </w:p>
    <w:p>
      <w:pPr>
        <w:pStyle w:val="Heading3"/>
        <w:rPr/>
      </w:pPr>
      <w:bookmarkStart w:id="7" w:name="__RefHeading___Toc2375_4112803792"/>
      <w:bookmarkEnd w:id="7"/>
      <w:r>
        <w:rPr/>
        <w:t>Key Evaluation Areas:</w:t>
      </w:r>
    </w:p>
    <w:p>
      <w:pPr>
        <w:pStyle w:val="ListParagraph"/>
        <w:numPr>
          <w:ilvl w:val="0"/>
          <w:numId w:val="92"/>
        </w:numPr>
        <w:rPr/>
      </w:pPr>
      <w:r>
        <w:rPr>
          <w:b/>
          <w:bCs/>
        </w:rPr>
        <w:t xml:space="preserve">Oversharing Analysis: </w:t>
      </w:r>
      <w:r>
        <w:rPr/>
        <w:t>'Everyone' or 'Everyone except external' shares, anonymous links, broad permissions</w:t>
      </w:r>
    </w:p>
    <w:p>
      <w:pPr>
        <w:pStyle w:val="ListParagraph"/>
        <w:numPr>
          <w:ilvl w:val="0"/>
          <w:numId w:val="93"/>
        </w:numPr>
        <w:rPr/>
      </w:pPr>
      <w:r>
        <w:rPr>
          <w:b/>
          <w:bCs/>
        </w:rPr>
        <w:t xml:space="preserve">SharePoint Architecture: </w:t>
      </w:r>
      <w:r>
        <w:rPr/>
        <w:t>Site structure, permission inheritance, external sharing settings</w:t>
      </w:r>
    </w:p>
    <w:p>
      <w:pPr>
        <w:pStyle w:val="ListParagraph"/>
        <w:numPr>
          <w:ilvl w:val="0"/>
          <w:numId w:val="94"/>
        </w:numPr>
        <w:rPr/>
      </w:pPr>
      <w:r>
        <w:rPr>
          <w:b/>
          <w:bCs/>
        </w:rPr>
        <w:t xml:space="preserve">OneDrive Governance: </w:t>
      </w:r>
      <w:r>
        <w:rPr/>
        <w:t>Personal folder hygiene, sharing patterns, business vs. personal content</w:t>
      </w:r>
    </w:p>
    <w:p>
      <w:pPr>
        <w:pStyle w:val="ListParagraph"/>
        <w:numPr>
          <w:ilvl w:val="0"/>
          <w:numId w:val="95"/>
        </w:numPr>
        <w:rPr/>
      </w:pPr>
      <w:r>
        <w:rPr>
          <w:b/>
          <w:bCs/>
        </w:rPr>
        <w:t xml:space="preserve">Teams Security: </w:t>
      </w:r>
      <w:r>
        <w:rPr/>
        <w:t>Private vs. public teams, guest access, channel structure</w:t>
      </w:r>
    </w:p>
    <w:p>
      <w:pPr>
        <w:pStyle w:val="ListParagraph"/>
        <w:numPr>
          <w:ilvl w:val="0"/>
          <w:numId w:val="96"/>
        </w:numPr>
        <w:spacing w:before="0" w:after="120"/>
        <w:rPr/>
      </w:pPr>
      <w:r>
        <w:rPr>
          <w:b/>
          <w:bCs/>
        </w:rPr>
        <w:t xml:space="preserve">Orphaned Content: </w:t>
      </w:r>
      <w:r>
        <w:rPr/>
        <w:t>Sites without owners, inactive content, migration artifacts</w:t>
      </w:r>
    </w:p>
    <w:p>
      <w:pPr>
        <w:pStyle w:val="Heading2"/>
        <w:rPr/>
      </w:pPr>
      <w:bookmarkStart w:id="8" w:name="__RefHeading___Toc2377_4112803792"/>
      <w:bookmarkEnd w:id="8"/>
      <w:r>
        <w:rPr/>
        <w:t>4. User Access &amp; Identity Controls</w:t>
      </w:r>
    </w:p>
    <w:p>
      <w:pPr>
        <w:pStyle w:val="Normal"/>
        <w:spacing w:before="0" w:after="80"/>
        <w:rPr/>
      </w:pPr>
      <w:r>
        <w:rPr>
          <w:b/>
          <w:bCs/>
        </w:rPr>
        <w:t xml:space="preserve">Objective: </w:t>
      </w:r>
      <w:r>
        <w:rPr/>
        <w:t>Verify that user access controls will properly scope Copilot's data access and prevent privilege escalation.</w:t>
      </w:r>
    </w:p>
    <w:p>
      <w:pPr>
        <w:pStyle w:val="Heading3"/>
        <w:rPr/>
      </w:pPr>
      <w:bookmarkStart w:id="9" w:name="__RefHeading___Toc2379_4112803792"/>
      <w:bookmarkEnd w:id="9"/>
      <w:r>
        <w:rPr/>
        <w:t>Key Evaluation Areas:</w:t>
      </w:r>
    </w:p>
    <w:p>
      <w:pPr>
        <w:pStyle w:val="ListParagraph"/>
        <w:numPr>
          <w:ilvl w:val="0"/>
          <w:numId w:val="97"/>
        </w:numPr>
        <w:rPr/>
      </w:pPr>
      <w:r>
        <w:rPr>
          <w:b/>
          <w:bCs/>
        </w:rPr>
        <w:t xml:space="preserve">Permission Model: </w:t>
      </w:r>
      <w:r>
        <w:rPr/>
        <w:t>RBAC implementation, group-based access, permission boundaries</w:t>
      </w:r>
    </w:p>
    <w:p>
      <w:pPr>
        <w:pStyle w:val="ListParagraph"/>
        <w:numPr>
          <w:ilvl w:val="0"/>
          <w:numId w:val="98"/>
        </w:numPr>
        <w:rPr/>
      </w:pPr>
      <w:r>
        <w:rPr>
          <w:b/>
          <w:bCs/>
        </w:rPr>
        <w:t xml:space="preserve">External User Management: </w:t>
      </w:r>
      <w:r>
        <w:rPr/>
        <w:t>Guest policies, B2B collaboration, external access reviews</w:t>
      </w:r>
    </w:p>
    <w:p>
      <w:pPr>
        <w:pStyle w:val="ListParagraph"/>
        <w:numPr>
          <w:ilvl w:val="0"/>
          <w:numId w:val="99"/>
        </w:numPr>
        <w:rPr/>
      </w:pPr>
      <w:r>
        <w:rPr>
          <w:b/>
          <w:bCs/>
        </w:rPr>
        <w:t xml:space="preserve">Privileged Access: </w:t>
      </w:r>
      <w:r>
        <w:rPr/>
        <w:t>Admin roles, PIM implementation, privileged account governance</w:t>
      </w:r>
    </w:p>
    <w:p>
      <w:pPr>
        <w:pStyle w:val="ListParagraph"/>
        <w:numPr>
          <w:ilvl w:val="0"/>
          <w:numId w:val="100"/>
        </w:numPr>
        <w:rPr/>
      </w:pPr>
      <w:r>
        <w:rPr>
          <w:b/>
          <w:bCs/>
        </w:rPr>
        <w:t xml:space="preserve">Access Reviews: </w:t>
      </w:r>
      <w:r>
        <w:rPr/>
        <w:t>Periodic certification, automated remediation, audit trails</w:t>
      </w:r>
    </w:p>
    <w:p>
      <w:pPr>
        <w:pStyle w:val="ListParagraph"/>
        <w:numPr>
          <w:ilvl w:val="0"/>
          <w:numId w:val="101"/>
        </w:numPr>
        <w:spacing w:before="0" w:after="120"/>
        <w:rPr/>
      </w:pPr>
      <w:r>
        <w:rPr>
          <w:b/>
          <w:bCs/>
        </w:rPr>
        <w:t xml:space="preserve">Service Accounts: </w:t>
      </w:r>
      <w:r>
        <w:rPr/>
        <w:t>Non-human identities, API access, automation accounts</w:t>
      </w:r>
    </w:p>
    <w:p>
      <w:pPr>
        <w:pStyle w:val="Heading2"/>
        <w:rPr/>
      </w:pPr>
      <w:bookmarkStart w:id="10" w:name="__RefHeading___Toc2381_4112803792"/>
      <w:bookmarkEnd w:id="10"/>
      <w:r>
        <w:rPr/>
        <w:t>5. Regulatory Compliance &amp; Privacy</w:t>
      </w:r>
    </w:p>
    <w:p>
      <w:pPr>
        <w:pStyle w:val="Normal"/>
        <w:spacing w:before="0" w:after="80"/>
        <w:rPr/>
      </w:pPr>
      <w:r>
        <w:rPr>
          <w:b/>
          <w:bCs/>
        </w:rPr>
        <w:t xml:space="preserve">Objective: </w:t>
      </w:r>
      <w:r>
        <w:rPr/>
        <w:t>Ensure Copilot deployment aligns with industry regulations and organizational privacy requirements.</w:t>
      </w:r>
    </w:p>
    <w:p>
      <w:pPr>
        <w:pStyle w:val="Heading3"/>
        <w:rPr/>
      </w:pPr>
      <w:bookmarkStart w:id="11" w:name="__RefHeading___Toc2383_4112803792"/>
      <w:bookmarkEnd w:id="11"/>
      <w:r>
        <w:rPr/>
        <w:t>Key Evaluation Areas:</w:t>
      </w:r>
    </w:p>
    <w:p>
      <w:pPr>
        <w:pStyle w:val="ListParagraph"/>
        <w:numPr>
          <w:ilvl w:val="0"/>
          <w:numId w:val="102"/>
        </w:numPr>
        <w:rPr/>
      </w:pPr>
      <w:r>
        <w:rPr>
          <w:b/>
          <w:bCs/>
        </w:rPr>
        <w:t xml:space="preserve">Regulatory Framework: </w:t>
      </w:r>
      <w:r>
        <w:rPr/>
        <w:t>GDPR, HIPAA, SOX, FINRA, PCI-DSS, industry-specific requirements</w:t>
      </w:r>
    </w:p>
    <w:p>
      <w:pPr>
        <w:pStyle w:val="ListParagraph"/>
        <w:numPr>
          <w:ilvl w:val="0"/>
          <w:numId w:val="103"/>
        </w:numPr>
        <w:rPr/>
      </w:pPr>
      <w:r>
        <w:rPr>
          <w:b/>
          <w:bCs/>
        </w:rPr>
        <w:t xml:space="preserve">Data Residency: </w:t>
      </w:r>
      <w:r>
        <w:rPr/>
        <w:t>Geographic data storage, sovereignty requirements, cross-border transfers</w:t>
      </w:r>
    </w:p>
    <w:p>
      <w:pPr>
        <w:pStyle w:val="ListParagraph"/>
        <w:numPr>
          <w:ilvl w:val="0"/>
          <w:numId w:val="104"/>
        </w:numPr>
        <w:rPr/>
      </w:pPr>
      <w:r>
        <w:rPr>
          <w:b/>
          <w:bCs/>
        </w:rPr>
        <w:t xml:space="preserve">Audit &amp; Reporting: </w:t>
      </w:r>
      <w:r>
        <w:rPr/>
        <w:t>Compliance Manager scores, audit log retention, eDiscovery readiness</w:t>
      </w:r>
    </w:p>
    <w:p>
      <w:pPr>
        <w:pStyle w:val="ListParagraph"/>
        <w:numPr>
          <w:ilvl w:val="0"/>
          <w:numId w:val="105"/>
        </w:numPr>
        <w:rPr/>
      </w:pPr>
      <w:r>
        <w:rPr>
          <w:b/>
          <w:bCs/>
        </w:rPr>
        <w:t xml:space="preserve">Privacy Controls: </w:t>
      </w:r>
      <w:r>
        <w:rPr/>
        <w:t>Data minimization, purpose limitation, user consent management</w:t>
      </w:r>
    </w:p>
    <w:p>
      <w:pPr>
        <w:pStyle w:val="ListParagraph"/>
        <w:numPr>
          <w:ilvl w:val="0"/>
          <w:numId w:val="106"/>
        </w:numPr>
        <w:spacing w:before="0" w:after="120"/>
        <w:rPr/>
      </w:pPr>
      <w:r>
        <w:rPr>
          <w:b/>
          <w:bCs/>
        </w:rPr>
        <w:t xml:space="preserve">Third Party Risk: </w:t>
      </w:r>
      <w:r>
        <w:rPr/>
        <w:t>Vendor assessments, sub-processor management, data processing agreements</w:t>
      </w:r>
    </w:p>
    <w:p>
      <w:pPr>
        <w:pStyle w:val="Heading2"/>
        <w:rPr/>
      </w:pPr>
      <w:bookmarkStart w:id="12" w:name="__RefHeading___Toc2385_4112803792"/>
      <w:bookmarkEnd w:id="12"/>
      <w:r>
        <w:rPr/>
        <w:t>6. Technical Infrastructure &amp; Licensing</w:t>
      </w:r>
    </w:p>
    <w:p>
      <w:pPr>
        <w:pStyle w:val="Normal"/>
        <w:spacing w:before="0" w:after="80"/>
        <w:rPr/>
      </w:pPr>
      <w:r>
        <w:rPr>
          <w:b/>
          <w:bCs/>
        </w:rPr>
        <w:t xml:space="preserve">Objective: </w:t>
      </w:r>
      <w:r>
        <w:rPr/>
        <w:t>Validate technical prerequisites and licensing requirements for Copilot deployment.</w:t>
      </w:r>
    </w:p>
    <w:p>
      <w:pPr>
        <w:pStyle w:val="Heading3"/>
        <w:rPr/>
      </w:pPr>
      <w:bookmarkStart w:id="13" w:name="__RefHeading___Toc2387_4112803792"/>
      <w:bookmarkEnd w:id="13"/>
      <w:r>
        <w:rPr/>
        <w:t>Key Evaluation Areas:</w:t>
      </w:r>
    </w:p>
    <w:p>
      <w:pPr>
        <w:pStyle w:val="ListParagraph"/>
        <w:numPr>
          <w:ilvl w:val="0"/>
          <w:numId w:val="107"/>
        </w:numPr>
        <w:rPr/>
      </w:pPr>
      <w:r>
        <w:rPr>
          <w:b/>
          <w:bCs/>
        </w:rPr>
        <w:t xml:space="preserve">License Requirements: </w:t>
      </w:r>
      <w:r>
        <w:rPr/>
        <w:t>M365 E3/E5, Copilot licenses, feature-specific licensing</w:t>
      </w:r>
    </w:p>
    <w:p>
      <w:pPr>
        <w:pStyle w:val="ListParagraph"/>
        <w:numPr>
          <w:ilvl w:val="0"/>
          <w:numId w:val="108"/>
        </w:numPr>
        <w:rPr/>
      </w:pPr>
      <w:r>
        <w:rPr>
          <w:b/>
          <w:bCs/>
        </w:rPr>
        <w:t xml:space="preserve">Network Connectivity: </w:t>
      </w:r>
      <w:r>
        <w:rPr/>
        <w:t>Bandwidth requirements, latency thresholds, endpoint connectivity</w:t>
      </w:r>
    </w:p>
    <w:p>
      <w:pPr>
        <w:pStyle w:val="ListParagraph"/>
        <w:numPr>
          <w:ilvl w:val="0"/>
          <w:numId w:val="109"/>
        </w:numPr>
        <w:rPr/>
      </w:pPr>
      <w:r>
        <w:rPr>
          <w:b/>
          <w:bCs/>
        </w:rPr>
        <w:t xml:space="preserve">Client Requirements: </w:t>
      </w:r>
      <w:r>
        <w:rPr/>
        <w:t>M365 Apps version, browser compatibility, device management</w:t>
      </w:r>
    </w:p>
    <w:p>
      <w:pPr>
        <w:pStyle w:val="ListParagraph"/>
        <w:numPr>
          <w:ilvl w:val="0"/>
          <w:numId w:val="110"/>
        </w:numPr>
        <w:rPr/>
      </w:pPr>
      <w:r>
        <w:rPr>
          <w:b/>
          <w:bCs/>
        </w:rPr>
        <w:t xml:space="preserve">Integration Points: </w:t>
      </w:r>
      <w:r>
        <w:rPr/>
        <w:t>Graph API usage, custom apps, line-of-business systems</w:t>
      </w:r>
    </w:p>
    <w:p>
      <w:pPr>
        <w:pStyle w:val="ListParagraph"/>
        <w:numPr>
          <w:ilvl w:val="0"/>
          <w:numId w:val="111"/>
        </w:numPr>
        <w:spacing w:before="0" w:after="120"/>
        <w:rPr/>
      </w:pPr>
      <w:r>
        <w:rPr>
          <w:b/>
          <w:bCs/>
        </w:rPr>
        <w:t xml:space="preserve">Performance Baselines: </w:t>
      </w:r>
      <w:r>
        <w:rPr/>
        <w:t>Current M365 performance, capacity planning, scalability assessment</w:t>
      </w:r>
    </w:p>
    <w:p>
      <w:pPr>
        <w:pStyle w:val="Heading1"/>
        <w:rPr/>
      </w:pPr>
      <w:bookmarkStart w:id="14" w:name="__RefHeading___Toc2389_4112803792"/>
      <w:bookmarkEnd w:id="14"/>
      <w:r>
        <w:rPr/>
        <w:t>Assessment Methodology</w:t>
      </w:r>
    </w:p>
    <w:p>
      <w:pPr>
        <w:pStyle w:val="Heading2"/>
        <w:rPr/>
      </w:pPr>
      <w:bookmarkStart w:id="15" w:name="__RefHeading___Toc2391_4112803792"/>
      <w:bookmarkEnd w:id="15"/>
      <w:r>
        <w:rPr/>
        <w:t>Phase 1: Discovery &amp; Data Collection</w:t>
      </w:r>
    </w:p>
    <w:p>
      <w:pPr>
        <w:pStyle w:val="Normal"/>
        <w:spacing w:before="0" w:after="80"/>
        <w:rPr/>
      </w:pPr>
      <w:r>
        <w:rPr>
          <w:b/>
          <w:bCs/>
        </w:rPr>
        <w:t xml:space="preserve">Duration: </w:t>
      </w:r>
      <w:r>
        <w:rPr/>
        <w:t>2-3 weeks</w:t>
      </w:r>
    </w:p>
    <w:p>
      <w:pPr>
        <w:pStyle w:val="ListParagraph"/>
        <w:numPr>
          <w:ilvl w:val="0"/>
          <w:numId w:val="112"/>
        </w:numPr>
        <w:rPr/>
      </w:pPr>
      <w:r>
        <w:rPr>
          <w:b/>
          <w:bCs/>
        </w:rPr>
        <w:t xml:space="preserve">Stakeholder Interviews: </w:t>
      </w:r>
      <w:r>
        <w:rPr/>
        <w:t>IT leadership, security team, compliance officers, business unit leaders</w:t>
      </w:r>
    </w:p>
    <w:p>
      <w:pPr>
        <w:pStyle w:val="ListParagraph"/>
        <w:numPr>
          <w:ilvl w:val="0"/>
          <w:numId w:val="113"/>
        </w:numPr>
        <w:rPr/>
      </w:pPr>
      <w:r>
        <w:rPr>
          <w:b/>
          <w:bCs/>
        </w:rPr>
        <w:t xml:space="preserve">Technical Configuration Review: </w:t>
      </w:r>
      <w:r>
        <w:rPr/>
        <w:t>Tenant configuration, security policies, licensing inventory</w:t>
      </w:r>
    </w:p>
    <w:p>
      <w:pPr>
        <w:pStyle w:val="ListParagraph"/>
        <w:numPr>
          <w:ilvl w:val="0"/>
          <w:numId w:val="114"/>
        </w:numPr>
        <w:rPr/>
      </w:pPr>
      <w:r>
        <w:rPr>
          <w:b/>
          <w:bCs/>
        </w:rPr>
        <w:t xml:space="preserve">Automated Scanning: </w:t>
      </w:r>
      <w:r>
        <w:rPr/>
        <w:t>PowerShell scripts, Graph API queries, third-party assessment tools</w:t>
      </w:r>
    </w:p>
    <w:p>
      <w:pPr>
        <w:pStyle w:val="ListParagraph"/>
        <w:numPr>
          <w:ilvl w:val="0"/>
          <w:numId w:val="115"/>
        </w:numPr>
        <w:rPr/>
      </w:pPr>
      <w:r>
        <w:rPr>
          <w:b/>
          <w:bCs/>
        </w:rPr>
        <w:t xml:space="preserve">Content Analysis: </w:t>
      </w:r>
      <w:r>
        <w:rPr/>
        <w:t>SharePoint site inventory, OneDrive usage patterns, Teams structure</w:t>
      </w:r>
    </w:p>
    <w:p>
      <w:pPr>
        <w:pStyle w:val="ListParagraph"/>
        <w:numPr>
          <w:ilvl w:val="0"/>
          <w:numId w:val="116"/>
        </w:numPr>
        <w:spacing w:before="0" w:after="120"/>
        <w:rPr/>
      </w:pPr>
      <w:r>
        <w:rPr>
          <w:b/>
          <w:bCs/>
        </w:rPr>
        <w:t xml:space="preserve">Compliance Documentation: </w:t>
      </w:r>
      <w:r>
        <w:rPr/>
        <w:t>Policy review, regulatory requirements, existing assessments</w:t>
      </w:r>
    </w:p>
    <w:p>
      <w:pPr>
        <w:pStyle w:val="Heading2"/>
        <w:rPr/>
      </w:pPr>
      <w:bookmarkStart w:id="16" w:name="__RefHeading___Toc2393_4112803792"/>
      <w:bookmarkEnd w:id="16"/>
      <w:r>
        <w:rPr/>
        <w:t>Phase 2: Gap Analysis &amp; Risk Scoring</w:t>
      </w:r>
    </w:p>
    <w:p>
      <w:pPr>
        <w:pStyle w:val="Normal"/>
        <w:spacing w:before="0" w:after="80"/>
        <w:rPr/>
      </w:pPr>
      <w:r>
        <w:rPr>
          <w:b/>
          <w:bCs/>
        </w:rPr>
        <w:t xml:space="preserve">Duration: </w:t>
      </w:r>
      <w:r>
        <w:rPr/>
        <w:t>1-2 weeks</w:t>
      </w:r>
    </w:p>
    <w:p>
      <w:pPr>
        <w:pStyle w:val="ListParagraph"/>
        <w:numPr>
          <w:ilvl w:val="0"/>
          <w:numId w:val="117"/>
        </w:numPr>
        <w:rPr/>
      </w:pPr>
      <w:r>
        <w:rPr>
          <w:b/>
          <w:bCs/>
        </w:rPr>
        <w:t xml:space="preserve">Maturity Assessment: </w:t>
      </w:r>
      <w:r>
        <w:rPr/>
        <w:t>Score each dimension on 1-5 scale (Initial, Developing, Defined, Managed, Optimized)</w:t>
      </w:r>
    </w:p>
    <w:p>
      <w:pPr>
        <w:pStyle w:val="ListParagraph"/>
        <w:numPr>
          <w:ilvl w:val="0"/>
          <w:numId w:val="118"/>
        </w:numPr>
        <w:rPr/>
      </w:pPr>
      <w:r>
        <w:rPr>
          <w:b/>
          <w:bCs/>
        </w:rPr>
        <w:t xml:space="preserve">Risk Identification: </w:t>
      </w:r>
      <w:r>
        <w:rPr/>
        <w:t>Catalog findings by severity (Critical, High, Medium, Low)</w:t>
      </w:r>
    </w:p>
    <w:p>
      <w:pPr>
        <w:pStyle w:val="ListParagraph"/>
        <w:numPr>
          <w:ilvl w:val="0"/>
          <w:numId w:val="119"/>
        </w:numPr>
        <w:rPr/>
      </w:pPr>
      <w:r>
        <w:rPr>
          <w:b/>
          <w:bCs/>
        </w:rPr>
        <w:t xml:space="preserve">Oversharing Quantification: </w:t>
      </w:r>
      <w:r>
        <w:rPr/>
        <w:t>Calculate exposure metrics, identify high-risk content</w:t>
      </w:r>
    </w:p>
    <w:p>
      <w:pPr>
        <w:pStyle w:val="ListParagraph"/>
        <w:numPr>
          <w:ilvl w:val="0"/>
          <w:numId w:val="120"/>
        </w:numPr>
        <w:spacing w:before="0" w:after="120"/>
        <w:rPr/>
      </w:pPr>
      <w:r>
        <w:rPr>
          <w:b/>
          <w:bCs/>
        </w:rPr>
        <w:t xml:space="preserve">Compliance Gap Analysis: </w:t>
      </w:r>
      <w:r>
        <w:rPr/>
        <w:t>Map requirements to current state, identify control deficiencies</w:t>
      </w:r>
    </w:p>
    <w:p>
      <w:pPr>
        <w:pStyle w:val="Heading2"/>
        <w:rPr/>
      </w:pPr>
      <w:bookmarkStart w:id="17" w:name="__RefHeading___Toc2395_4112803792"/>
      <w:bookmarkEnd w:id="17"/>
      <w:r>
        <w:rPr/>
        <w:t>Phase 3: Remediation Planning</w:t>
      </w:r>
    </w:p>
    <w:p>
      <w:pPr>
        <w:pStyle w:val="Normal"/>
        <w:spacing w:before="0" w:after="80"/>
        <w:rPr/>
      </w:pPr>
      <w:r>
        <w:rPr>
          <w:b/>
          <w:bCs/>
        </w:rPr>
        <w:t xml:space="preserve">Duration: </w:t>
      </w:r>
      <w:r>
        <w:rPr/>
        <w:t>1 week</w:t>
      </w:r>
    </w:p>
    <w:p>
      <w:pPr>
        <w:pStyle w:val="ListParagraph"/>
        <w:numPr>
          <w:ilvl w:val="0"/>
          <w:numId w:val="121"/>
        </w:numPr>
        <w:rPr/>
      </w:pPr>
      <w:r>
        <w:rPr>
          <w:b/>
          <w:bCs/>
        </w:rPr>
        <w:t xml:space="preserve">Prioritization Matrix: </w:t>
      </w:r>
      <w:r>
        <w:rPr/>
        <w:t>Rank findings by risk severity and implementation effort</w:t>
      </w:r>
    </w:p>
    <w:p>
      <w:pPr>
        <w:pStyle w:val="ListParagraph"/>
        <w:numPr>
          <w:ilvl w:val="0"/>
          <w:numId w:val="122"/>
        </w:numPr>
        <w:rPr/>
      </w:pPr>
      <w:r>
        <w:rPr>
          <w:b/>
          <w:bCs/>
        </w:rPr>
        <w:t xml:space="preserve">Remediation Roadmap: </w:t>
      </w:r>
      <w:r>
        <w:rPr/>
        <w:t>Phased approach with timelines, dependencies, resource requirements</w:t>
      </w:r>
    </w:p>
    <w:p>
      <w:pPr>
        <w:pStyle w:val="ListParagraph"/>
        <w:numPr>
          <w:ilvl w:val="0"/>
          <w:numId w:val="123"/>
        </w:numPr>
        <w:rPr/>
      </w:pPr>
      <w:r>
        <w:rPr>
          <w:b/>
          <w:bCs/>
        </w:rPr>
        <w:t xml:space="preserve">Quick Wins: </w:t>
      </w:r>
      <w:r>
        <w:rPr/>
        <w:t>Identify high-impact, low-effort improvements for immediate action</w:t>
      </w:r>
    </w:p>
    <w:p>
      <w:pPr>
        <w:pStyle w:val="ListParagraph"/>
        <w:numPr>
          <w:ilvl w:val="0"/>
          <w:numId w:val="124"/>
        </w:numPr>
        <w:spacing w:before="0" w:after="120"/>
        <w:rPr/>
      </w:pPr>
      <w:r>
        <w:rPr>
          <w:b/>
          <w:bCs/>
        </w:rPr>
        <w:t xml:space="preserve">Long-Term Strategy: </w:t>
      </w:r>
      <w:r>
        <w:rPr/>
        <w:t>Architectural recommendations, policy frameworks, governance models</w:t>
      </w:r>
    </w:p>
    <w:p>
      <w:pPr>
        <w:pStyle w:val="Heading2"/>
        <w:rPr/>
      </w:pPr>
      <w:bookmarkStart w:id="18" w:name="__RefHeading___Toc2397_4112803792"/>
      <w:bookmarkEnd w:id="18"/>
      <w:r>
        <w:rPr/>
        <w:t>Phase 4: Reporting &amp; Presentation</w:t>
      </w:r>
    </w:p>
    <w:p>
      <w:pPr>
        <w:pStyle w:val="Normal"/>
        <w:spacing w:before="0" w:after="80"/>
        <w:rPr/>
      </w:pPr>
      <w:r>
        <w:rPr>
          <w:b/>
          <w:bCs/>
        </w:rPr>
        <w:t xml:space="preserve">Duration: </w:t>
      </w:r>
      <w:r>
        <w:rPr/>
        <w:t>1 week</w:t>
      </w:r>
    </w:p>
    <w:p>
      <w:pPr>
        <w:pStyle w:val="ListParagraph"/>
        <w:numPr>
          <w:ilvl w:val="0"/>
          <w:numId w:val="125"/>
        </w:numPr>
        <w:rPr/>
      </w:pPr>
      <w:r>
        <w:rPr>
          <w:b/>
          <w:bCs/>
        </w:rPr>
        <w:t xml:space="preserve">Executive Summary: </w:t>
      </w:r>
      <w:r>
        <w:rPr/>
        <w:t>High-level findings, readiness score, investment requirements</w:t>
      </w:r>
    </w:p>
    <w:p>
      <w:pPr>
        <w:pStyle w:val="ListParagraph"/>
        <w:numPr>
          <w:ilvl w:val="0"/>
          <w:numId w:val="126"/>
        </w:numPr>
        <w:rPr/>
      </w:pPr>
      <w:r>
        <w:rPr>
          <w:b/>
          <w:bCs/>
        </w:rPr>
        <w:t xml:space="preserve">Technical Report: </w:t>
      </w:r>
      <w:r>
        <w:rPr/>
        <w:t>Detailed findings, evidence, technical recommendations</w:t>
      </w:r>
    </w:p>
    <w:p>
      <w:pPr>
        <w:pStyle w:val="ListParagraph"/>
        <w:numPr>
          <w:ilvl w:val="0"/>
          <w:numId w:val="127"/>
        </w:numPr>
        <w:rPr/>
      </w:pPr>
      <w:r>
        <w:rPr>
          <w:b/>
          <w:bCs/>
        </w:rPr>
        <w:t xml:space="preserve">Stakeholder Presentation: </w:t>
      </w:r>
      <w:r>
        <w:rPr/>
        <w:t>Executive briefing, Q&amp;A session, implementation kickoff</w:t>
      </w:r>
    </w:p>
    <w:p>
      <w:pPr>
        <w:pStyle w:val="ListParagraph"/>
        <w:numPr>
          <w:ilvl w:val="0"/>
          <w:numId w:val="128"/>
        </w:numPr>
        <w:spacing w:before="0" w:after="120"/>
        <w:rPr/>
      </w:pPr>
      <w:r>
        <w:rPr>
          <w:b/>
          <w:bCs/>
        </w:rPr>
        <w:t xml:space="preserve">Remediation Playbook: </w:t>
      </w:r>
      <w:r>
        <w:rPr/>
        <w:t>Step-by-step guides, scripts, configuration templates</w:t>
      </w:r>
    </w:p>
    <w:p>
      <w:pPr>
        <w:pStyle w:val="Heading1"/>
        <w:rPr/>
      </w:pPr>
      <w:bookmarkStart w:id="19" w:name="__RefHeading___Toc2399_4112803792"/>
      <w:bookmarkEnd w:id="19"/>
      <w:r>
        <w:rPr/>
        <w:t>Readiness Scoring Model</w:t>
      </w:r>
    </w:p>
    <w:p>
      <w:pPr>
        <w:pStyle w:val="Normal"/>
        <w:spacing w:before="0" w:after="120"/>
        <w:rPr/>
      </w:pPr>
      <w:r>
        <w:rPr/>
        <w:t>Each assessment dimension receives a maturity score from 1-5, weighted by criticality to Copilot deployment:</w:t>
      </w:r>
    </w:p>
    <w:tbl>
      <w:tblPr>
        <w:tblW w:w="9360" w:type="dxa"/>
        <w:jc w:val="start"/>
        <w:tblInd w:w="0" w:type="dxa"/>
        <w:tblLayout w:type="fixed"/>
        <w:tblCellMar>
          <w:top w:w="100" w:type="dxa"/>
          <w:start w:w="180" w:type="dxa"/>
          <w:bottom w:w="100" w:type="dxa"/>
          <w:end w:w="180" w:type="dxa"/>
        </w:tblCellMar>
      </w:tblPr>
      <w:tblGrid>
        <w:gridCol w:w="2340"/>
        <w:gridCol w:w="4680"/>
        <w:gridCol w:w="2340"/>
      </w:tblGrid>
      <w:tr>
        <w:trPr>
          <w:tblHeader w:val="true"/>
        </w:trPr>
        <w:tc>
          <w:tcPr>
            <w:tcW w:w="234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b/>
                <w:bCs/>
                <w:color w:val="FFFFFF"/>
                <w:sz w:val="22"/>
                <w:szCs w:val="22"/>
              </w:rPr>
              <w:t>Dimension</w:t>
            </w:r>
          </w:p>
        </w:tc>
        <w:tc>
          <w:tcPr>
            <w:tcW w:w="468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b/>
                <w:bCs/>
                <w:color w:val="FFFFFF"/>
                <w:sz w:val="22"/>
                <w:szCs w:val="22"/>
              </w:rPr>
              <w:t>Maturity Levels</w:t>
            </w:r>
          </w:p>
        </w:tc>
        <w:tc>
          <w:tcPr>
            <w:tcW w:w="234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b/>
                <w:bCs/>
                <w:color w:val="FFFFFF"/>
                <w:sz w:val="22"/>
                <w:szCs w:val="22"/>
              </w:rPr>
              <w:t>Weight</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bCs/>
              </w:rPr>
              <w:t>Security &amp; Governance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t>1=No controls | 2=Basic | 3=Defined | 4=Managed | 5=Optimized</w:t>
            </w:r>
          </w:p>
        </w:tc>
        <w:tc>
          <w:tcPr>
            <w:tcW w:w="2340" w:type="dxa"/>
            <w:tcBorders>
              <w:top w:val="single" w:sz="2" w:space="0" w:color="CCCCCC"/>
              <w:start w:val="single" w:sz="2" w:space="0" w:color="CCCCCC"/>
              <w:bottom w:val="single" w:sz="2" w:space="0" w:color="CCCCCC"/>
              <w:end w:val="single" w:sz="2" w:space="0" w:color="CCCCCC"/>
            </w:tcBorders>
          </w:tcPr>
          <w:p>
            <w:pPr>
              <w:pStyle w:val="Normal"/>
              <w:jc w:val="center"/>
              <w:rPr/>
            </w:pPr>
            <w:r>
              <w:rPr>
                <w:b/>
                <w:bCs/>
              </w:rPr>
              <w:t>25%</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bCs/>
              </w:rPr>
              <w:t>Data Classification</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t>1=No labels | 2=Manual | 3=Partial auto | 4=Comprehensive | 5=Advanced</w:t>
            </w:r>
          </w:p>
        </w:tc>
        <w:tc>
          <w:tcPr>
            <w:tcW w:w="2340" w:type="dxa"/>
            <w:tcBorders>
              <w:top w:val="single" w:sz="2" w:space="0" w:color="CCCCCC"/>
              <w:start w:val="single" w:sz="2" w:space="0" w:color="CCCCCC"/>
              <w:bottom w:val="single" w:sz="2" w:space="0" w:color="CCCCCC"/>
              <w:end w:val="single" w:sz="2" w:space="0" w:color="CCCCCC"/>
            </w:tcBorders>
          </w:tcPr>
          <w:p>
            <w:pPr>
              <w:pStyle w:val="Normal"/>
              <w:jc w:val="center"/>
              <w:rPr/>
            </w:pPr>
            <w:r>
              <w:rPr>
                <w:b/>
                <w:bCs/>
              </w:rPr>
              <w:t>20%</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bCs/>
              </w:rPr>
              <w:t>Content Organization</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t>1=Chaos | 2=Basic structure | 3=Defined | 4=Governed | 5=Optimized</w:t>
            </w:r>
          </w:p>
        </w:tc>
        <w:tc>
          <w:tcPr>
            <w:tcW w:w="2340" w:type="dxa"/>
            <w:tcBorders>
              <w:top w:val="single" w:sz="2" w:space="0" w:color="CCCCCC"/>
              <w:start w:val="single" w:sz="2" w:space="0" w:color="CCCCCC"/>
              <w:bottom w:val="single" w:sz="2" w:space="0" w:color="CCCCCC"/>
              <w:end w:val="single" w:sz="2" w:space="0" w:color="CCCCCC"/>
            </w:tcBorders>
          </w:tcPr>
          <w:p>
            <w:pPr>
              <w:pStyle w:val="Normal"/>
              <w:jc w:val="center"/>
              <w:rPr/>
            </w:pPr>
            <w:r>
              <w:rPr>
                <w:b/>
                <w:bCs/>
              </w:rPr>
              <w:t>20%</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bCs/>
              </w:rPr>
              <w:t>Access Controls</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t>1=Ad-hoc | 2=Basic groups | 3=RBAC | 4=Least privilege | 5=Zero trust</w:t>
            </w:r>
          </w:p>
        </w:tc>
        <w:tc>
          <w:tcPr>
            <w:tcW w:w="2340" w:type="dxa"/>
            <w:tcBorders>
              <w:top w:val="single" w:sz="2" w:space="0" w:color="CCCCCC"/>
              <w:start w:val="single" w:sz="2" w:space="0" w:color="CCCCCC"/>
              <w:bottom w:val="single" w:sz="2" w:space="0" w:color="CCCCCC"/>
              <w:end w:val="single" w:sz="2" w:space="0" w:color="CCCCCC"/>
            </w:tcBorders>
          </w:tcPr>
          <w:p>
            <w:pPr>
              <w:pStyle w:val="Normal"/>
              <w:jc w:val="center"/>
              <w:rPr/>
            </w:pPr>
            <w:r>
              <w:rPr>
                <w:b/>
                <w:bCs/>
              </w:rPr>
              <w:t>15%</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bCs/>
              </w:rPr>
              <w:t>Compliance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t>1=None | 2=Aware | 3=Mapped | 4=Controlled | 5=Certified</w:t>
            </w:r>
          </w:p>
        </w:tc>
        <w:tc>
          <w:tcPr>
            <w:tcW w:w="2340" w:type="dxa"/>
            <w:tcBorders>
              <w:top w:val="single" w:sz="2" w:space="0" w:color="CCCCCC"/>
              <w:start w:val="single" w:sz="2" w:space="0" w:color="CCCCCC"/>
              <w:bottom w:val="single" w:sz="2" w:space="0" w:color="CCCCCC"/>
              <w:end w:val="single" w:sz="2" w:space="0" w:color="CCCCCC"/>
            </w:tcBorders>
          </w:tcPr>
          <w:p>
            <w:pPr>
              <w:pStyle w:val="Normal"/>
              <w:jc w:val="center"/>
              <w:rPr/>
            </w:pPr>
            <w:r>
              <w:rPr>
                <w:b/>
                <w:bCs/>
              </w:rPr>
              <w:t>10%</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bCs/>
              </w:rPr>
              <w:t>Technical Infrastructure</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t>1=Below min | 2=Minimum | 3=Standard | 4=Advanced | 5=Optimized</w:t>
            </w:r>
          </w:p>
        </w:tc>
        <w:tc>
          <w:tcPr>
            <w:tcW w:w="2340" w:type="dxa"/>
            <w:tcBorders>
              <w:top w:val="single" w:sz="2" w:space="0" w:color="CCCCCC"/>
              <w:start w:val="single" w:sz="2" w:space="0" w:color="CCCCCC"/>
              <w:bottom w:val="single" w:sz="2" w:space="0" w:color="CCCCCC"/>
              <w:end w:val="single" w:sz="2" w:space="0" w:color="CCCCCC"/>
            </w:tcBorders>
          </w:tcPr>
          <w:p>
            <w:pPr>
              <w:pStyle w:val="Normal"/>
              <w:jc w:val="center"/>
              <w:rPr/>
            </w:pPr>
            <w:r>
              <w:rPr>
                <w:b/>
                <w:bCs/>
              </w:rPr>
              <w:t>10%</w:t>
            </w:r>
          </w:p>
        </w:tc>
      </w:tr>
    </w:tbl>
    <w:p>
      <w:pPr>
        <w:pStyle w:val="Normal"/>
        <w:spacing w:before="240" w:after="120"/>
        <w:rPr/>
      </w:pPr>
      <w:r>
        <w:rPr>
          <w:b/>
          <w:bCs/>
        </w:rPr>
        <w:t>Overall Readiness Score = Σ(Dimension Score × Weight)</w:t>
      </w:r>
    </w:p>
    <w:p>
      <w:pPr>
        <w:pStyle w:val="Heading3"/>
        <w:rPr/>
      </w:pPr>
      <w:bookmarkStart w:id="20" w:name="__RefHeading___Toc2401_4112803792"/>
      <w:bookmarkEnd w:id="20"/>
      <w:r>
        <w:rPr/>
        <w:t>Readiness Recommendations:</w:t>
      </w:r>
    </w:p>
    <w:p>
      <w:pPr>
        <w:pStyle w:val="ListParagraph"/>
        <w:numPr>
          <w:ilvl w:val="0"/>
          <w:numId w:val="129"/>
        </w:numPr>
        <w:rPr/>
      </w:pPr>
      <w:r>
        <w:rPr>
          <w:b/>
          <w:bCs/>
        </w:rPr>
        <w:t xml:space="preserve">4.0-5.0 (Ready): </w:t>
      </w:r>
      <w:r>
        <w:rPr/>
        <w:t>Proceed with Copilot deployment, minor optimization recommended</w:t>
      </w:r>
    </w:p>
    <w:p>
      <w:pPr>
        <w:pStyle w:val="ListParagraph"/>
        <w:numPr>
          <w:ilvl w:val="0"/>
          <w:numId w:val="130"/>
        </w:numPr>
        <w:rPr/>
      </w:pPr>
      <w:r>
        <w:rPr>
          <w:b/>
          <w:bCs/>
        </w:rPr>
        <w:t xml:space="preserve">3.0-3.9 (Nearly Ready): </w:t>
      </w:r>
      <w:r>
        <w:rPr/>
        <w:t>Address critical gaps, pilot with limited users</w:t>
      </w:r>
    </w:p>
    <w:p>
      <w:pPr>
        <w:pStyle w:val="ListParagraph"/>
        <w:numPr>
          <w:ilvl w:val="0"/>
          <w:numId w:val="131"/>
        </w:numPr>
        <w:rPr/>
      </w:pPr>
      <w:r>
        <w:rPr>
          <w:b/>
          <w:bCs/>
        </w:rPr>
        <w:t xml:space="preserve">2.0-2.9 (Requires Work): </w:t>
      </w:r>
      <w:r>
        <w:rPr/>
        <w:t>6-12 month remediation program before deployment</w:t>
      </w:r>
    </w:p>
    <w:p>
      <w:pPr>
        <w:pStyle w:val="ListParagraph"/>
        <w:numPr>
          <w:ilvl w:val="0"/>
          <w:numId w:val="132"/>
        </w:numPr>
        <w:spacing w:before="0" w:after="120"/>
        <w:rPr/>
      </w:pPr>
      <w:r>
        <w:rPr>
          <w:b/>
          <w:bCs/>
        </w:rPr>
        <w:t xml:space="preserve">&lt;2.0 (Not Ready): </w:t>
      </w:r>
      <w:r>
        <w:rPr/>
        <w:t>Fundamental security/governance work required, 12+ month timeline</w:t>
      </w:r>
    </w:p>
    <w:p>
      <w:pPr>
        <w:pStyle w:val="Heading1"/>
        <w:rPr/>
      </w:pPr>
      <w:bookmarkStart w:id="21" w:name="__RefHeading___Toc2403_4112803792"/>
      <w:bookmarkEnd w:id="21"/>
      <w:r>
        <w:rPr/>
        <w:t>Critical Risk Categories for Regulated Industries</w:t>
      </w:r>
    </w:p>
    <w:p>
      <w:pPr>
        <w:pStyle w:val="Heading2"/>
        <w:rPr/>
      </w:pPr>
      <w:bookmarkStart w:id="22" w:name="__RefHeading___Toc2405_4112803792"/>
      <w:bookmarkEnd w:id="22"/>
      <w:r>
        <w:rPr/>
        <w:t>1. Data Exfiltration Risk</w:t>
      </w:r>
    </w:p>
    <w:p>
      <w:pPr>
        <w:pStyle w:val="Normal"/>
        <w:spacing w:before="0" w:after="80"/>
        <w:rPr/>
      </w:pPr>
      <w:r>
        <w:rPr/>
        <w:t>Copilot may inadvertently surface sensitive data to unauthorized users if content permissions are overly broad.</w:t>
      </w:r>
    </w:p>
    <w:p>
      <w:pPr>
        <w:pStyle w:val="Heading3"/>
        <w:rPr/>
      </w:pPr>
      <w:bookmarkStart w:id="23" w:name="__RefHeading___Toc2407_4112803792"/>
      <w:bookmarkEnd w:id="23"/>
      <w:r>
        <w:rPr/>
        <w:t>Assessment Criteria:</w:t>
      </w:r>
    </w:p>
    <w:p>
      <w:pPr>
        <w:pStyle w:val="ListParagraph"/>
        <w:numPr>
          <w:ilvl w:val="0"/>
          <w:numId w:val="133"/>
        </w:numPr>
        <w:rPr/>
      </w:pPr>
      <w:r>
        <w:rPr/>
        <w:t>Percentage of documents shared with 'Everyone' or similar broad groups</w:t>
      </w:r>
    </w:p>
    <w:p>
      <w:pPr>
        <w:pStyle w:val="ListParagraph"/>
        <w:numPr>
          <w:ilvl w:val="0"/>
          <w:numId w:val="134"/>
        </w:numPr>
        <w:rPr/>
      </w:pPr>
      <w:r>
        <w:rPr/>
        <w:t>Anonymous sharing links in active use</w:t>
      </w:r>
    </w:p>
    <w:p>
      <w:pPr>
        <w:pStyle w:val="ListParagraph"/>
        <w:numPr>
          <w:ilvl w:val="0"/>
          <w:numId w:val="135"/>
        </w:numPr>
        <w:rPr/>
      </w:pPr>
      <w:r>
        <w:rPr/>
        <w:t>External user access to sensitive sites/content</w:t>
      </w:r>
    </w:p>
    <w:p>
      <w:pPr>
        <w:pStyle w:val="ListParagraph"/>
        <w:numPr>
          <w:ilvl w:val="0"/>
          <w:numId w:val="136"/>
        </w:numPr>
        <w:spacing w:before="0" w:after="120"/>
        <w:rPr/>
      </w:pPr>
      <w:r>
        <w:rPr/>
        <w:t>DLP policy violations in past 90 days</w:t>
      </w:r>
    </w:p>
    <w:p>
      <w:pPr>
        <w:pStyle w:val="Heading2"/>
        <w:rPr/>
      </w:pPr>
      <w:bookmarkStart w:id="24" w:name="__RefHeading___Toc2409_4112803792"/>
      <w:bookmarkEnd w:id="24"/>
      <w:r>
        <w:rPr/>
        <w:t>2. Compliance Violation Risk</w:t>
      </w:r>
    </w:p>
    <w:p>
      <w:pPr>
        <w:pStyle w:val="Normal"/>
        <w:spacing w:before="0" w:after="80"/>
        <w:rPr/>
      </w:pPr>
      <w:r>
        <w:rPr/>
        <w:t>AI generated content or responses may conflict with regulatory requirements or retention policies.</w:t>
      </w:r>
    </w:p>
    <w:p>
      <w:pPr>
        <w:pStyle w:val="Heading3"/>
        <w:rPr/>
      </w:pPr>
      <w:bookmarkStart w:id="25" w:name="__RefHeading___Toc2411_4112803792"/>
      <w:bookmarkEnd w:id="25"/>
      <w:r>
        <w:rPr/>
        <w:t>Assessment Criteria:</w:t>
      </w:r>
    </w:p>
    <w:p>
      <w:pPr>
        <w:pStyle w:val="ListParagraph"/>
        <w:numPr>
          <w:ilvl w:val="0"/>
          <w:numId w:val="137"/>
        </w:numPr>
        <w:rPr/>
      </w:pPr>
      <w:r>
        <w:rPr/>
        <w:t>Gaps in regulatory control mapping (GDPR, HIPAA, etc.)</w:t>
      </w:r>
    </w:p>
    <w:p>
      <w:pPr>
        <w:pStyle w:val="ListParagraph"/>
        <w:numPr>
          <w:ilvl w:val="0"/>
          <w:numId w:val="138"/>
        </w:numPr>
        <w:rPr/>
      </w:pPr>
      <w:r>
        <w:rPr/>
        <w:t>Data residency requirements vs. actual storage locations</w:t>
      </w:r>
    </w:p>
    <w:p>
      <w:pPr>
        <w:pStyle w:val="ListParagraph"/>
        <w:numPr>
          <w:ilvl w:val="0"/>
          <w:numId w:val="139"/>
        </w:numPr>
        <w:rPr/>
      </w:pPr>
      <w:r>
        <w:rPr/>
        <w:t>Audit log coverage and retention periods</w:t>
      </w:r>
    </w:p>
    <w:p>
      <w:pPr>
        <w:pStyle w:val="ListParagraph"/>
        <w:numPr>
          <w:ilvl w:val="0"/>
          <w:numId w:val="140"/>
        </w:numPr>
        <w:spacing w:before="0" w:after="120"/>
        <w:rPr/>
      </w:pPr>
      <w:r>
        <w:rPr/>
        <w:t>eDiscovery readiness for AI generated content</w:t>
      </w:r>
    </w:p>
    <w:p>
      <w:pPr>
        <w:pStyle w:val="Heading2"/>
        <w:rPr/>
      </w:pPr>
      <w:bookmarkStart w:id="26" w:name="__RefHeading___Toc2413_4112803792"/>
      <w:bookmarkEnd w:id="26"/>
      <w:r>
        <w:rPr/>
        <w:t>3. Intellectual Property Exposure</w:t>
      </w:r>
    </w:p>
    <w:p>
      <w:pPr>
        <w:pStyle w:val="Normal"/>
        <w:spacing w:before="0" w:after="80"/>
        <w:rPr/>
      </w:pPr>
      <w:r>
        <w:rPr/>
        <w:t>Proprietary information, trade secrets, or confidential business data could be accessed inappropriately.</w:t>
      </w:r>
    </w:p>
    <w:p>
      <w:pPr>
        <w:pStyle w:val="Heading3"/>
        <w:rPr/>
      </w:pPr>
      <w:bookmarkStart w:id="27" w:name="__RefHeading___Toc2415_4112803792"/>
      <w:bookmarkEnd w:id="27"/>
      <w:r>
        <w:rPr/>
        <w:t>Assessment Criteria:</w:t>
      </w:r>
    </w:p>
    <w:p>
      <w:pPr>
        <w:pStyle w:val="ListParagraph"/>
        <w:numPr>
          <w:ilvl w:val="0"/>
          <w:numId w:val="141"/>
        </w:numPr>
        <w:rPr/>
      </w:pPr>
      <w:r>
        <w:rPr/>
        <w:t>Sensitivity labeling coverage on IP-containing documents</w:t>
      </w:r>
    </w:p>
    <w:p>
      <w:pPr>
        <w:pStyle w:val="ListParagraph"/>
        <w:numPr>
          <w:ilvl w:val="0"/>
          <w:numId w:val="142"/>
        </w:numPr>
        <w:rPr/>
      </w:pPr>
      <w:r>
        <w:rPr/>
        <w:t>Access controls on confidential SharePoint sites</w:t>
      </w:r>
    </w:p>
    <w:p>
      <w:pPr>
        <w:pStyle w:val="ListParagraph"/>
        <w:numPr>
          <w:ilvl w:val="0"/>
          <w:numId w:val="143"/>
        </w:numPr>
        <w:rPr/>
      </w:pPr>
      <w:r>
        <w:rPr/>
        <w:t>Third-party contractor/vendor access to sensitive content</w:t>
      </w:r>
    </w:p>
    <w:p>
      <w:pPr>
        <w:pStyle w:val="ListParagraph"/>
        <w:numPr>
          <w:ilvl w:val="0"/>
          <w:numId w:val="144"/>
        </w:numPr>
        <w:spacing w:before="0" w:after="120"/>
        <w:rPr/>
      </w:pPr>
      <w:r>
        <w:rPr/>
        <w:t>Information barriers between departments/divisions</w:t>
      </w:r>
    </w:p>
    <w:p>
      <w:pPr>
        <w:pStyle w:val="Heading1"/>
        <w:rPr/>
      </w:pPr>
      <w:bookmarkStart w:id="28" w:name="__RefHeading___Toc2417_4112803792"/>
      <w:bookmarkEnd w:id="28"/>
      <w:r>
        <w:rPr/>
        <w:t>Assessment Tools &amp; Scripts</w:t>
      </w:r>
    </w:p>
    <w:p>
      <w:pPr>
        <w:pStyle w:val="Heading2"/>
        <w:rPr/>
      </w:pPr>
      <w:bookmarkStart w:id="29" w:name="__RefHeading___Toc2419_4112803792"/>
      <w:bookmarkEnd w:id="29"/>
      <w:r>
        <w:rPr/>
        <w:t>PowerShell Assessment Scripts</w:t>
      </w:r>
    </w:p>
    <w:p>
      <w:pPr>
        <w:pStyle w:val="Normal"/>
        <w:spacing w:before="0" w:after="80"/>
        <w:rPr/>
      </w:pPr>
      <w:r>
        <w:rPr/>
        <w:t>The following scripts should be executed with appropriate permissions to gather assessment data:</w:t>
      </w:r>
    </w:p>
    <w:p>
      <w:pPr>
        <w:pStyle w:val="Heading3"/>
        <w:rPr/>
      </w:pPr>
      <w:bookmarkStart w:id="30" w:name="__RefHeading___Toc2421_4112803792"/>
      <w:bookmarkEnd w:id="30"/>
      <w:r>
        <w:rPr/>
        <w:t>1. Oversharing Detection Script</w:t>
      </w:r>
    </w:p>
    <w:p>
      <w:pPr>
        <w:pStyle w:val="Normal"/>
        <w:spacing w:before="0" w:after="80"/>
        <w:rPr/>
      </w:pPr>
      <w:r>
        <w:rPr/>
        <w:t>Identifies SharePoint sites and OneDrive files with broad sharing permissions.</w:t>
      </w:r>
    </w:p>
    <w:p>
      <w:pPr>
        <w:pStyle w:val="Normal"/>
        <w:spacing w:before="0" w:after="120"/>
        <w:rPr/>
      </w:pPr>
      <w:r>
        <w:rPr>
          <w:rFonts w:eastAsia="Courier New" w:cs="Courier New" w:ascii="Courier New" w:hAnsi="Courier New"/>
          <w:b/>
          <w:bCs/>
        </w:rPr>
        <w:t xml:space="preserve">Script: </w:t>
      </w:r>
      <w:r>
        <w:rPr>
          <w:rFonts w:eastAsia="Courier New" w:cs="Courier New" w:ascii="Courier New" w:hAnsi="Courier New"/>
        </w:rPr>
        <w:t>Get-OversharedContent.ps1</w:t>
      </w:r>
    </w:p>
    <w:p>
      <w:pPr>
        <w:pStyle w:val="Heading3"/>
        <w:rPr/>
      </w:pPr>
      <w:bookmarkStart w:id="31" w:name="__RefHeading___Toc2423_4112803792"/>
      <w:bookmarkEnd w:id="31"/>
      <w:r>
        <w:rPr/>
        <w:t>2. Sensitivity Label Coverage Report</w:t>
      </w:r>
    </w:p>
    <w:p>
      <w:pPr>
        <w:pStyle w:val="Normal"/>
        <w:spacing w:before="0" w:after="80"/>
        <w:rPr/>
      </w:pPr>
      <w:r>
        <w:rPr/>
        <w:t>Calculates percentage of documents with applied sensitivity labels.</w:t>
      </w:r>
    </w:p>
    <w:p>
      <w:pPr>
        <w:pStyle w:val="Normal"/>
        <w:spacing w:before="0" w:after="120"/>
        <w:rPr/>
      </w:pPr>
      <w:r>
        <w:rPr>
          <w:rFonts w:eastAsia="Courier New" w:cs="Courier New" w:ascii="Courier New" w:hAnsi="Courier New"/>
          <w:b/>
          <w:bCs/>
        </w:rPr>
        <w:t xml:space="preserve">Script: </w:t>
      </w:r>
      <w:r>
        <w:rPr>
          <w:rFonts w:eastAsia="Courier New" w:cs="Courier New" w:ascii="Courier New" w:hAnsi="Courier New"/>
        </w:rPr>
        <w:t>Get-LabelCoverage.ps1</w:t>
      </w:r>
    </w:p>
    <w:p>
      <w:pPr>
        <w:pStyle w:val="Heading3"/>
        <w:rPr/>
      </w:pPr>
      <w:bookmarkStart w:id="32" w:name="__RefHeading___Toc2425_4112803792"/>
      <w:bookmarkEnd w:id="32"/>
      <w:r>
        <w:rPr/>
        <w:t>3. External User Access Audit</w:t>
      </w:r>
    </w:p>
    <w:p>
      <w:pPr>
        <w:pStyle w:val="Normal"/>
        <w:spacing w:before="0" w:after="80"/>
        <w:rPr/>
      </w:pPr>
      <w:r>
        <w:rPr/>
        <w:t>Lists all external users and their access permissions across the tenant.</w:t>
      </w:r>
    </w:p>
    <w:p>
      <w:pPr>
        <w:pStyle w:val="Normal"/>
        <w:spacing w:before="0" w:after="120"/>
        <w:rPr/>
      </w:pPr>
      <w:r>
        <w:rPr>
          <w:rFonts w:eastAsia="Courier New" w:cs="Courier New" w:ascii="Courier New" w:hAnsi="Courier New"/>
          <w:b/>
          <w:bCs/>
        </w:rPr>
        <w:t xml:space="preserve">Script: </w:t>
      </w:r>
      <w:r>
        <w:rPr>
          <w:rFonts w:eastAsia="Courier New" w:cs="Courier New" w:ascii="Courier New" w:hAnsi="Courier New"/>
        </w:rPr>
        <w:t>Get-ExternalUserAccess.ps1</w:t>
      </w:r>
    </w:p>
    <w:p>
      <w:pPr>
        <w:pStyle w:val="Heading3"/>
        <w:rPr/>
      </w:pPr>
      <w:bookmarkStart w:id="33" w:name="__RefHeading___Toc2427_4112803792"/>
      <w:bookmarkEnd w:id="33"/>
      <w:r>
        <w:rPr/>
        <w:t>4. Conditional Access Policy Review</w:t>
      </w:r>
    </w:p>
    <w:p>
      <w:pPr>
        <w:pStyle w:val="Normal"/>
        <w:spacing w:before="0" w:after="80"/>
        <w:rPr/>
      </w:pPr>
      <w:r>
        <w:rPr/>
        <w:t>Evaluates existing conditional access policies for Copilot compatibility.</w:t>
      </w:r>
    </w:p>
    <w:p>
      <w:pPr>
        <w:pStyle w:val="Normal"/>
        <w:spacing w:before="0" w:after="120"/>
        <w:rPr/>
      </w:pPr>
      <w:r>
        <w:rPr>
          <w:rFonts w:eastAsia="Courier New" w:cs="Courier New" w:ascii="Courier New" w:hAnsi="Courier New"/>
          <w:b/>
          <w:bCs/>
        </w:rPr>
        <w:t xml:space="preserve">Script: </w:t>
      </w:r>
      <w:r>
        <w:rPr>
          <w:rFonts w:eastAsia="Courier New" w:cs="Courier New" w:ascii="Courier New" w:hAnsi="Courier New"/>
        </w:rPr>
        <w:t>Get-CAPolicies.ps1</w:t>
      </w:r>
    </w:p>
    <w:p>
      <w:pPr>
        <w:pStyle w:val="Heading1"/>
        <w:rPr/>
      </w:pPr>
      <w:bookmarkStart w:id="34" w:name="__RefHeading___Toc2429_4112803792"/>
      <w:bookmarkEnd w:id="34"/>
      <w:r>
        <w:rPr/>
        <w:t>Assessment Deliverables</w:t>
      </w:r>
    </w:p>
    <w:p>
      <w:pPr>
        <w:pStyle w:val="Heading2"/>
        <w:rPr/>
      </w:pPr>
      <w:bookmarkStart w:id="35" w:name="__RefHeading___Toc2431_4112803792"/>
      <w:bookmarkEnd w:id="35"/>
      <w:r>
        <w:rPr/>
        <w:t>1. Executive Readiness Report</w:t>
      </w:r>
    </w:p>
    <w:p>
      <w:pPr>
        <w:pStyle w:val="ListParagraph"/>
        <w:numPr>
          <w:ilvl w:val="0"/>
          <w:numId w:val="145"/>
        </w:numPr>
        <w:rPr/>
      </w:pPr>
      <w:r>
        <w:rPr/>
        <w:t>Overall readiness score with dimension breakdown</w:t>
      </w:r>
    </w:p>
    <w:p>
      <w:pPr>
        <w:pStyle w:val="ListParagraph"/>
        <w:numPr>
          <w:ilvl w:val="0"/>
          <w:numId w:val="146"/>
        </w:numPr>
        <w:rPr/>
      </w:pPr>
      <w:r>
        <w:rPr/>
        <w:t>Critical findings summary (top 10 risks)</w:t>
      </w:r>
    </w:p>
    <w:p>
      <w:pPr>
        <w:pStyle w:val="ListParagraph"/>
        <w:numPr>
          <w:ilvl w:val="0"/>
          <w:numId w:val="147"/>
        </w:numPr>
        <w:rPr/>
      </w:pPr>
      <w:r>
        <w:rPr/>
        <w:t>Recommended deployment timeline</w:t>
      </w:r>
    </w:p>
    <w:p>
      <w:pPr>
        <w:pStyle w:val="ListParagraph"/>
        <w:numPr>
          <w:ilvl w:val="0"/>
          <w:numId w:val="148"/>
        </w:numPr>
        <w:spacing w:before="0" w:after="120"/>
        <w:rPr/>
      </w:pPr>
      <w:r>
        <w:rPr/>
        <w:t>Investment requirements (time, resources, budget)</w:t>
      </w:r>
    </w:p>
    <w:p>
      <w:pPr>
        <w:pStyle w:val="Heading2"/>
        <w:rPr/>
      </w:pPr>
      <w:bookmarkStart w:id="36" w:name="__RefHeading___Toc2433_4112803792"/>
      <w:bookmarkEnd w:id="36"/>
      <w:r>
        <w:rPr/>
        <w:t>2. Technical Findings Report</w:t>
      </w:r>
    </w:p>
    <w:p>
      <w:pPr>
        <w:pStyle w:val="ListParagraph"/>
        <w:numPr>
          <w:ilvl w:val="0"/>
          <w:numId w:val="149"/>
        </w:numPr>
        <w:rPr/>
      </w:pPr>
      <w:r>
        <w:rPr/>
        <w:t>Detailed findings for each assessment dimension</w:t>
      </w:r>
    </w:p>
    <w:p>
      <w:pPr>
        <w:pStyle w:val="ListParagraph"/>
        <w:numPr>
          <w:ilvl w:val="0"/>
          <w:numId w:val="150"/>
        </w:numPr>
        <w:rPr/>
      </w:pPr>
      <w:r>
        <w:rPr/>
        <w:t>Evidence documentation (screenshots, logs, metrics)</w:t>
      </w:r>
    </w:p>
    <w:p>
      <w:pPr>
        <w:pStyle w:val="ListParagraph"/>
        <w:numPr>
          <w:ilvl w:val="0"/>
          <w:numId w:val="151"/>
        </w:numPr>
        <w:rPr/>
      </w:pPr>
      <w:r>
        <w:rPr/>
        <w:t>Risk classification (Critical, High, Medium, Low)</w:t>
      </w:r>
    </w:p>
    <w:p>
      <w:pPr>
        <w:pStyle w:val="ListParagraph"/>
        <w:numPr>
          <w:ilvl w:val="0"/>
          <w:numId w:val="152"/>
        </w:numPr>
        <w:spacing w:before="0" w:after="120"/>
        <w:rPr/>
      </w:pPr>
      <w:r>
        <w:rPr/>
        <w:t>Technical recommendations with implementation guidance</w:t>
      </w:r>
    </w:p>
    <w:p>
      <w:pPr>
        <w:pStyle w:val="Heading2"/>
        <w:rPr/>
      </w:pPr>
      <w:bookmarkStart w:id="37" w:name="__RefHeading___Toc2435_4112803792"/>
      <w:bookmarkEnd w:id="37"/>
      <w:r>
        <w:rPr/>
        <w:t>3. Remediation Roadmap</w:t>
      </w:r>
    </w:p>
    <w:p>
      <w:pPr>
        <w:pStyle w:val="ListParagraph"/>
        <w:numPr>
          <w:ilvl w:val="0"/>
          <w:numId w:val="153"/>
        </w:numPr>
        <w:rPr/>
      </w:pPr>
      <w:r>
        <w:rPr/>
        <w:t>Phased remediation plan (Quick Wins, Short-term, Long-term)</w:t>
      </w:r>
    </w:p>
    <w:p>
      <w:pPr>
        <w:pStyle w:val="ListParagraph"/>
        <w:numPr>
          <w:ilvl w:val="0"/>
          <w:numId w:val="154"/>
        </w:numPr>
        <w:rPr/>
      </w:pPr>
      <w:r>
        <w:rPr/>
        <w:t>Prioritization matrix (impact vs. effort)</w:t>
      </w:r>
    </w:p>
    <w:p>
      <w:pPr>
        <w:pStyle w:val="ListParagraph"/>
        <w:numPr>
          <w:ilvl w:val="0"/>
          <w:numId w:val="155"/>
        </w:numPr>
        <w:rPr/>
      </w:pPr>
      <w:r>
        <w:rPr/>
        <w:t>Dependencies and sequencing requirements</w:t>
      </w:r>
    </w:p>
    <w:p>
      <w:pPr>
        <w:pStyle w:val="ListParagraph"/>
        <w:numPr>
          <w:ilvl w:val="0"/>
          <w:numId w:val="156"/>
        </w:numPr>
        <w:spacing w:before="0" w:after="120"/>
        <w:rPr/>
      </w:pPr>
      <w:r>
        <w:rPr/>
        <w:t>Resource allocation recommendations</w:t>
      </w:r>
    </w:p>
    <w:p>
      <w:pPr>
        <w:pStyle w:val="Heading2"/>
        <w:rPr/>
      </w:pPr>
      <w:bookmarkStart w:id="38" w:name="__RefHeading___Toc2437_4112803792"/>
      <w:bookmarkEnd w:id="38"/>
      <w:r>
        <w:rPr/>
        <w:t>4. Copilot Implementation Playbook</w:t>
      </w:r>
    </w:p>
    <w:p>
      <w:pPr>
        <w:pStyle w:val="ListParagraph"/>
        <w:numPr>
          <w:ilvl w:val="0"/>
          <w:numId w:val="157"/>
        </w:numPr>
        <w:rPr/>
      </w:pPr>
      <w:r>
        <w:rPr/>
        <w:t>Step-by-step implementation guide</w:t>
      </w:r>
    </w:p>
    <w:p>
      <w:pPr>
        <w:pStyle w:val="ListParagraph"/>
        <w:numPr>
          <w:ilvl w:val="0"/>
          <w:numId w:val="158"/>
        </w:numPr>
        <w:rPr/>
      </w:pPr>
      <w:r>
        <w:rPr/>
        <w:t>Configuration templates and scripts</w:t>
      </w:r>
    </w:p>
    <w:p>
      <w:pPr>
        <w:pStyle w:val="ListParagraph"/>
        <w:numPr>
          <w:ilvl w:val="0"/>
          <w:numId w:val="159"/>
        </w:numPr>
        <w:rPr/>
      </w:pPr>
      <w:r>
        <w:rPr/>
        <w:t>Pilot program design and success criteria</w:t>
      </w:r>
    </w:p>
    <w:p>
      <w:pPr>
        <w:pStyle w:val="ListParagraph"/>
        <w:numPr>
          <w:ilvl w:val="0"/>
          <w:numId w:val="160"/>
        </w:numPr>
        <w:rPr/>
      </w:pPr>
      <w:r>
        <w:rPr/>
        <w:t>Change management and training recommendations</w:t>
      </w:r>
    </w:p>
    <w:p>
      <w:pPr>
        <w:pStyle w:val="ListParagraph"/>
        <w:numPr>
          <w:ilvl w:val="0"/>
          <w:numId w:val="161"/>
        </w:numPr>
        <w:spacing w:before="0" w:after="120"/>
        <w:rPr/>
      </w:pPr>
      <w:r>
        <w:rPr/>
        <w:t>Ongoing governance framework</w:t>
      </w:r>
    </w:p>
    <w:p>
      <w:pPr>
        <w:pStyle w:val="Heading1"/>
        <w:rPr/>
      </w:pPr>
      <w:bookmarkStart w:id="39" w:name="__RefHeading___Toc2439_4112803792"/>
      <w:bookmarkEnd w:id="39"/>
      <w:r>
        <w:rPr/>
        <w:t>Conclusion</w:t>
      </w:r>
    </w:p>
    <w:p>
      <w:pPr>
        <w:pStyle w:val="Normal"/>
        <w:spacing w:before="0" w:after="120"/>
        <w:jc w:val="both"/>
        <w:rPr/>
      </w:pPr>
      <w:r>
        <w:rPr/>
        <w:t>Microsoft Copilot for M365 offers transformative productivity gains, but successful deployment requires rigorous preparation. This Readiness Assessment Framework provides organizations with a structured, risk-based approach to evaluating their preparedness, particularly in regulated industries where security and compliance are paramount.</w:t>
      </w:r>
    </w:p>
    <w:p>
      <w:pPr>
        <w:pStyle w:val="Normal"/>
        <w:spacing w:before="0" w:after="120"/>
        <w:jc w:val="both"/>
        <w:rPr/>
      </w:pPr>
      <w:r>
        <w:rPr/>
        <w:t>By systematically assessing the six critical dimensions: Security &amp; Governance, Data Classification, Content Organization, Access Controls, Compliance, and Technical Infrastructure, organizations can identify gaps, prioritize remediation efforts, and build confidence in their Copilot deployment strategy.</w:t>
      </w:r>
    </w:p>
    <w:p>
      <w:pPr>
        <w:pStyle w:val="Normal"/>
        <w:spacing w:before="0" w:after="120"/>
        <w:jc w:val="both"/>
        <w:rPr/>
      </w:pPr>
      <w:r>
        <w:rPr/>
        <w:t>The framework is designed to be practical and actionable, providing not just assessment scores but concrete remediation roadmaps, implementation playbooks, and ongoing governance recommendations. Organizations that complete this assessment are positioned to deploy Copilot securely, compliantly, and with maximum value realization.</w:t>
      </w:r>
    </w:p>
    <w:p>
      <w:pPr>
        <w:pStyle w:val="Normal"/>
        <w:spacing w:before="360" w:after="120"/>
        <w:jc w:val="center"/>
        <w:rPr>
          <w:b/>
          <w:bCs/>
          <w:sz w:val="24"/>
          <w:szCs w:val="24"/>
        </w:rPr>
      </w:pPr>
      <w:r>
        <w:rPr>
          <w:b/>
          <w:bCs/>
          <w:sz w:val="24"/>
          <w:szCs w:val="24"/>
        </w:rPr>
      </w:r>
    </w:p>
    <w:p>
      <w:pPr>
        <w:pStyle w:val="Normal"/>
        <w:spacing w:before="360" w:after="120"/>
        <w:jc w:val="center"/>
        <w:rPr>
          <w:b/>
          <w:bCs/>
          <w:sz w:val="24"/>
          <w:szCs w:val="24"/>
        </w:rPr>
      </w:pPr>
      <w:r>
        <w:rPr>
          <w:b/>
          <w:bCs/>
          <w:sz w:val="24"/>
          <w:szCs w:val="24"/>
        </w:rPr>
        <w:t>For assessment inquiries or implementation support:</w:t>
      </w:r>
    </w:p>
    <w:p>
      <w:pPr>
        <w:pStyle w:val="Normal"/>
        <w:jc w:val="center"/>
        <w:rPr/>
      </w:pPr>
      <w:r>
        <w:rPr>
          <w:b/>
          <w:bCs/>
          <w:sz w:val="24"/>
          <w:szCs w:val="24"/>
        </w:rPr>
        <w:t>Nitron Digital LLC</w:t>
      </w:r>
    </w:p>
    <w:p>
      <w:pPr>
        <w:pStyle w:val="Normal"/>
        <w:jc w:val="center"/>
        <w:rPr/>
      </w:pPr>
      <w:r>
        <w:rPr>
          <w:sz w:val="22"/>
          <w:szCs w:val="22"/>
        </w:rPr>
        <w:t>Brandon Marcus, Managing Principal</w:t>
      </w:r>
    </w:p>
    <w:p>
      <w:pPr>
        <w:pStyle w:val="Normal"/>
        <w:jc w:val="center"/>
        <w:rPr/>
      </w:pPr>
      <w:r>
        <w:rPr>
          <w:sz w:val="22"/>
          <w:szCs w:val="22"/>
        </w:rPr>
        <w:t xml:space="preserve">brandon@nitron.digital | </w:t>
      </w:r>
      <w:r>
        <w:rPr/>
        <w:t>(833) 364-8766</w:t>
      </w:r>
    </w:p>
    <w:p>
      <w:pPr>
        <w:pStyle w:val="Normal"/>
        <w:jc w:val="center"/>
        <w:rPr>
          <w:sz w:val="22"/>
          <w:szCs w:val="22"/>
        </w:rPr>
      </w:pPr>
      <w:r>
        <w:rPr>
          <w:sz w:val="22"/>
          <w:szCs w:val="22"/>
        </w:rPr>
      </w:r>
    </w:p>
    <w:p>
      <w:pPr>
        <w:pStyle w:val="Normal"/>
        <w:jc w:val="center"/>
        <w:rPr>
          <w:sz w:val="22"/>
          <w:szCs w:val="22"/>
        </w:rPr>
      </w:pPr>
      <w:r>
        <w:rPr>
          <w:sz w:val="22"/>
          <w:szCs w:val="22"/>
        </w:rPr>
        <w:t xml:space="preserve">Reference Materials are available at: </w:t>
      </w:r>
      <w:hyperlink r:id="rId2">
        <w:r>
          <w:rPr>
            <w:rStyle w:val="Hyperlink"/>
            <w:sz w:val="22"/>
            <w:szCs w:val="22"/>
          </w:rPr>
          <w:t>https://nitron.digital/resources</w:t>
        </w:r>
      </w:hyperlink>
      <w:r>
        <w:rPr>
          <w:sz w:val="22"/>
          <w:szCs w:val="22"/>
        </w:rPr>
        <w:t xml:space="preserv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1"/>
    <w:lvlOverride w:ilvl="0">
      <w:startOverride w:val="1"/>
    </w:lvlOverride>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31"/>
    <w:lvlOverride w:ilvl="0">
      <w:startOverride w:val="1"/>
    </w:lvlOverride>
  </w:num>
  <w:num w:numId="113">
    <w:abstractNumId w:val="31"/>
  </w:num>
  <w:num w:numId="114">
    <w:abstractNumId w:val="31"/>
  </w:num>
  <w:num w:numId="115">
    <w:abstractNumId w:val="31"/>
  </w:num>
  <w:num w:numId="116">
    <w:abstractNumId w:val="31"/>
  </w:num>
  <w:num w:numId="117">
    <w:abstractNumId w:val="31"/>
  </w:num>
  <w:num w:numId="118">
    <w:abstractNumId w:val="31"/>
  </w:num>
  <w:num w:numId="119">
    <w:abstractNumId w:val="31"/>
  </w:num>
  <w:num w:numId="120">
    <w:abstractNumId w:val="31"/>
  </w:num>
  <w:num w:numId="121">
    <w:abstractNumId w:val="31"/>
  </w:num>
  <w:num w:numId="122">
    <w:abstractNumId w:val="31"/>
  </w:num>
  <w:num w:numId="123">
    <w:abstractNumId w:val="31"/>
  </w:num>
  <w:num w:numId="124">
    <w:abstractNumId w:val="31"/>
  </w:num>
  <w:num w:numId="125">
    <w:abstractNumId w:val="31"/>
  </w:num>
  <w:num w:numId="126">
    <w:abstractNumId w:val="31"/>
  </w:num>
  <w:num w:numId="127">
    <w:abstractNumId w:val="31"/>
  </w:num>
  <w:num w:numId="128">
    <w:abstractNumId w:val="3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bering>
</file>

<file path=word/settings.xml><?xml version="1.0" encoding="utf-8"?>
<w:settings xmlns:w="http://schemas.openxmlformats.org/wordprocessingml/2006/main">
  <w:zoom w:percent="6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4E78"/>
      <w:sz w:val="28"/>
      <w:szCs w:val="28"/>
    </w:rPr>
  </w:style>
  <w:style w:type="paragraph" w:styleId="Heading2">
    <w:name w:val="heading 2"/>
    <w:basedOn w:val="Heading"/>
    <w:qFormat/>
    <w:pPr>
      <w:spacing w:before="240" w:after="100"/>
      <w:outlineLvl w:val="1"/>
    </w:pPr>
    <w:rPr>
      <w:rFonts w:ascii="Arial" w:hAnsi="Arial" w:eastAsia="Arial" w:cs="Arial"/>
      <w:b/>
      <w:bCs/>
      <w:color w:val="2E75B5"/>
      <w:sz w:val="24"/>
      <w:szCs w:val="24"/>
    </w:rPr>
  </w:style>
  <w:style w:type="paragraph" w:styleId="Heading3">
    <w:name w:val="heading 3"/>
    <w:basedOn w:val="Heading"/>
    <w:qFormat/>
    <w:pPr>
      <w:spacing w:before="180" w:after="80"/>
      <w:outlineLvl w:val="2"/>
    </w:pPr>
    <w:rPr>
      <w:rFonts w:ascii="Arial" w:hAnsi="Arial" w:eastAsia="Arial" w:cs="Arial"/>
      <w:b/>
      <w:bCs/>
      <w:color w:val="00000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spacing w:before="0" w:after="240"/>
      <w:jc w:val="center"/>
    </w:pPr>
    <w:rPr>
      <w:rFonts w:ascii="Arial" w:hAnsi="Arial" w:eastAsia="Arial" w:cs="Arial"/>
      <w:b/>
      <w:bCs/>
      <w:color w:val="1F4E78"/>
      <w:sz w:val="36"/>
      <w:szCs w:val="3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Subtitle">
    <w:name w:val="Subtitle"/>
    <w:basedOn w:val="Heading"/>
    <w:qFormat/>
    <w:pPr>
      <w:spacing w:before="240" w:after="240"/>
      <w:jc w:val="center"/>
    </w:pPr>
    <w:rPr>
      <w:rFonts w:ascii="Arial" w:hAnsi="Arial" w:eastAsia="Arial" w:cs="Arial"/>
      <w:color w:val="1F4E78"/>
      <w:sz w:val="24"/>
      <w:szCs w:val="24"/>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026" w:leader="dot"/>
      </w:tabs>
      <w:ind w:hanging="0" w:start="0"/>
    </w:pPr>
    <w:rPr/>
  </w:style>
  <w:style w:type="paragraph" w:styleId="TOC2">
    <w:name w:val="toc 2"/>
    <w:basedOn w:val="Index"/>
    <w:pPr>
      <w:tabs>
        <w:tab w:val="clear" w:pos="720"/>
        <w:tab w:val="right" w:pos="8743" w:leader="dot"/>
      </w:tabs>
      <w:ind w:hanging="0" w:start="283"/>
    </w:pPr>
    <w:rPr/>
  </w:style>
  <w:style w:type="paragraph" w:styleId="TOC3">
    <w:name w:val="toc 3"/>
    <w:basedOn w:val="Index"/>
    <w:pPr>
      <w:tabs>
        <w:tab w:val="clear" w:pos="720"/>
        <w:tab w:val="right" w:pos="8459"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itron.digital/resource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LibreOffice/25.8.1.1$MacOSX_X86_64 LibreOffice_project/54047653041915e595ad4e45cccea684809c77b5</Application>
  <AppVersion>15.0000</AppVersion>
  <Pages>8</Pages>
  <Words>1678</Words>
  <Characters>11569</Characters>
  <CharactersWithSpaces>12939</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2025-12-18T05:37:23Z</dcterms:created>
  <dc:creator>Un-named</dc:creator>
  <dc:description/>
  <dc:language>en-US</dc:language>
  <cp:lastModifiedBy/>
  <dcterms:modified xsi:type="dcterms:W3CDTF">2025-12-18T18:23:02Z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