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Paypal Standard payment with subscription example:-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&lt;form action="https://www.sandbox.paypal.com/cgi-bin/webscr" id="paypal_page" method="post"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name="cmd" value="_xclick"&gt;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name="business" value="yourmail@gmail.com"&gt;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name="item_name" value="Test Item"&gt;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name="currency_code" value="USD"&gt;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name="no_shipping" value="1"&gt;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name="rm" value="2"&gt;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name="notify_url" value="http://yoursite.com/notifyurl"&gt;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name="a3" value="300"&gt;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name="p3" value="1"&gt;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name="t3" value="Y"&gt;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name="src" value="1"&gt;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name="sra" value="1"&gt;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name="custom" value="Your custom values"&gt;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name="return" value="http://yoursite.com/successreturn"&gt;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type="hidden" name="cancel_return" value="http://yoursite.com/cancelreturn"&gt;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Currency Codes :-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https://developer.paypal.com/docs/classic/api/currency_codes/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Details of variables:-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https://developer.paypal.com/docs/classic/paypal-payments-standard/integration-guide/Appx_websitestandard_htmlvariables/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.paypal.com/docs/classic/api/currency_codes/" TargetMode="External"/><Relationship Id="rId6" Type="http://schemas.openxmlformats.org/officeDocument/2006/relationships/hyperlink" Target="https://developer.paypal.com/docs/classic/paypal-payments-standard/integration-guide/Appx_websitestandard_htmlvariables/" TargetMode="External"/></Relationships>
</file>