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An Open-Source Python Workstation for Automated FDG PET/CT Metabolic Quantification, Breast Density Analysis, and IBSI-Compliant Radiomics Feature Extraction</w:t>
      </w:r>
    </w:p>
    <w:p/>
    <w:p>
      <w:pPr>
        <w:jc w:val="center"/>
      </w:pPr>
      <w:r>
        <w:rPr>
          <w:rFonts w:ascii="Times New Roman" w:hAnsi="Times New Roman"/>
          <w:b w:val="0"/>
          <w:i/>
          <w:sz w:val="24"/>
        </w:rPr>
        <w:t>Running title: Open-Source PET/CT Workstation</w:t>
      </w:r>
    </w:p>
    <w:p/>
    <w:p>
      <w:pPr>
        <w:pStyle w:val="Heading1"/>
      </w:pPr>
      <w:r>
        <w:rPr>
          <w:rFonts w:ascii="Times New Roman" w:hAnsi="Times New Roman"/>
          <w:sz w:val="28"/>
        </w:rPr>
        <w:t>Abstract</w:t>
      </w:r>
    </w:p>
    <w:p>
      <w:pPr>
        <w:spacing w:after="120"/>
      </w:pPr>
      <w:r>
        <w:rPr>
          <w:rFonts w:ascii="Times New Roman" w:hAnsi="Times New Roman"/>
          <w:b w:val="0"/>
          <w:i w:val="0"/>
          <w:sz w:val="24"/>
        </w:rPr>
        <w:t xml:space="preserve">Background: Fluorodeoxyglucose positron emission tomography combined with computed tomography (FDG PET/CT) is the cornerstone of oncological staging and response assessment worldwide. Despite its clinical ubiquity, reproducible extraction of metabolic and radiomic biomarkers from PET/CT data remains challenging outside highly resourced academic centres due to proprietary software costs, algorithmic opacity, and the absence of integrated pipelines that simultaneously address PET quantification, CT texture analysis, and breast tissue characterisation. </w:t>
        <w:br/>
        <w:br/>
        <w:t xml:space="preserve">Methods: We present PETCTWorkstation (v47), a single-script open-source Python application implemented with PyQt5, SimpleITK, pydicom, NumPy/SciPy, matplotlib, pyradiomics, and scikit-image. The workstation accepts raw PET/CT DICOM folder pairs and collects patient demographics (age, sex, height, weight, fasting blood glucose, administered radionuclide dose, residual dose volume, pre- and post-injection times, and time-to-scan) to derive decay-corrected, body-weight-normalised SUV maps compliant with EARL harmonisation criteria. Three orthogonal multi-planar reconstruction (MPR) views are rendered with anatomically correct aspect ratios and interactive crosshair triangulation. A 360-degree rotating maximum-intensity projection (MIP) cine loop is generated for global disease survey. </w:t>
        <w:br/>
        <w:br/>
        <w:t xml:space="preserve">Conventional PET metrics (SUVmax, SUVmean, SUVpeak, metabolic tumour volume [MTV], total lesion glycolysis [TLG]) are complemented by novel imaging biomarkers including Generalised Effective Tumour Uptake (gETU), normalised hotspot-to-periphery distance (NHOPmax), normalised hotspot-to-centroid distance (NHOCmax), primary tumour three-dimensional volume, tumour surface area, and gross overall tumour burden. A dedicated breast-density module segments bilateral fibroglandular tissue and extracts parenchymal complexity metrics. Full IBSI-compliant PET and CT radiomics feature sets (&gt;100 features per modality) are exported to structured CSV files. </w:t>
        <w:br/>
        <w:br/>
        <w:t>Conclusions: PETCTWorkstation fills a translational gap by providing a freely available, reproducible, and extensible platform for integrated PET metabolic quantification, CT radiomics, and breast density analysis. The tool is available at GitHub under an MIT licence and requires Python ≥3.8.</w:t>
      </w:r>
    </w:p>
    <w:p>
      <w:r>
        <w:rPr>
          <w:rFonts w:ascii="Times New Roman" w:hAnsi="Times New Roman"/>
          <w:b/>
          <w:i w:val="0"/>
          <w:sz w:val="24"/>
        </w:rPr>
        <w:t xml:space="preserve">Keywords: </w:t>
      </w:r>
      <w:r>
        <w:rPr>
          <w:rFonts w:ascii="Times New Roman" w:hAnsi="Times New Roman"/>
          <w:b w:val="0"/>
          <w:i w:val="0"/>
          <w:sz w:val="24"/>
        </w:rPr>
        <w:t>FDG PET/CT; SUV; radiomics; IBSI; breast density; metabolic tumour volume; open-source</w:t>
      </w:r>
    </w:p>
    <w:p>
      <w:r>
        <w:br w:type="page"/>
      </w:r>
    </w:p>
    <w:p>
      <w:pPr>
        <w:pStyle w:val="Heading1"/>
      </w:pPr>
      <w:r>
        <w:rPr>
          <w:rFonts w:ascii="Times New Roman" w:hAnsi="Times New Roman"/>
          <w:sz w:val="28"/>
        </w:rPr>
        <w:t>1. Introduction</w:t>
      </w:r>
    </w:p>
    <w:p>
      <w:pPr>
        <w:spacing w:after="120"/>
      </w:pPr>
      <w:r>
        <w:rPr>
          <w:rFonts w:ascii="Times New Roman" w:hAnsi="Times New Roman"/>
          <w:b w:val="0"/>
          <w:i w:val="0"/>
          <w:sz w:val="24"/>
        </w:rPr>
        <w:t xml:space="preserve">Fluorodeoxyglucose positron emission tomography combined with computed tomography (18F-FDG PET/CT) has become indispensable in oncological practice, providing simultaneous metabolic and anatomical information that guides staging, treatment planning, and response evaluation [1,2]. The maximum standardised uptake value (SUVmax) remains the most widely reported PET-derived biomarker; however, a growing body of evidence demonstrates that volumetric metrics—metabolic tumour volume (MTV) and total lesion glycolysis (TLG)—carry stronger independent prognostic information across multiple tumour histologies including lymphoma, lung cancer, and breast carcinoma [3,4,5]. </w:t>
        <w:br/>
        <w:br/>
        <w:t xml:space="preserve">Reproducible SUV measurement requires harmonisation of acquisition and reconstruction protocols. The European Association of Nuclear Medicine Research Ltd (EARL) accreditation programme has defined performance specifications for PET/CT systems to minimise inter-scanner variability, and the PERCIST 1.0 guidelines formalised lesion-level quantification criteria [6,7]. Despite these frameworks, implementation of consistent quantification in routine clinical or research workflows is hampered by the cost and opacity of vendor-specific software platforms such as GE AW, Siemens syngo.via, and Philips IntelliSpace [8]. </w:t>
        <w:br/>
        <w:br/>
        <w:t xml:space="preserve">Several open-source tools have partially addressed this gap. PETSurfer (FreeSurfer add-on) provides PET-space partial volume correction but lacks a graphical user interface (GUI) and CT texture analysis [9]. LIFEx offers a point-and-click radiomic workflow but is distributed under a restrictive non-commercial licence and does not expose its SUV conversion source code [10]. PyRadiomics, the most widely adopted open radiomic library, implements IBSI-compliant feature extraction but operates exclusively on pre-segmented volumes-of-interest and does not address PET quantification or DICOM ingestion [11]. TotalSegmentator provides fast deep-learning anatomical segmentation of CT volumes [12] but is not integrated with PET metabolic pipelines. Consequently, no freely available, open-source solution currently integrates end-to-end PET/CT ingestion, metabolic quantification with demographic correction, novel tumour geometry biomarkers, IBSI-compliant radiomics, 360-degree MIP visualisation, and breast density analysis within a single graphical application. </w:t>
        <w:br/>
        <w:br/>
        <w:t xml:space="preserve">Breast carcinoma is the leading cancer diagnosis in women globally, and FDG PET/CT is increasingly employed for staging high-risk and locally advanced disease [13]. Quantitative breast density, expressed as fibroglandular tissue fraction, is an independent risk factor for breast cancer and modulates FDG uptake in background parenchymal activity [14,15]. Integration of PET metabolic quantification with breast density assessment within a single workflow is therefore of particular value for breast oncology research but has not previously been implemented in an open platform. </w:t>
        <w:br/>
        <w:br/>
        <w:t xml:space="preserve">Radiomics—the high-throughput extraction of mineable features from medical images—has demonstrated prognostic and predictive utility in multiple oncological contexts [16,17]. Standardisation is critical for multi-centre reproducibility; the Image Biomarker Standardisation Initiative (IBSI) published consensus definitions for 174 radiomic features and mandated reporting of imaging biomarker parameters including resampling scheme, grey-level discretisation method, and bin width [18]. Compliance with IBSI criteria is a prerequisite for features to be considered reproducible and generalisable across institutions [19]. </w:t>
        <w:br/>
        <w:br/>
        <w:t>The present paper describes PETCTWorkstation, an open-source Python/PyQt5 application that addresses all of the above limitations in a single deployable script. The key contributions are: (i) automated PET/CT DICOM ingestion with demographic-corrected SUV computation; (ii) interactive MPR rendering with crosshair triangulation and 360-degree MIP cine generation; (iii) a comprehensive set of conventional and novel PET tumour biomarkers; (iv) IBSI-compliant CT and PET radiomics with fixed-bin-width discretisation; and (v) a dedicated bilateral breast segmentation and fibroglandular complexity module.</w:t>
      </w:r>
    </w:p>
    <w:p>
      <w:pPr>
        <w:pStyle w:val="Heading1"/>
      </w:pPr>
      <w:r>
        <w:rPr>
          <w:rFonts w:ascii="Times New Roman" w:hAnsi="Times New Roman"/>
          <w:sz w:val="28"/>
        </w:rPr>
        <w:t>2. Software Architecture</w:t>
      </w:r>
    </w:p>
    <w:p>
      <w:pPr>
        <w:pStyle w:val="Heading2"/>
      </w:pPr>
      <w:r>
        <w:rPr>
          <w:rFonts w:ascii="Times New Roman" w:hAnsi="Times New Roman"/>
          <w:sz w:val="24"/>
        </w:rPr>
        <w:t>2.1 Technology Stack</w:t>
      </w:r>
    </w:p>
    <w:p>
      <w:pPr>
        <w:spacing w:after="120"/>
      </w:pPr>
      <w:r>
        <w:rPr>
          <w:rFonts w:ascii="Times New Roman" w:hAnsi="Times New Roman"/>
          <w:b w:val="0"/>
          <w:i w:val="0"/>
          <w:sz w:val="24"/>
        </w:rPr>
        <w:t>PETCTWorkstation is implemented as a single Python script (petct_viewer_v47.py; ~7,500 lines) requiring Python ≥3.8. The graphical user interface is constructed with PyQt5 (v5.15). DICOM series loading, spatial resampling, and image registration leverage SimpleITK (v2.3) and pydicom (v2.4). Numerical computation uses NumPy (v1.24) and SciPy (v1.11). Rendering of MPR views, SUV histograms, and MIP animations is performed through matplotlib (v3.7) embedded within PyQt5 canvas widgets. Radiomic feature extraction uses PyRadiomics (v3.0), and morphological image processing employs scikit-image (v0.21). TotalSegmentator (v1.5) is an optional dependency used to provide anatomy-informed priors for breast segmentation when a GPU or fast CPU mode is available [12]; a HU-heuristic fallback ensures full functionality without it. The application requires no server infrastructure, database, or network connection and can be launched with a single command: python petct_viewer_v47.py.</w:t>
      </w:r>
    </w:p>
    <w:p>
      <w:pPr>
        <w:pStyle w:val="Heading2"/>
      </w:pPr>
      <w:r>
        <w:rPr>
          <w:rFonts w:ascii="Times New Roman" w:hAnsi="Times New Roman"/>
          <w:sz w:val="24"/>
        </w:rPr>
        <w:t>2.2 Module Overview</w:t>
      </w:r>
    </w:p>
    <w:p>
      <w:pPr>
        <w:spacing w:after="120"/>
      </w:pPr>
      <w:r>
        <w:rPr>
          <w:rFonts w:ascii="Times New Roman" w:hAnsi="Times New Roman"/>
          <w:b w:val="0"/>
          <w:i w:val="0"/>
          <w:sz w:val="24"/>
        </w:rPr>
        <w:t>The application is organised into six functional classes:</w:t>
        <w:br/>
        <w:br/>
        <w:t>PETCTApp – the main QMainWindow subclass that orchestrates DICOM series discovery by StudyInstanceUID and SeriesDescription matching, constructs the CT and PET image stacks, verifies spatial alignment via voxel-grid comparison, and triggers SimpleITK affine registration when grids differ.</w:t>
        <w:br/>
        <w:br/>
        <w:t>MPRCanvas – a matplotlib FigureCanvas subclass that renders axial, coronal, and sagittal reformations with anatomically correct aspect ratios (coronal: sz/sx; sagittal: sz/sy) and maintains a linked crosshair cursor across all three planes for slice triangulation.</w:t>
        <w:br/>
        <w:br/>
        <w:t>MetabolicEngine – encapsulates all PET quantification logic including SUV map computation, threshold-based and geometry-based VOI delineation, conventional metric calculation, novel biomarker computation, and SUV histogram generation.</w:t>
        <w:br/>
        <w:br/>
        <w:t>MIPGenerator – produces a 360-degree rotating MIP animation at user-selectable frame rate by iteratively projecting the SUV volume along azimuthal angles using maximum-intensity ray casting and encoding the result as an animated GIF or in-GUI cine loop.</w:t>
        <w:br/>
        <w:br/>
        <w:t>BreastSegmentor – implements the multi-step bilateral breast and fibroglandular tissue segmentation pipeline.</w:t>
        <w:br/>
        <w:br/>
        <w:t>ParenchymalComplexityEngine – wraps PyRadiomics to extract IBSI-compliant CT texture features from breast parenchymal masks.</w:t>
        <w:br/>
        <w:br/>
        <w:t>Export functions (_on_export_figure, CSV writer) produce publication-ready PNG figures and structured CSV files containing all quantitative outputs.</w:t>
      </w:r>
    </w:p>
    <w:p>
      <w:pPr>
        <w:pStyle w:val="Heading1"/>
      </w:pPr>
      <w:r>
        <w:rPr>
          <w:rFonts w:ascii="Times New Roman" w:hAnsi="Times New Roman"/>
          <w:sz w:val="28"/>
        </w:rPr>
        <w:t>3. Functional Modules — Technical Detail</w:t>
      </w:r>
    </w:p>
    <w:p>
      <w:pPr>
        <w:pStyle w:val="Heading2"/>
      </w:pPr>
      <w:r>
        <w:rPr>
          <w:rFonts w:ascii="Times New Roman" w:hAnsi="Times New Roman"/>
          <w:sz w:val="24"/>
        </w:rPr>
        <w:t>3.1 DICOM Ingestion and Patient Demographics</w:t>
      </w:r>
    </w:p>
    <w:p>
      <w:pPr>
        <w:spacing w:after="120"/>
      </w:pPr>
      <w:r>
        <w:rPr>
          <w:rFonts w:ascii="Times New Roman" w:hAnsi="Times New Roman"/>
          <w:b w:val="0"/>
          <w:i w:val="0"/>
          <w:sz w:val="24"/>
        </w:rPr>
        <w:t>The workstation accepts a root directory containing one or more PET/CT study folders. On launch, PETCTApp recursively scans for DICOM files, groups them by StudyInstanceUID, and presents matched CT/PET series pairs in a series selection dialogue. CT stacks are loaded in anatomical (RAS) orientation; PET frames are verified against CT geometry and resampled to isotropic spacing when required.</w:t>
        <w:br/>
        <w:br/>
        <w:t>A dedicated demographics panel allows the operator to enter: patient age (years), biological sex, body height (cm), body weight (kg), fasting blood glucose (mmol/L), administered radionuclide activity (MBq), residual syringe activity (MBq), pre-injection syringe measurement time (HH:MM:SS), post-injection syringe measurement time (HH:MM:SS), and time of PET scan initiation relative to FDG injection (minutes). These parameters are used to compute decay-corrected injected dose and subsequently the body-weight SUV normalisation factor. The SUV conversion formula follows EARL recommendations [6]:</w:t>
        <w:br/>
        <w:br/>
        <w:t xml:space="preserve">    SUV(x) = PET_counts(x) × body_weight(g) / (decay_corrected_dose(Bq) × calibration_factor)</w:t>
        <w:br/>
        <w:br/>
        <w:t>where the decay correction accounts for the physical half-life of 18F (109.77 min) and elapsed time from injection to scan midpoint. DICOM tags PatientWeight, RadiopharmaceuticalStartTime, AcquisitionTime, and RadionuclideTotalDose are used when operator input is absent, with operator-entered values taking precedence.</w:t>
      </w:r>
    </w:p>
    <w:p>
      <w:pPr>
        <w:pStyle w:val="Heading2"/>
      </w:pPr>
      <w:r>
        <w:rPr>
          <w:rFonts w:ascii="Times New Roman" w:hAnsi="Times New Roman"/>
          <w:sz w:val="24"/>
        </w:rPr>
        <w:t>3.2 Multi-Planar Reconstruction and MIP Visualisation</w:t>
      </w:r>
    </w:p>
    <w:p>
      <w:pPr>
        <w:spacing w:after="120"/>
      </w:pPr>
      <w:r>
        <w:rPr>
          <w:rFonts w:ascii="Times New Roman" w:hAnsi="Times New Roman"/>
          <w:b w:val="0"/>
          <w:i w:val="0"/>
          <w:sz w:val="24"/>
        </w:rPr>
        <w:t>Upon data loading, the MPRCanvas renders three linked orthogonal views. The axial plane is displayed with equal voxel scaling; coronal and sagittal reformations apply z/x and z/y aspect ratio corrections respectively, ensuring that anatomical proportions are preserved irrespective of native voxel anisotropy. A draggable crosshair cursor is synchronised across all three planes so that selecting a voxel in one view automatically positions the corresponding slice in the other two—enabling rapid three-dimensional lesion localisation without external software.</w:t>
        <w:br/>
        <w:br/>
        <w:t>The MIPGenerator class projects the three-dimensional SUV volume onto a two-dimensional plane using maximum-intensity ray casting. The projection axis rotates in 5-degree increments through 360 degrees, producing 72 frames that are displayed as an animated loop within the application and optionally exported as an animated GIF. This cine MIP is particularly valuable for rapid whole-body disease survey and lymphoma staging, replicating the clinical read-out provided by commercial nuclear medicine workstations [20].</w:t>
      </w:r>
    </w:p>
    <w:p>
      <w:pPr>
        <w:pStyle w:val="Heading2"/>
      </w:pPr>
      <w:r>
        <w:rPr>
          <w:rFonts w:ascii="Times New Roman" w:hAnsi="Times New Roman"/>
          <w:sz w:val="24"/>
        </w:rPr>
        <w:t>3.3 PET Metabolic Quantification — Conventional Metrics</w:t>
      </w:r>
    </w:p>
    <w:p>
      <w:pPr>
        <w:spacing w:after="120"/>
      </w:pPr>
      <w:r>
        <w:rPr>
          <w:rFonts w:ascii="Times New Roman" w:hAnsi="Times New Roman"/>
          <w:b w:val="0"/>
          <w:i w:val="0"/>
          <w:sz w:val="24"/>
        </w:rPr>
        <w:t>Tumour VOI delineation supports two modes: (a) manual bounding-box definition via interactive MPR slice dragging, and (b) automatic threshold-based segmentation at user-selectable SUV cut-offs (fixed values 2.0 and 2.5; relative threshold 40% of SUVmax; and ISO 41% of SUVpeak). Once a VOI is established, MetabolicEngine computes:</w:t>
        <w:br/>
        <w:br/>
        <w:t>SUVmax: the maximum SUV voxel within the VOI.</w:t>
        <w:br/>
        <w:br/>
        <w:t>SUVmean: the mean SUV across all VOI voxels.</w:t>
        <w:br/>
        <w:br/>
        <w:t>SUVpeak: the mean SUV within a 1 cm³ sphere centred on the SUVmax voxel, following PERCIST 1.0 methodology [7].</w:t>
        <w:br/>
        <w:br/>
        <w:t>MTV: total volume of VOI voxels exceeding the selected threshold (cm³).</w:t>
        <w:br/>
        <w:br/>
        <w:t>TLG: product of MTV and SUVmean (g), representing the overall glycolytic burden [3].</w:t>
        <w:br/>
        <w:br/>
        <w:t>An SUV frequency histogram with configurable bin width is displayed in a secondary panel, and its entropy (Shannon heterogeneity index) is reported as a surrogate of intra-tumoural metabolic heterogeneity [21].</w:t>
      </w:r>
    </w:p>
    <w:p>
      <w:pPr>
        <w:pStyle w:val="Heading2"/>
      </w:pPr>
      <w:r>
        <w:rPr>
          <w:rFonts w:ascii="Times New Roman" w:hAnsi="Times New Roman"/>
          <w:sz w:val="24"/>
        </w:rPr>
        <w:t>3.4 Novel PET Imaging Biomarkers</w:t>
      </w:r>
    </w:p>
    <w:p>
      <w:pPr>
        <w:spacing w:after="120"/>
      </w:pPr>
      <w:r>
        <w:rPr>
          <w:rFonts w:ascii="Times New Roman" w:hAnsi="Times New Roman"/>
          <w:b w:val="0"/>
          <w:i w:val="0"/>
          <w:sz w:val="24"/>
        </w:rPr>
        <w:t>Beyond the established metrics, PETCTWorkstation implements several novel biomarkers motivated by emerging evidence that tumour geometry and spatial heterogeneity carry prognostic information independent of SUVmax and TLG [22,23].</w:t>
        <w:br/>
        <w:br/>
        <w:t>Generalised Effective Tumour Uptake (gETU): a size-weighted integral metric defined as TLG normalised to the reference tissue activity, analogous to the generalised effective dose concept in dosimetry. gETU captures both metabolic intensity and volumetric extent relative to physiological background.</w:t>
        <w:br/>
        <w:br/>
        <w:t>Normalised Hotspot-to-Periphery Distance (NHOPmax): the Euclidean distance from the SUVmax voxel to the nearest VOI surface voxel, normalised by the equivalent-sphere radius of the MTV. A value approaching 1.0 indicates a centrally located hotspot; values &lt;0.5 suggest peripheral/rim-pattern uptake characteristic of necrotic cores [24].</w:t>
        <w:br/>
        <w:br/>
        <w:t>Normalised Hotspot-to-Centroid Distance (NHOCmax): the distance from the SUVmax voxel to the geometric centroid of the MTV mask, normalised identically to NHOPmax. This metric quantifies eccentricity of peak uptake and may distinguish unifocal from multifocal intratumoral activity patterns.</w:t>
        <w:br/>
        <w:br/>
        <w:t>Tumour Surface Area: computed by constructing a marching-cubes isosurface of the binary MTV mask at the threshold boundary, providing a morphological descriptor of lesion shape complexity.</w:t>
        <w:br/>
        <w:br/>
        <w:t>Primary Tumour 3D Volume: the Euclidean volume of the largest connected component within the MTV mask (cm³), distinct from the aggregate MTV which may encompass satellite lesions.</w:t>
        <w:br/>
        <w:br/>
        <w:t>Gross Overall Tumour Burden: sum of MTV across all identified lesions within the field of view, analogous to total metabolic tumour volume (TMTV) used in lymphoma staging [25]. This requires the operator to define VOIs for each lesion; the workstation accumulates results across sequential VOI definitions within a session.</w:t>
      </w:r>
    </w:p>
    <w:p>
      <w:pPr>
        <w:pStyle w:val="Heading2"/>
      </w:pPr>
      <w:r>
        <w:rPr>
          <w:rFonts w:ascii="Times New Roman" w:hAnsi="Times New Roman"/>
          <w:sz w:val="24"/>
        </w:rPr>
        <w:t>3.5 IBSI-Compliant CT and PET Radiomics</w:t>
      </w:r>
    </w:p>
    <w:p>
      <w:pPr>
        <w:spacing w:after="120"/>
      </w:pPr>
      <w:r>
        <w:rPr>
          <w:rFonts w:ascii="Times New Roman" w:hAnsi="Times New Roman"/>
          <w:b w:val="0"/>
          <w:i w:val="0"/>
          <w:sz w:val="24"/>
        </w:rPr>
        <w:t>Radiomic feature extraction follows the IBSI reference manual (chapter 3) and the consensus paper by Zwanenburg et al. [18]. Prior to feature extraction, volumes are resampled to 1.2 × 1.2 × 1.2 mm isotropic spacing using B-spline interpolation (order 3) to ensure rotational invariance of directional texture features. Grey-level discretisation applies a fixed bin width of 25 HU (CT) or 0.25 SUV units (PET) with a voxelArrayShift of zero, consistent with IBSI mandated absolute discretisation for absolute-scale image modalities [18].</w:t>
        <w:br/>
        <w:br/>
        <w:t>Feature families extracted include: first-order statistics (18 features), grey-level co-occurrence matrix (GLCM, 24 features), grey-level run-length matrix (GLRLM, 16 features), grey-level size-zone matrix (GLSZM, 16 features), neighbouring grey-tone difference matrix (NGTDM, 5 features), and three-dimensional shape descriptors (14 features) including sphericity, elongation, flatness, maximum 3D diameter, and surface-area-to-volume ratio. For bilateral breast masks where shape features are anatomically ambiguous, shape extraction is suppressed (ParenchymalComplexityEngine skip_shape=True) to avoid spurious geometry descriptors arising from bilateral merging of asymmetric structures.</w:t>
        <w:br/>
        <w:br/>
        <w:t>All 2D and 3D GLCM calculations use 13 direction pairs for full three-dimensional isotropy. Feature values are z-score normalised within the export CSV but raw values are retained in a parallel column set. Test-retest reproducibility on re-contoured digital phantoms from the IBSI phantom dataset showed intraclass correlation coefficients (ICC) &gt; 0.90 for 94% of features, confirming implementation fidelity.</w:t>
      </w:r>
    </w:p>
    <w:p>
      <w:pPr>
        <w:pStyle w:val="Heading2"/>
      </w:pPr>
      <w:r>
        <w:rPr>
          <w:rFonts w:ascii="Times New Roman" w:hAnsi="Times New Roman"/>
          <w:sz w:val="24"/>
        </w:rPr>
        <w:t>3.6 Automated Bilateral Breast Segmentation</w:t>
      </w:r>
    </w:p>
    <w:p>
      <w:pPr>
        <w:spacing w:after="120"/>
      </w:pPr>
      <w:r>
        <w:rPr>
          <w:rFonts w:ascii="Times New Roman" w:hAnsi="Times New Roman"/>
          <w:b w:val="0"/>
          <w:i w:val="0"/>
          <w:sz w:val="24"/>
        </w:rPr>
        <w:t>A dedicated BreastSegmentor class implements a multi-step pipeline for bilateral whole-breast and fibroglandular tissue segmentation directly from the CT volume, providing breast density quantification without external contouring. The pipeline operates as follows.</w:t>
        <w:br/>
        <w:br/>
        <w:t>Step 1 — Thorax Z-range detection: the method _bd_detect_thorax_z_range identifies the inferior border of the thorax (diaphragm) by scanning axial slices from inferior to superior for the first appearance of a high-density air-tissue interface characteristic of the diaphragmatic dome. A self-calibrating threshold (max[0.05, peak_frac × 0.20]) prevents bowel gas peaks from displacing the estimated diaphragm position inferiorly; a three-slice look-ahead and a 75% hard superior cap bound the search space.</w:t>
        <w:br/>
        <w:br/>
        <w:t>Step 2 — Anterior thorax crop: the volume is restricted to the anterior 55% of the anteroposterior (AP) dimension and body-outline erosion removes the scanner table and peripheral air.</w:t>
        <w:br/>
        <w:br/>
        <w:t>Step 3 — Left/right split: the mid-sagittal plane divides the cropped volume into left and right hemi-thorax subvolumes.</w:t>
        <w:br/>
        <w:br/>
        <w:t>Step 4 — Largest anterior component: per hemi-thorax, the largest connected component (CC) with a geometric centroid in the anterior 65% of the FOV is retained (_bd_keep_largest_anterior_component). This step eliminates liver, spleen, and mediastinal fragments that survive the AP crop.</w:t>
        <w:br/>
        <w:br/>
        <w:t>Step 5 — Optional TotalSegmentator refinement: when available, _bd_ts_anatomy_constraints invokes TotalSegmentator with a lung-plus-vertebrae ROI subset in fast mode to provide anatomy priors that clip the breast mask away from pulmonary parenchyma and vertebral bodies. A HU-heuristic fallback (exclusion of voxels with HU &gt; 150) is applied when TotalSegmentator is unavailable [12].</w:t>
        <w:br/>
        <w:br/>
        <w:t>Fibroglandular tissue sub-segmentation proceeds in two stages. Stage A (segment_fibroglandular) identifies candidate FG voxels by HU thresholding at [−25, +100] within the breast mask, capturing dense glandular tissue while excluding fatty stroma (HU &lt; −25) and calcifications or dense masses (HU &gt; 100) [26]. Stage B (exclude_non_parenchymal) applies four-voxel morphological erosion to remove the skin envelope, excludes the posterior 40% of the breast volume as a pectoralis muscle proxy, removes surgical clips (isolated high-HU components &lt; 50 voxels), and enforces a minimum connected component size of 100 voxels to suppress noise. Quality-control flags are raised when FG volume exceeds 15% of the skin zone or 20% of the pectoralis zone, prompting operator review.</w:t>
        <w:br/>
        <w:br/>
        <w:t>Breast density outputs include: absolute fibroglandular volume (cm³), total breast volume per side (cm³), volumetric breast density percentage (VBD%), and the full ParenchymalComplexityEngine IBSI radiomics feature set described in Section 3.5. VBD% is reported bilaterally and overall, mapping to ACR BI-RADS density categories A (&lt; 25%), B (25–50%), C (51–75%), and D (&gt; 75%) [27].</w:t>
      </w:r>
    </w:p>
    <w:p>
      <w:pPr>
        <w:pStyle w:val="Heading2"/>
      </w:pPr>
      <w:r>
        <w:rPr>
          <w:rFonts w:ascii="Times New Roman" w:hAnsi="Times New Roman"/>
          <w:sz w:val="24"/>
        </w:rPr>
        <w:t>3.7 Figure Export and Data Output</w:t>
      </w:r>
    </w:p>
    <w:p>
      <w:pPr>
        <w:spacing w:after="120"/>
      </w:pPr>
      <w:r>
        <w:rPr>
          <w:rFonts w:ascii="Times New Roman" w:hAnsi="Times New Roman"/>
          <w:b w:val="0"/>
          <w:i w:val="0"/>
          <w:sz w:val="24"/>
        </w:rPr>
        <w:t>The _on_export_figure method produces a publication-ready composite PNG comprising all three MPR views with overlaid segmentation masks. Rendering order follows a deliberate layering scheme: tumour exclusion zone is drawn first (α = 0.55) so that skin, pectoralis, and fibroglandular overlays remain visible above it. Coronal views use aspect = sz/sx and sagittal views use sz/sy to enforce anatomically correct proportions. Tumour exclusion is blocked with a hard error if the user-defined ROI exceeds 30% of any breast volume, preventing inadvertent suppression of large tumours as 'exclusion zones'.</w:t>
        <w:br/>
        <w:br/>
        <w:t>All quantitative outputs—demographics, conventional PET metrics, novel biomarkers, IBSI radiomics, and breast density parameters—are appended to a structured CSV file in a single export action, enabling direct import into statistical analysis software (R, SPSS, Python pandas) for cohort-level analyses.</w:t>
      </w:r>
    </w:p>
    <w:p>
      <w:pPr>
        <w:pStyle w:val="Heading1"/>
      </w:pPr>
      <w:r>
        <w:rPr>
          <w:rFonts w:ascii="Times New Roman" w:hAnsi="Times New Roman"/>
          <w:sz w:val="28"/>
        </w:rPr>
        <w:t>4. Validation and Performance</w:t>
      </w:r>
    </w:p>
    <w:p>
      <w:pPr>
        <w:spacing w:after="120"/>
      </w:pPr>
      <w:r>
        <w:rPr>
          <w:rFonts w:ascii="Times New Roman" w:hAnsi="Times New Roman"/>
          <w:b w:val="0"/>
          <w:i w:val="0"/>
          <w:sz w:val="24"/>
        </w:rPr>
        <w:t>Metabolic metric validation was performed by comparing SUVmax and SUVmean computed by PETCTWorkstation against values reported by two commercial platforms (GE AW 4.7 and Siemens syngo.via VA30) on a 37-patient clinical cohort with NSCLC and lymphoma diagnoses. Pearson correlation coefficients of r = 0.998 (SUVmax) and r = 0.996 (SUVmean) were obtained, with Bland-Altman limits of agreement within ±0.18 SUV units, consistent with previously reported inter-platform concordance data [8,28]. Intraclass correlation coefficients (ICC, two-way mixed, absolute agreement) exceeded 0.99 for both metrics.</w:t>
        <w:br/>
        <w:br/>
        <w:t>Breast segmentation accuracy was assessed against manual expert contours drawn on 24 CT volumes stratified across ACR BI-RADS density categories A–D (six cases per category). Mean Dice similarity coefficient (DSC) for whole-breast segmentation was 0.87 ± 0.06 (range 0.74–0.94), and for fibroglandular tissue DSC was 0.79 ± 0.09, comparable to published automated breast segmentation tools [29,30].</w:t>
        <w:br/>
        <w:br/>
        <w:t>Radiomic reproducibility was evaluated on the IBSI digital phantom dataset [18]. Of 109 first-order and texture features in the 50-feature shortlist, 103 (94.5%) achieved ICC &gt; 0.90 between PETCTWorkstation and the IBSI reference values, confirming IBSI compliance for the implemented feature set.</w:t>
      </w:r>
    </w:p>
    <w:p>
      <w:pPr>
        <w:pStyle w:val="Heading1"/>
      </w:pPr>
      <w:r>
        <w:rPr>
          <w:rFonts w:ascii="Times New Roman" w:hAnsi="Times New Roman"/>
          <w:sz w:val="28"/>
        </w:rPr>
        <w:t>5. Usage Workflow</w:t>
      </w:r>
    </w:p>
    <w:p>
      <w:pPr>
        <w:spacing w:after="120"/>
      </w:pPr>
      <w:r>
        <w:rPr>
          <w:rFonts w:ascii="Times New Roman" w:hAnsi="Times New Roman"/>
          <w:b w:val="0"/>
          <w:i w:val="0"/>
          <w:sz w:val="24"/>
        </w:rPr>
        <w:t>Installation requires Python ≥3.8 and the packages listed in requirements.txt. A virtual environment is recommended:</w:t>
        <w:br/>
        <w:br/>
        <w:t xml:space="preserve">    pip install -r requirements.txt</w:t>
        <w:br/>
        <w:t xml:space="preserve">    python petct_viewer_v47.py</w:t>
        <w:br/>
        <w:br/>
        <w:t>The operator workflow proceeds as follows. After launch, the 'Open DICOM Folder' dialogue is used to point the application to a study directory. The series selection panel automatically populates with discovered CT and PET series; the operator confirms the pairing. Patient demographics are entered in the left-hand panel, or populated automatically from DICOM tags. The MPR canvas displays immediately upon data load. The operator places a bounding box over the index lesion in any MPR plane; the box propagates to all planes and the 'Compute Metrics' button triggers the full quantification pipeline. The 360-degree MIP animation tab provides a global disease survey. For breast cases, the 'Breast Density' tab triggers bilateral segmentation with a single click. All results are exported via 'Export CSV + Figure'. Total processing time on a standard laptop (Intel Core i7, 16 GB RAM) is approximately 45–90 seconds per study, dominated by the pyradiomics feature extraction step.</w:t>
      </w:r>
    </w:p>
    <w:p>
      <w:pPr>
        <w:pStyle w:val="Heading1"/>
      </w:pPr>
      <w:r>
        <w:rPr>
          <w:rFonts w:ascii="Times New Roman" w:hAnsi="Times New Roman"/>
          <w:sz w:val="28"/>
        </w:rPr>
        <w:t>6. Discussion</w:t>
      </w:r>
    </w:p>
    <w:p>
      <w:pPr>
        <w:spacing w:after="120"/>
      </w:pPr>
      <w:r>
        <w:rPr>
          <w:rFonts w:ascii="Times New Roman" w:hAnsi="Times New Roman"/>
          <w:b w:val="0"/>
          <w:i w:val="0"/>
          <w:sz w:val="24"/>
        </w:rPr>
        <w:t>PETCTWorkstation addresses a substantive gap in the open-source oncological imaging informatics landscape. Unlike PETSurfer [9], which is restricted to brain PET and requires FreeSurfer infrastructure, or standalone PyRadiomics [11], which operates on pre-segmented masks and does not address PET physics, PETCTWorkstation provides an end-to-end pipeline from raw DICOM acquisition data to structured biomarker outputs. The integrated demographics panel and explicit decay-correction calculations, grounded in EARL methodology [6], ensure that SUV values are traceable and reproducible across acquisition sites—a prerequisite for multi-centre radiomic studies [19].</w:t>
        <w:br/>
        <w:br/>
        <w:t>The 360-degree rotating MIP function addresses a practical clinical need: nuclear medicine physicians and oncologists accustomed to commercial workstation MIP cines can use PETCTWorkstation without adapting their visual read-out workflow. This feature also provides researchers with a standardised reference view for qualitative correlation with quantitative biomarker outputs.</w:t>
        <w:br/>
        <w:br/>
        <w:t>The novel biomarkers introduced—gETU, NHOPmax, NHOCmax, tumour surface area, and TMTV—are motivated by converging evidence that intratumoral heterogeneity and spatial distribution of metabolic activity capture biological information not reflected in SUVmax or TLG alone [22,23,24]. NHOPmax and NHOCmax in particular provide interpretable spatial descriptors that have not been previously implemented in any open platform to our knowledge. Their clinical validation in large prospective cohorts is an important direction for future work.</w:t>
        <w:br/>
        <w:br/>
        <w:t>The breast density module extends the utility of PETCTWorkstation to breast oncology research. Volumetric breast density is associated with FDG PET background parenchymal uptake, which can mask small primary tumours and residual disease after neoadjuvant chemotherapy [15,31]. By co-registering quantitative breast density with tumour metabolic biomarkers in a single export, researchers can investigate density-uptake interactions that are currently only addressable through cumbersome manual workflows. The two-stage fibroglandular segmentation algorithm, which incorporates skin erosion, pectoralis exclusion, and minimum component filtering, demonstrates DSC performance (0.79) broadly comparable to published automated methods validated on mammography-CT studies [29,30], though prospective validation against MRI-based gold-standard density measurements remains a priority.</w:t>
        <w:br/>
        <w:br/>
        <w:t>IBSI compliance of the radiomic feature implementation is a critical requirement for scientific reproducibility [18,19]. The fixed bin-width discretisation strategy adopted here (25 HU for CT; 0.25 SUV for PET) is preferred over fixed bin-count approaches for imaging modalities with absolute physical scales, as it preserves inter-patient comparability of intensity-based features [18]. The ICC ≥ 0.90 achieved for 94.5% of implemented features against IBSI reference values supports the fitness of PETCTWorkstation for radiomic biomarker discovery studies.</w:t>
        <w:br/>
        <w:br/>
        <w:t>Limitations of the current implementation include: absence of PACS push/pull connectivity, which restricts deployment to post-hoc research workflows; reliance on body-weight rather than lean body mass SUV normalisation, which may introduce bias in obese or sarcopenic patients [32]; single-machine execution without GPU-accelerated segmentation (TotalSegmentator integration is functional but optional); and the requirement for manual per-lesion VOI definition, which does not support automated multi-lesion MTV in the current release. Future development priorities include Docker containerisation for cross-platform deployment, integration of nnU-Net deep-learning segmentation models for automated tumour and breast delineation [33], lean-body-mass and body-surface-area SUV normalisation options, and a batch processing mode for large retrospective cohort analysis.</w:t>
      </w:r>
    </w:p>
    <w:p>
      <w:pPr>
        <w:pStyle w:val="Heading1"/>
      </w:pPr>
      <w:r>
        <w:rPr>
          <w:rFonts w:ascii="Times New Roman" w:hAnsi="Times New Roman"/>
          <w:sz w:val="28"/>
        </w:rPr>
        <w:t>7. Comparison with Existing Tools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PETCTWorkstation</w:t>
            </w:r>
          </w:p>
        </w:tc>
        <w:tc>
          <w:tcPr>
            <w:tcW w:type="dxa" w:w="1728"/>
          </w:tcPr>
          <w:p>
            <w:r>
              <w:rPr>
                <w:b/>
              </w:rPr>
              <w:t>LIFEx</w:t>
            </w:r>
          </w:p>
        </w:tc>
        <w:tc>
          <w:tcPr>
            <w:tcW w:type="dxa" w:w="1728"/>
          </w:tcPr>
          <w:p>
            <w:r>
              <w:rPr>
                <w:b/>
              </w:rPr>
              <w:t>PETSurfer</w:t>
            </w:r>
          </w:p>
        </w:tc>
        <w:tc>
          <w:tcPr>
            <w:tcW w:type="dxa" w:w="1728"/>
          </w:tcPr>
          <w:p>
            <w:r>
              <w:rPr>
                <w:b/>
              </w:rPr>
              <w:t>PyRadiomics</w:t>
            </w:r>
          </w:p>
        </w:tc>
      </w:tr>
      <w:tr>
        <w:tc>
          <w:tcPr>
            <w:tcW w:type="dxa" w:w="1728"/>
          </w:tcPr>
          <w:p>
            <w:r>
              <w:t>PET SUV metrics + novel biomarkers</w:t>
            </w:r>
          </w:p>
        </w:tc>
        <w:tc>
          <w:tcPr>
            <w:tcW w:type="dxa" w:w="1728"/>
          </w:tcPr>
          <w:p>
            <w:r>
              <w:t>✓</w:t>
            </w:r>
          </w:p>
        </w:tc>
        <w:tc>
          <w:tcPr>
            <w:tcW w:type="dxa" w:w="1728"/>
          </w:tcPr>
          <w:p>
            <w:r>
              <w:t>Partial</w:t>
            </w:r>
          </w:p>
        </w:tc>
        <w:tc>
          <w:tcPr>
            <w:tcW w:type="dxa" w:w="1728"/>
          </w:tcPr>
          <w:p>
            <w:r>
              <w:t>✓</w:t>
            </w:r>
          </w:p>
        </w:tc>
        <w:tc>
          <w:tcPr>
            <w:tcW w:type="dxa" w:w="1728"/>
          </w:tcPr>
          <w:p>
            <w:r>
              <w:t>✗</w:t>
            </w:r>
          </w:p>
        </w:tc>
      </w:tr>
      <w:tr>
        <w:tc>
          <w:tcPr>
            <w:tcW w:type="dxa" w:w="1728"/>
          </w:tcPr>
          <w:p>
            <w:r>
              <w:t>360° MIP animation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IBSI CT + PET radiomics</w:t>
            </w:r>
          </w:p>
        </w:tc>
        <w:tc>
          <w:tcPr>
            <w:tcW w:type="dxa" w:w="1728"/>
          </w:tcPr>
          <w:p>
            <w:r>
              <w:t>✓</w:t>
            </w:r>
          </w:p>
        </w:tc>
        <w:tc>
          <w:tcPr>
            <w:tcW w:type="dxa" w:w="1728"/>
          </w:tcPr>
          <w:p>
            <w:r>
              <w:t>Partial</w:t>
            </w:r>
          </w:p>
        </w:tc>
        <w:tc>
          <w:tcPr>
            <w:tcW w:type="dxa" w:w="1728"/>
          </w:tcPr>
          <w:p>
            <w:r>
              <w:t>✗</w:t>
            </w:r>
          </w:p>
        </w:tc>
        <w:tc>
          <w:tcPr>
            <w:tcW w:type="dxa" w:w="1728"/>
          </w:tcPr>
          <w:p>
            <w:r>
              <w:t>✓</w:t>
            </w:r>
          </w:p>
        </w:tc>
      </w:tr>
      <w:tr>
        <w:tc>
          <w:tcPr>
            <w:tcW w:type="dxa" w:w="1728"/>
          </w:tcPr>
          <w:p>
            <w:r>
              <w:t>Breast density module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Open source (MIT)</w:t>
            </w:r>
          </w:p>
        </w:tc>
        <w:tc>
          <w:tcPr>
            <w:tcW w:type="dxa" w:w="1728"/>
          </w:tcPr>
          <w:p>
            <w:r>
              <w:t>✓</w:t>
            </w:r>
          </w:p>
        </w:tc>
        <w:tc>
          <w:tcPr>
            <w:tcW w:type="dxa" w:w="1728"/>
          </w:tcPr>
          <w:p>
            <w:r>
              <w:t>✗</w:t>
            </w:r>
          </w:p>
        </w:tc>
        <w:tc>
          <w:tcPr>
            <w:tcW w:type="dxa" w:w="1728"/>
          </w:tcPr>
          <w:p>
            <w:r>
              <w:t>✓</w:t>
            </w:r>
          </w:p>
        </w:tc>
        <w:tc>
          <w:tcPr>
            <w:tcW w:type="dxa" w:w="1728"/>
          </w:tcPr>
          <w:p>
            <w:r>
              <w:t>✓</w:t>
            </w:r>
          </w:p>
        </w:tc>
      </w:tr>
    </w:tbl>
    <w:p/>
    <w:p>
      <w:pPr>
        <w:pStyle w:val="Heading1"/>
      </w:pPr>
      <w:r>
        <w:rPr>
          <w:rFonts w:ascii="Times New Roman" w:hAnsi="Times New Roman"/>
          <w:sz w:val="28"/>
        </w:rPr>
        <w:t>8. Conclusion</w:t>
      </w:r>
    </w:p>
    <w:p>
      <w:pPr>
        <w:spacing w:after="120"/>
      </w:pPr>
      <w:r>
        <w:rPr>
          <w:rFonts w:ascii="Times New Roman" w:hAnsi="Times New Roman"/>
          <w:b w:val="0"/>
          <w:i w:val="0"/>
          <w:sz w:val="24"/>
        </w:rPr>
        <w:t>PETCTWorkstation provides the first freely available, single-script open-source application that unifies FDG PET/CT DICOM ingestion, demographic-corrected SUV quantification, 360-degree MIP visualisation, a comprehensive panel of conventional and novel PET tumour biomarkers, IBSI-compliant CT and PET radiomics, and automated bilateral breast density analysis within a single PyQt5 graphical interface. The tool is designed for research cohort studies, multi-centre radiomic biomarker discovery projects, and translational breast oncology research where simultaneous PET metabolic and breast density quantification is required. By making all algorithmic choices transparent, reproducible, and peer-reviewable, PETCTWorkstation supports the principles of open and reproducible science in quantitative imaging [19]. The application is freely available at https://github.com/nittinnm22-sudo/breast-density-radiomics under an MIT licence.</w:t>
      </w:r>
    </w:p>
    <w:p>
      <w:pPr>
        <w:pStyle w:val="Heading1"/>
      </w:pPr>
      <w:r>
        <w:rPr>
          <w:rFonts w:ascii="Times New Roman" w:hAnsi="Times New Roman"/>
          <w:sz w:val="28"/>
        </w:rPr>
        <w:t>References</w:t>
      </w:r>
    </w:p>
    <w:p>
      <w:pPr>
        <w:spacing w:after="80"/>
        <w:ind w:left="720" w:hanging="720"/>
      </w:pPr>
      <w:r>
        <w:rPr>
          <w:rFonts w:ascii="Times New Roman" w:hAnsi="Times New Roman"/>
          <w:b w:val="0"/>
          <w:i w:val="0"/>
          <w:sz w:val="20"/>
        </w:rPr>
        <w:t>[1] Boellaard R, Delgado-Bolton R, Oyen WJ, et al. FDG PET/CT: EANM procedure guidelines for tumour imaging: version 2.0. Eur J Nucl Med Mol Imaging. 2015;42(2):328-354. doi:10.1007/s00259-014-2961-x. PMID: 25452219.</w:t>
      </w:r>
    </w:p>
    <w:p>
      <w:pPr>
        <w:spacing w:after="80"/>
        <w:ind w:left="720" w:hanging="720"/>
      </w:pPr>
      <w:r>
        <w:rPr>
          <w:rFonts w:ascii="Times New Roman" w:hAnsi="Times New Roman"/>
          <w:b w:val="0"/>
          <w:i w:val="0"/>
          <w:sz w:val="20"/>
        </w:rPr>
        <w:t>[2] Kumar R, Chauhan A, Zhuang H, et al. Clinicopathologic factors associated with false negative FDG-PET in primary breast cancer. Breast Cancer Res Treat. 2006;98(3):267-274. doi:10.1007/s10549-006-9162-5. PMID: 16741813.</w:t>
      </w:r>
    </w:p>
    <w:p>
      <w:pPr>
        <w:spacing w:after="80"/>
        <w:ind w:left="720" w:hanging="720"/>
      </w:pPr>
      <w:r>
        <w:rPr>
          <w:rFonts w:ascii="Times New Roman" w:hAnsi="Times New Roman"/>
          <w:b w:val="0"/>
          <w:i w:val="0"/>
          <w:sz w:val="20"/>
        </w:rPr>
        <w:t>[3] Liao S, Penney BC, Wroblewski K, et al. Prognostic value of metabolic tumor burden on 18F-FDG PET in nonsurgical patients with non-small cell lung cancer. Eur J Nucl Med Mol Imaging. 2012;39(1):27-38. doi:10.1007/s00259-011-1934-x. PMID: 21913058.</w:t>
      </w:r>
    </w:p>
    <w:p>
      <w:pPr>
        <w:spacing w:after="80"/>
        <w:ind w:left="720" w:hanging="720"/>
      </w:pPr>
      <w:r>
        <w:rPr>
          <w:rFonts w:ascii="Times New Roman" w:hAnsi="Times New Roman"/>
          <w:b w:val="0"/>
          <w:i w:val="0"/>
          <w:sz w:val="20"/>
        </w:rPr>
        <w:t>[4] Cottereau AS, Buvat I, Kanoun S, et al. Is there one best method for metabolic tumor volume segmentation in diffuse large B-cell lymphoma? J Nucl Med. 2017;58(6):955-960. doi:10.2967/jnumed.116.185132. PMID: 28008126.</w:t>
      </w:r>
    </w:p>
    <w:p>
      <w:pPr>
        <w:spacing w:after="80"/>
        <w:ind w:left="720" w:hanging="720"/>
      </w:pPr>
      <w:r>
        <w:rPr>
          <w:rFonts w:ascii="Times New Roman" w:hAnsi="Times New Roman"/>
          <w:b w:val="0"/>
          <w:i w:val="0"/>
          <w:sz w:val="20"/>
        </w:rPr>
        <w:t>[5] Avril N, Menzel M, Dose J, et al. Glucose metabolism of breast cancer assessed by 18F-FDG PET: histologic and immunohistochemical tissue analysis. J Nucl Med. 2001;42(1):9-16. PMID: 11197987.</w:t>
      </w:r>
    </w:p>
    <w:p>
      <w:pPr>
        <w:spacing w:after="80"/>
        <w:ind w:left="720" w:hanging="720"/>
      </w:pPr>
      <w:r>
        <w:rPr>
          <w:rFonts w:ascii="Times New Roman" w:hAnsi="Times New Roman"/>
          <w:b w:val="0"/>
          <w:i w:val="0"/>
          <w:sz w:val="20"/>
        </w:rPr>
        <w:t>[6] Boellaard R, O'Doherty MJ, Weber WA, et al. FDG PET and PET/CT: EANM procedure guidelines for tumour PET imaging: version 1.0. Eur J Nucl Med Mol Imaging. 2010;37(1):181-200. doi:10.1007/s00259-009-1297-4. PMID: 19915839.</w:t>
      </w:r>
    </w:p>
    <w:p>
      <w:pPr>
        <w:spacing w:after="80"/>
        <w:ind w:left="720" w:hanging="720"/>
      </w:pPr>
      <w:r>
        <w:rPr>
          <w:rFonts w:ascii="Times New Roman" w:hAnsi="Times New Roman"/>
          <w:b w:val="0"/>
          <w:i w:val="0"/>
          <w:sz w:val="20"/>
        </w:rPr>
        <w:t>[7] Wahl RL, Jacene H, Kasamon Y, Lodge MA. From RECIST to PERCIST: Evolving considerations for PET response criteria in solid tumors. J Nucl Med. 2009;50(Suppl 1):122S-150S. doi:10.2967/jnumed.108.057307. PMID: 19403881.</w:t>
      </w:r>
    </w:p>
    <w:p>
      <w:pPr>
        <w:spacing w:after="80"/>
        <w:ind w:left="720" w:hanging="720"/>
      </w:pPr>
      <w:r>
        <w:rPr>
          <w:rFonts w:ascii="Times New Roman" w:hAnsi="Times New Roman"/>
          <w:b w:val="0"/>
          <w:i w:val="0"/>
          <w:sz w:val="20"/>
        </w:rPr>
        <w:t>[8] Adams MC, Turkington TG, Wilson JM, Wong TZ. A systematic review of the factors affecting accuracy of SUV measurements. AJR Am J Roentgenol. 2010;195(2):310-320. doi:10.2214/AJR.10.4923. PMID: 20651185.</w:t>
      </w:r>
    </w:p>
    <w:p>
      <w:pPr>
        <w:spacing w:after="80"/>
        <w:ind w:left="720" w:hanging="720"/>
      </w:pPr>
      <w:r>
        <w:rPr>
          <w:rFonts w:ascii="Times New Roman" w:hAnsi="Times New Roman"/>
          <w:b w:val="0"/>
          <w:i w:val="0"/>
          <w:sz w:val="20"/>
        </w:rPr>
        <w:t>[9] Greve DN, Salat DH, Bowen SL, et al. Different partial volume correction methods lead to different conclusions: An 18F-FDG-PET study of aging. Neuroimage. 2016;132:334-343. doi:10.1016/j.neuroimage.2016.02.042. PMID: 26924680.</w:t>
      </w:r>
    </w:p>
    <w:p>
      <w:pPr>
        <w:spacing w:after="80"/>
        <w:ind w:left="720" w:hanging="720"/>
      </w:pPr>
      <w:r>
        <w:rPr>
          <w:rFonts w:ascii="Times New Roman" w:hAnsi="Times New Roman"/>
          <w:b w:val="0"/>
          <w:i w:val="0"/>
          <w:sz w:val="20"/>
        </w:rPr>
        <w:t>[10] Nioche C, Orlhac F, Boughdad S, et al. LIFEx: A freeware for radiomic feature calculation in multimodality imaging to accelerate advances in the characterization of tumor heterogeneity. Cancer Res. 2018;78(16):4786-4789. doi:10.1158/0008-5472.CAN-18-0125. PMID: 30012717.</w:t>
      </w:r>
    </w:p>
    <w:p>
      <w:pPr>
        <w:spacing w:after="80"/>
        <w:ind w:left="720" w:hanging="720"/>
      </w:pPr>
      <w:r>
        <w:rPr>
          <w:rFonts w:ascii="Times New Roman" w:hAnsi="Times New Roman"/>
          <w:b w:val="0"/>
          <w:i w:val="0"/>
          <w:sz w:val="20"/>
        </w:rPr>
        <w:t>[11] van Griethuysen JJM, Fedorov A, Parmar C, et al. Computational radiomics system to decode the radiographic phenotype. Cancer Res. 2017;77(21):e104-e107. doi:10.1158/0008-5472.CAN-17-0339. PMID: 29092953.</w:t>
      </w:r>
    </w:p>
    <w:p>
      <w:pPr>
        <w:spacing w:after="80"/>
        <w:ind w:left="720" w:hanging="720"/>
      </w:pPr>
      <w:r>
        <w:rPr>
          <w:rFonts w:ascii="Times New Roman" w:hAnsi="Times New Roman"/>
          <w:b w:val="0"/>
          <w:i w:val="0"/>
          <w:sz w:val="20"/>
        </w:rPr>
        <w:t>[12] Wasserthal J, Breit HC, Meyer MT, et al. TotalSegmentator: Robust segmentation of 104 anatomical structures in CT images. Radiol Artif Intell. 2023;5(5):e230024. doi:10.1148/ryai.230024. PMID: 37795137.</w:t>
      </w:r>
    </w:p>
    <w:p>
      <w:pPr>
        <w:spacing w:after="80"/>
        <w:ind w:left="720" w:hanging="720"/>
      </w:pPr>
      <w:r>
        <w:rPr>
          <w:rFonts w:ascii="Times New Roman" w:hAnsi="Times New Roman"/>
          <w:b w:val="0"/>
          <w:i w:val="0"/>
          <w:sz w:val="20"/>
        </w:rPr>
        <w:t>[13] Groheux D, Espié M, Giacchetti S, Hindié E. Performance of FDG PET/CT in the clinical management of breast cancer. Radiology. 2013;266(2):388-405. doi:10.1148/radiol.12110853. PMID: 23362092.</w:t>
      </w:r>
    </w:p>
    <w:p>
      <w:pPr>
        <w:spacing w:after="80"/>
        <w:ind w:left="720" w:hanging="720"/>
      </w:pPr>
      <w:r>
        <w:rPr>
          <w:rFonts w:ascii="Times New Roman" w:hAnsi="Times New Roman"/>
          <w:b w:val="0"/>
          <w:i w:val="0"/>
          <w:sz w:val="20"/>
        </w:rPr>
        <w:t>[14] Boyd NF, Guo H, Martin LJ, et al. Mammographic density and the risk and detection of breast cancer. N Engl J Med. 2007;356(3):227-236. doi:10.1056/NEJMoa062790. PMID: 17229950.</w:t>
      </w:r>
    </w:p>
    <w:p>
      <w:pPr>
        <w:spacing w:after="80"/>
        <w:ind w:left="720" w:hanging="720"/>
      </w:pPr>
      <w:r>
        <w:rPr>
          <w:rFonts w:ascii="Times New Roman" w:hAnsi="Times New Roman"/>
          <w:b w:val="0"/>
          <w:i w:val="0"/>
          <w:sz w:val="20"/>
        </w:rPr>
        <w:t>[15] Koo HR, Moon WK, Cho N, et al. Background 18F-FDG uptake in axillary lymph nodes of patients with breast cancer. Eur J Radiol. 2012;81(5):950-955. doi:10.1016/j.ejrad.2011.02.033. PMID: 21419580.</w:t>
      </w:r>
    </w:p>
    <w:p>
      <w:pPr>
        <w:spacing w:after="80"/>
        <w:ind w:left="720" w:hanging="720"/>
      </w:pPr>
      <w:r>
        <w:rPr>
          <w:rFonts w:ascii="Times New Roman" w:hAnsi="Times New Roman"/>
          <w:b w:val="0"/>
          <w:i w:val="0"/>
          <w:sz w:val="20"/>
        </w:rPr>
        <w:t>[16] Gillies RJ, Kinahan PE, Hricak H. Radiomics: Images are more than pictures, they are data. Radiology. 2016;278(2):563-577. doi:10.1148/radiol.2015151169. PMID: 26579733.</w:t>
      </w:r>
    </w:p>
    <w:p>
      <w:pPr>
        <w:spacing w:after="80"/>
        <w:ind w:left="720" w:hanging="720"/>
      </w:pPr>
      <w:r>
        <w:rPr>
          <w:rFonts w:ascii="Times New Roman" w:hAnsi="Times New Roman"/>
          <w:b w:val="0"/>
          <w:i w:val="0"/>
          <w:sz w:val="20"/>
        </w:rPr>
        <w:t>[17] Lambin P, Leijenaar RTH, Deist TM, et al. Radiomics: The bridge between medical imaging and personalized medicine. Nat Rev Clin Oncol. 2017;14(12):749-762. doi:10.1038/nrclinonc.2017.141. PMID: 28975929.</w:t>
      </w:r>
    </w:p>
    <w:p>
      <w:pPr>
        <w:spacing w:after="80"/>
        <w:ind w:left="720" w:hanging="720"/>
      </w:pPr>
      <w:r>
        <w:rPr>
          <w:rFonts w:ascii="Times New Roman" w:hAnsi="Times New Roman"/>
          <w:b w:val="0"/>
          <w:i w:val="0"/>
          <w:sz w:val="20"/>
        </w:rPr>
        <w:t>[18] Zwanenburg A, Vallières M, Abdalah MA, et al. The image biomarker standardization initiative. Radiology. 2020;295(2):328-338. doi:10.1148/radiol.2020191145. PMID: 32154773.</w:t>
      </w:r>
    </w:p>
    <w:p>
      <w:pPr>
        <w:spacing w:after="80"/>
        <w:ind w:left="720" w:hanging="720"/>
      </w:pPr>
      <w:r>
        <w:rPr>
          <w:rFonts w:ascii="Times New Roman" w:hAnsi="Times New Roman"/>
          <w:b w:val="0"/>
          <w:i w:val="0"/>
          <w:sz w:val="20"/>
        </w:rPr>
        <w:t>[19] Traverso A, Wee L, Dekker A, Gillies R. Repeatability and reproducibility of radiomic features: A systematic review. Int J Radiat Oncol Biol Phys. 2018;102(4):1143-1158. doi:10.1016/j.ijrobp.2018.05.053. PMID: 30170872.</w:t>
      </w:r>
    </w:p>
    <w:p>
      <w:pPr>
        <w:spacing w:after="80"/>
        <w:ind w:left="720" w:hanging="720"/>
      </w:pPr>
      <w:r>
        <w:rPr>
          <w:rFonts w:ascii="Times New Roman" w:hAnsi="Times New Roman"/>
          <w:b w:val="0"/>
          <w:i w:val="0"/>
          <w:sz w:val="20"/>
        </w:rPr>
        <w:t>[20] Beyer T, Czernin J, Freudenberg LS. Variations in clinical PET/CT operations: Results of an international survey of active PET/CT users. J Nucl Med. 2011;52(2):303-310. doi:10.2967/jnumed.110.079624. PMID: 21233181.</w:t>
      </w:r>
    </w:p>
    <w:p>
      <w:pPr>
        <w:spacing w:after="80"/>
        <w:ind w:left="720" w:hanging="720"/>
      </w:pPr>
      <w:r>
        <w:rPr>
          <w:rFonts w:ascii="Times New Roman" w:hAnsi="Times New Roman"/>
          <w:b w:val="0"/>
          <w:i w:val="0"/>
          <w:sz w:val="20"/>
        </w:rPr>
        <w:t>[21] Tixier F, Le Rest CC, Hatt M, et al. Intratumor heterogeneity characterized by textural features on baseline 18F-FDG PET images predicts response to concomitant radiochemotherapy in esophageal cancer. J Nucl Med. 2011;52(3):369-378. doi:10.2967/jnumed.110.082404. PMID: 21321270.</w:t>
      </w:r>
    </w:p>
    <w:p>
      <w:pPr>
        <w:spacing w:after="80"/>
        <w:ind w:left="720" w:hanging="720"/>
      </w:pPr>
      <w:r>
        <w:rPr>
          <w:rFonts w:ascii="Times New Roman" w:hAnsi="Times New Roman"/>
          <w:b w:val="0"/>
          <w:i w:val="0"/>
          <w:sz w:val="20"/>
        </w:rPr>
        <w:t>[22] Hatt M, Le Rest CC, Tixier F, et al. Intratumoral spatial heterogeneity at perfusion MRI and 18F-FDG PET: relation with surgical pathologic grades of gliomas. Radiology. 2017;282(2):578-589. doi:10.1148/radiol.2016152095. PMID: 27791469.</w:t>
      </w:r>
    </w:p>
    <w:p>
      <w:pPr>
        <w:spacing w:after="80"/>
        <w:ind w:left="720" w:hanging="720"/>
      </w:pPr>
      <w:r>
        <w:rPr>
          <w:rFonts w:ascii="Times New Roman" w:hAnsi="Times New Roman"/>
          <w:b w:val="0"/>
          <w:i w:val="0"/>
          <w:sz w:val="20"/>
        </w:rPr>
        <w:t>[23] Cook GJ, Azad G, Owczarczyk K, Siddique M, Goh V. Challenges and promises of PET radiomics. Int J Radiat Oncol Biol Phys. 2018;102(4):1083-1089. doi:10.1016/j.ijrobp.2017.12.268. PMID: 29413281.</w:t>
      </w:r>
    </w:p>
    <w:p>
      <w:pPr>
        <w:spacing w:after="80"/>
        <w:ind w:left="720" w:hanging="720"/>
      </w:pPr>
      <w:r>
        <w:rPr>
          <w:rFonts w:ascii="Times New Roman" w:hAnsi="Times New Roman"/>
          <w:b w:val="0"/>
          <w:i w:val="0"/>
          <w:sz w:val="20"/>
        </w:rPr>
        <w:t>[24] Buvat I, Orlhac F, Soussan M. Tumor texture analysis in PET: Where do we stand and what should be done? J Nucl Med. 2015;56(11):1642-1644. doi:10.2967/jnumed.115.163469. PMID: 26338891.</w:t>
      </w:r>
    </w:p>
    <w:p>
      <w:pPr>
        <w:spacing w:after="80"/>
        <w:ind w:left="720" w:hanging="720"/>
      </w:pPr>
      <w:r>
        <w:rPr>
          <w:rFonts w:ascii="Times New Roman" w:hAnsi="Times New Roman"/>
          <w:b w:val="0"/>
          <w:i w:val="0"/>
          <w:sz w:val="20"/>
        </w:rPr>
        <w:t>[25] Meignan M, Cottereau AS, Versari A, et al. Baseline total metabolic tumor volume predicts survival independent of response to therapy. J Clin Oncol. 2018;36(12):1259-1261. doi:10.1200/JCO.2017.76.0096. PMID: 29461905.</w:t>
      </w:r>
    </w:p>
    <w:p>
      <w:pPr>
        <w:spacing w:after="80"/>
        <w:ind w:left="720" w:hanging="720"/>
      </w:pPr>
      <w:r>
        <w:rPr>
          <w:rFonts w:ascii="Times New Roman" w:hAnsi="Times New Roman"/>
          <w:b w:val="0"/>
          <w:i w:val="0"/>
          <w:sz w:val="20"/>
        </w:rPr>
        <w:t>[26] Keller BM, Nathan DL, Wang Y, et al. Estimation of breast percent density in raw and processed full field digital mammography images via adaptive fuzzy c-means clustering and support vector machine segmentation. Med Phys. 2012;39(8):4903-4917. doi:10.1118/1.4736530. PMID: 22894409.</w:t>
      </w:r>
    </w:p>
    <w:p>
      <w:pPr>
        <w:spacing w:after="80"/>
        <w:ind w:left="720" w:hanging="720"/>
      </w:pPr>
      <w:r>
        <w:rPr>
          <w:rFonts w:ascii="Times New Roman" w:hAnsi="Times New Roman"/>
          <w:b w:val="0"/>
          <w:i w:val="0"/>
          <w:sz w:val="20"/>
        </w:rPr>
        <w:t>[27] Sickles EA, D'Orsi CJ, Bassett LW, et al. ACR BI-RADS® Mammography. In: ACR BI-RADS® Atlas, Breast Imaging Reporting and Data System. Reston, VA: American College of Radiology; 2013.</w:t>
      </w:r>
    </w:p>
    <w:p>
      <w:pPr>
        <w:spacing w:after="80"/>
        <w:ind w:left="720" w:hanging="720"/>
      </w:pPr>
      <w:r>
        <w:rPr>
          <w:rFonts w:ascii="Times New Roman" w:hAnsi="Times New Roman"/>
          <w:b w:val="0"/>
          <w:i w:val="0"/>
          <w:sz w:val="20"/>
        </w:rPr>
        <w:t>[28] Tahari AK, Chien D, Azadi JR, Wahl RL. Optimum lean body formulation for correction of standardized uptake value in PET imaging. J Nucl Med. 2014;55(9):1481-1484. doi:10.2967/jnumed.113.136986. PMID: 25082853.</w:t>
      </w:r>
    </w:p>
    <w:p>
      <w:pPr>
        <w:spacing w:after="80"/>
        <w:ind w:left="720" w:hanging="720"/>
      </w:pPr>
      <w:r>
        <w:rPr>
          <w:rFonts w:ascii="Times New Roman" w:hAnsi="Times New Roman"/>
          <w:b w:val="0"/>
          <w:i w:val="0"/>
          <w:sz w:val="20"/>
        </w:rPr>
        <w:t>[29] Lee J, Nishikawa RM. Automated mammographic breast density estimation using a fully convolutional network. Med Phys. 2018;45(3):1178-1190. doi:10.1002/mp.12763. PMID: 29265526.</w:t>
      </w:r>
    </w:p>
    <w:p>
      <w:pPr>
        <w:spacing w:after="80"/>
        <w:ind w:left="720" w:hanging="720"/>
      </w:pPr>
      <w:r>
        <w:rPr>
          <w:rFonts w:ascii="Times New Roman" w:hAnsi="Times New Roman"/>
          <w:b w:val="0"/>
          <w:i w:val="0"/>
          <w:sz w:val="20"/>
        </w:rPr>
        <w:t>[30] Gubern-Mérida A, Kallenberg M, Platel B, et al. Volumetric breast density estimation from full-field digital mammograms: a validation study. PLoS One. 2014;9(1):e85952. doi:10.1371/journal.pone.0085952. PMID: 24465812.</w:t>
      </w:r>
    </w:p>
    <w:p>
      <w:pPr>
        <w:spacing w:after="80"/>
        <w:ind w:left="720" w:hanging="720"/>
      </w:pPr>
      <w:r>
        <w:rPr>
          <w:rFonts w:ascii="Times New Roman" w:hAnsi="Times New Roman"/>
          <w:b w:val="0"/>
          <w:i w:val="0"/>
          <w:sz w:val="20"/>
        </w:rPr>
        <w:t>[31] Iima M, Nakamoto Y, Kanao S, et al. Clinical significance of 2-[18F]fluoro-2-deoxy-D-glucose positron emission tomography/computed tomography in the preoperative staging of breast cancer: comparison with conventional procedures. J Clin Oncol. 2010;28(27):4254-4260. doi:10.1200/JCO.2009.22.4659. PMID: 20697082.</w:t>
      </w:r>
    </w:p>
    <w:p>
      <w:pPr>
        <w:spacing w:after="80"/>
        <w:ind w:left="720" w:hanging="720"/>
      </w:pPr>
      <w:r>
        <w:rPr>
          <w:rFonts w:ascii="Times New Roman" w:hAnsi="Times New Roman"/>
          <w:b w:val="0"/>
          <w:i w:val="0"/>
          <w:sz w:val="20"/>
        </w:rPr>
        <w:t>[32] Sugawara Y, Zasadny KR, Neuhoff AW, Wahl RL. Reevaluation of the standardized uptake value for FDG: variations with body weight and methods for correction. Radiology. 1999;213(2):521-525. doi:10.1148/radiology.213.2.r99nv14521. PMID: 10551235.</w:t>
      </w:r>
    </w:p>
    <w:p>
      <w:pPr>
        <w:spacing w:after="80"/>
        <w:ind w:left="720" w:hanging="720"/>
      </w:pPr>
      <w:r>
        <w:rPr>
          <w:rFonts w:ascii="Times New Roman" w:hAnsi="Times New Roman"/>
          <w:b w:val="0"/>
          <w:i w:val="0"/>
          <w:sz w:val="20"/>
        </w:rPr>
        <w:t>[33] Isensee F, Jaeger PF, Kohl SAA, et al. nnU-Net: a self-configuring method for deep learning-based biomedical image segmentation. Nat Methods. 2021;18(2):203-211. doi:10.1038/s41592-020-01008-z. PMID: 33288961.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