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516F" w14:textId="54779A06" w:rsidR="00830FBB" w:rsidRDefault="00830FBB" w:rsidP="00BC2935">
      <w:pPr>
        <w:jc w:val="center"/>
        <w:rPr>
          <w:rFonts w:ascii="Arial" w:hAnsi="Arial" w:cs="Arial"/>
          <w:b/>
          <w:bCs/>
          <w:sz w:val="28"/>
          <w:szCs w:val="28"/>
        </w:rPr>
      </w:pPr>
      <w:r>
        <w:rPr>
          <w:rFonts w:ascii="Arial" w:hAnsi="Arial" w:cs="Arial"/>
          <w:b/>
          <w:bCs/>
          <w:sz w:val="28"/>
          <w:szCs w:val="28"/>
        </w:rPr>
        <w:t>Janne Oman Herrera Pineda</w:t>
      </w:r>
      <w:r>
        <w:rPr>
          <w:rFonts w:ascii="Arial" w:hAnsi="Arial" w:cs="Arial"/>
          <w:b/>
          <w:bCs/>
          <w:sz w:val="28"/>
          <w:szCs w:val="28"/>
        </w:rPr>
        <w:tab/>
        <w:t>18310146</w:t>
      </w:r>
    </w:p>
    <w:p w14:paraId="37DC0510" w14:textId="448B15CE" w:rsidR="00BC2935" w:rsidRPr="00BC2935" w:rsidRDefault="00BC2935" w:rsidP="00BC2935">
      <w:pPr>
        <w:jc w:val="center"/>
        <w:rPr>
          <w:rFonts w:ascii="Arial" w:hAnsi="Arial" w:cs="Arial"/>
          <w:b/>
          <w:bCs/>
          <w:sz w:val="28"/>
          <w:szCs w:val="28"/>
        </w:rPr>
      </w:pPr>
      <w:r w:rsidRPr="00BC2935">
        <w:rPr>
          <w:rFonts w:ascii="Arial" w:hAnsi="Arial" w:cs="Arial"/>
          <w:b/>
          <w:bCs/>
          <w:sz w:val="28"/>
          <w:szCs w:val="28"/>
        </w:rPr>
        <w:t>ESTÁNDARES DE MODELO IEEE 802</w:t>
      </w:r>
    </w:p>
    <w:p w14:paraId="0EBB1573"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sz w:val="28"/>
          <w:szCs w:val="28"/>
        </w:rPr>
        <w:t xml:space="preserve">Este estándar definió estándares de redes para los componentes físicos de una red (la tarjeta de red y el cableado) que se corresponden con los niveles físico y de enlace de datos del modelo OSI. definen la forma en que las tarjetas de red acceden y transfieren datos sobre el medio físico. Éstas incluyen conexión, mantenimiento y desconexión de dispositivos de red. Las especificaciones 802 definen estándares para: </w:t>
      </w:r>
    </w:p>
    <w:p w14:paraId="3A32A010" w14:textId="77777777" w:rsidR="00BC2935" w:rsidRPr="00BC2935" w:rsidRDefault="00BC2935" w:rsidP="00BC2935">
      <w:pPr>
        <w:pStyle w:val="Prrafodelista"/>
        <w:numPr>
          <w:ilvl w:val="0"/>
          <w:numId w:val="1"/>
        </w:numPr>
        <w:rPr>
          <w:rFonts w:asciiTheme="majorHAnsi" w:hAnsiTheme="majorHAnsi" w:cstheme="majorHAnsi"/>
          <w:sz w:val="28"/>
          <w:szCs w:val="28"/>
        </w:rPr>
      </w:pPr>
      <w:r w:rsidRPr="00BC2935">
        <w:rPr>
          <w:rFonts w:asciiTheme="majorHAnsi" w:hAnsiTheme="majorHAnsi" w:cstheme="majorHAnsi"/>
          <w:sz w:val="28"/>
          <w:szCs w:val="28"/>
        </w:rPr>
        <w:t xml:space="preserve">Tarjetas de red (NIC). </w:t>
      </w:r>
    </w:p>
    <w:p w14:paraId="433363FF" w14:textId="77777777" w:rsidR="00BC2935" w:rsidRPr="00BC2935" w:rsidRDefault="00BC2935" w:rsidP="00BC2935">
      <w:pPr>
        <w:pStyle w:val="Prrafodelista"/>
        <w:numPr>
          <w:ilvl w:val="0"/>
          <w:numId w:val="1"/>
        </w:numPr>
        <w:rPr>
          <w:rFonts w:asciiTheme="majorHAnsi" w:hAnsiTheme="majorHAnsi" w:cstheme="majorHAnsi"/>
          <w:sz w:val="28"/>
          <w:szCs w:val="28"/>
        </w:rPr>
      </w:pPr>
      <w:r w:rsidRPr="00BC2935">
        <w:rPr>
          <w:rFonts w:asciiTheme="majorHAnsi" w:hAnsiTheme="majorHAnsi" w:cstheme="majorHAnsi"/>
          <w:sz w:val="28"/>
          <w:szCs w:val="28"/>
        </w:rPr>
        <w:t xml:space="preserve">Componentes de redes de área global (WAN, Wide Area Networks). </w:t>
      </w:r>
    </w:p>
    <w:p w14:paraId="259013D7" w14:textId="77777777" w:rsidR="00BC2935" w:rsidRPr="00BC2935" w:rsidRDefault="00BC2935" w:rsidP="00BC2935">
      <w:pPr>
        <w:pStyle w:val="Prrafodelista"/>
        <w:numPr>
          <w:ilvl w:val="0"/>
          <w:numId w:val="1"/>
        </w:numPr>
        <w:rPr>
          <w:rFonts w:asciiTheme="majorHAnsi" w:hAnsiTheme="majorHAnsi" w:cstheme="majorHAnsi"/>
          <w:sz w:val="28"/>
          <w:szCs w:val="28"/>
        </w:rPr>
      </w:pPr>
      <w:r w:rsidRPr="00BC2935">
        <w:rPr>
          <w:rFonts w:asciiTheme="majorHAnsi" w:hAnsiTheme="majorHAnsi" w:cstheme="majorHAnsi"/>
          <w:sz w:val="28"/>
          <w:szCs w:val="28"/>
        </w:rPr>
        <w:t>Componentes utilizadas para crear redes de cable coaxial y de par trenzado</w:t>
      </w:r>
    </w:p>
    <w:p w14:paraId="2355EFA8"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 xml:space="preserve">802.1: </w:t>
      </w:r>
      <w:r w:rsidRPr="00BC2935">
        <w:rPr>
          <w:rFonts w:asciiTheme="majorHAnsi" w:hAnsiTheme="majorHAnsi" w:cstheme="majorHAnsi"/>
          <w:sz w:val="28"/>
          <w:szCs w:val="28"/>
        </w:rPr>
        <w:t>Establece los estándares de interconexión relacionados con la gestión de redes (Autenticación).</w:t>
      </w:r>
    </w:p>
    <w:p w14:paraId="32D7BDA0" w14:textId="77777777" w:rsidR="00BC2935" w:rsidRPr="00BC2935" w:rsidRDefault="00BC2935" w:rsidP="00BC2935">
      <w:pPr>
        <w:rPr>
          <w:rFonts w:asciiTheme="majorHAnsi" w:hAnsiTheme="majorHAnsi" w:cstheme="majorHAnsi"/>
          <w:b/>
          <w:bCs/>
          <w:sz w:val="28"/>
          <w:szCs w:val="28"/>
        </w:rPr>
      </w:pPr>
      <w:r w:rsidRPr="00BC2935">
        <w:rPr>
          <w:rFonts w:asciiTheme="majorHAnsi" w:hAnsiTheme="majorHAnsi" w:cstheme="majorHAnsi"/>
          <w:b/>
          <w:bCs/>
          <w:sz w:val="28"/>
          <w:szCs w:val="28"/>
        </w:rPr>
        <w:t xml:space="preserve">Estándares: </w:t>
      </w:r>
    </w:p>
    <w:p w14:paraId="19926271" w14:textId="77777777" w:rsidR="00BC2935" w:rsidRPr="00BC2935" w:rsidRDefault="00BC2935" w:rsidP="00BC2935">
      <w:pPr>
        <w:pStyle w:val="Prrafodelista"/>
        <w:rPr>
          <w:rFonts w:asciiTheme="majorHAnsi" w:hAnsiTheme="majorHAnsi" w:cstheme="majorHAnsi"/>
          <w:color w:val="222222"/>
          <w:sz w:val="28"/>
          <w:szCs w:val="28"/>
          <w:shd w:val="clear" w:color="auto" w:fill="FFFFFF"/>
        </w:rPr>
      </w:pPr>
      <w:r w:rsidRPr="00BC2935">
        <w:rPr>
          <w:rFonts w:asciiTheme="majorHAnsi" w:hAnsiTheme="majorHAnsi" w:cstheme="majorHAnsi"/>
          <w:color w:val="222222"/>
          <w:sz w:val="28"/>
          <w:szCs w:val="28"/>
          <w:shd w:val="clear" w:color="auto" w:fill="FFFFFF"/>
        </w:rPr>
        <w:t>-802.1b LAN / MAN Gestión.</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 xml:space="preserve">-802.1D 1998, 2004 MAC Bridges </w:t>
      </w:r>
      <w:proofErr w:type="gramStart"/>
      <w:r w:rsidRPr="00BC2935">
        <w:rPr>
          <w:rFonts w:asciiTheme="majorHAnsi" w:hAnsiTheme="majorHAnsi" w:cstheme="majorHAnsi"/>
          <w:color w:val="222222"/>
          <w:sz w:val="28"/>
          <w:szCs w:val="28"/>
          <w:shd w:val="clear" w:color="auto" w:fill="FFFFFF"/>
        </w:rPr>
        <w:t>Sistema .</w:t>
      </w:r>
      <w:proofErr w:type="gramEnd"/>
    </w:p>
    <w:p w14:paraId="1FD74F30" w14:textId="77777777" w:rsidR="00BC2935" w:rsidRPr="00BC2935" w:rsidRDefault="00BC2935" w:rsidP="00BC2935">
      <w:pPr>
        <w:pStyle w:val="Prrafodelista"/>
        <w:rPr>
          <w:rFonts w:asciiTheme="majorHAnsi" w:hAnsiTheme="majorHAnsi" w:cstheme="majorHAnsi"/>
          <w:color w:val="222222"/>
          <w:sz w:val="28"/>
          <w:szCs w:val="28"/>
        </w:rPr>
      </w:pPr>
      <w:r w:rsidRPr="00BC2935">
        <w:rPr>
          <w:rFonts w:asciiTheme="majorHAnsi" w:hAnsiTheme="majorHAnsi" w:cstheme="majorHAnsi"/>
          <w:color w:val="222222"/>
          <w:sz w:val="28"/>
          <w:szCs w:val="28"/>
          <w:shd w:val="clear" w:color="auto" w:fill="FFFFFF"/>
        </w:rPr>
        <w:t>-802.1e Protocolo de carga.</w:t>
      </w:r>
    </w:p>
    <w:p w14:paraId="22059884" w14:textId="77777777" w:rsidR="00BC2935" w:rsidRPr="00BC2935" w:rsidRDefault="00BC2935" w:rsidP="00BC2935">
      <w:pPr>
        <w:pStyle w:val="Prrafodelista"/>
        <w:rPr>
          <w:rFonts w:asciiTheme="majorHAnsi" w:hAnsiTheme="majorHAnsi" w:cstheme="majorHAnsi"/>
          <w:sz w:val="28"/>
          <w:szCs w:val="28"/>
        </w:rPr>
      </w:pPr>
      <w:r w:rsidRPr="00BC2935">
        <w:rPr>
          <w:rFonts w:asciiTheme="majorHAnsi" w:hAnsiTheme="majorHAnsi" w:cstheme="majorHAnsi"/>
          <w:color w:val="222222"/>
          <w:sz w:val="28"/>
          <w:szCs w:val="28"/>
          <w:shd w:val="clear" w:color="auto" w:fill="FFFFFF"/>
        </w:rPr>
        <w:t>-802.1f 1993 Definiciones y procedimientos comunes para la Información de Gestión</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IEEE 802.</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-802.1g 1998 MAC remota Bridging.</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-802.1h 1997 MAC Ethernet Bridging.</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-802.1p fusionaron en:</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-802.1D-2004 Clase de tráfico y filtrado multicast Agilización dinámico.</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-802.1Q 1998, 2003 LAN virtuales.</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-802.1r retirado GARP propietaria de registro de atributos (Protocolo GPRP).</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-802.1s fusionaron en:</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-802.1Q-2003 Multiple Spanning Trees.</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-802.1v fusionaron en:</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-802.1Q VLAN-2003 Clasificación por protocolo y por puerto.</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lastRenderedPageBreak/>
        <w:t>-802.1w fusionaron en:</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-802.1D-2004 reconfiguración rápida del Spanning Tree.</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-802.1x 2001 Port Network Based Access Control.</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-802.1AB en la estación de trabajo y Media Access Control Conectividad Descubrimiento.</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-802.1ad Provider Bridges en el trabajo Módulo Profesional: Redes de Área Local.</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-802.1ah de trabajo Provider Backbone Bridges.</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-802.1AE MAC Seguridad en el trabajo.</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-802.1af en el trabajo KeySec.</w:t>
      </w:r>
      <w:r w:rsidRPr="00BC2935">
        <w:rPr>
          <w:rFonts w:asciiTheme="majorHAnsi" w:hAnsiTheme="majorHAnsi" w:cstheme="majorHAnsi"/>
          <w:color w:val="222222"/>
          <w:sz w:val="28"/>
          <w:szCs w:val="28"/>
        </w:rPr>
        <w:br/>
      </w:r>
      <w:r w:rsidRPr="00BC2935">
        <w:rPr>
          <w:rFonts w:asciiTheme="majorHAnsi" w:hAnsiTheme="majorHAnsi" w:cstheme="majorHAnsi"/>
          <w:color w:val="222222"/>
          <w:sz w:val="28"/>
          <w:szCs w:val="28"/>
          <w:shd w:val="clear" w:color="auto" w:fill="FFFFFF"/>
        </w:rPr>
        <w:t>-802.1ag en el trabajo de gestión de fallos de conectividad.</w:t>
      </w:r>
    </w:p>
    <w:p w14:paraId="4BB8BCA5"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802.2</w:t>
      </w:r>
      <w:r w:rsidRPr="00BC2935">
        <w:rPr>
          <w:rFonts w:asciiTheme="majorHAnsi" w:hAnsiTheme="majorHAnsi" w:cstheme="majorHAnsi"/>
          <w:sz w:val="28"/>
          <w:szCs w:val="28"/>
        </w:rPr>
        <w:t>: Define el estándar general para el nivel de enlace de datos. El IEEE divide este nivel en dos subniveles: los niveles LLC y MAC. El nivel MAC varía en función de los diferentes tipos de red y está definido por el estándar IEEE 802.3.</w:t>
      </w:r>
    </w:p>
    <w:p w14:paraId="0929E4BB"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802.3:</w:t>
      </w:r>
      <w:r w:rsidRPr="00BC2935">
        <w:rPr>
          <w:rFonts w:asciiTheme="majorHAnsi" w:hAnsiTheme="majorHAnsi" w:cstheme="majorHAnsi"/>
          <w:sz w:val="28"/>
          <w:szCs w:val="28"/>
        </w:rPr>
        <w:t xml:space="preserve"> Define el nivel MAC para redes de bus que utilizan Acceso múltiple por detección de portadora con detección de colisiones (CSMA/CD, Carrier-Sense Multiple Access with Collision Detection). Éste es el estándar Ethernet.</w:t>
      </w:r>
    </w:p>
    <w:p w14:paraId="273884CB"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802.4:</w:t>
      </w:r>
      <w:r w:rsidRPr="00BC2935">
        <w:rPr>
          <w:rFonts w:asciiTheme="majorHAnsi" w:hAnsiTheme="majorHAnsi" w:cstheme="majorHAnsi"/>
          <w:sz w:val="28"/>
          <w:szCs w:val="28"/>
        </w:rPr>
        <w:t xml:space="preserve"> Define el nivel MAC para redes de bus que utilizan un mecanismo de paso de testigo (red de área local Token Bus).</w:t>
      </w:r>
    </w:p>
    <w:p w14:paraId="3E4B35B0"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802.5:</w:t>
      </w:r>
      <w:r w:rsidRPr="00BC2935">
        <w:rPr>
          <w:rFonts w:asciiTheme="majorHAnsi" w:hAnsiTheme="majorHAnsi" w:cstheme="majorHAnsi"/>
          <w:sz w:val="28"/>
          <w:szCs w:val="28"/>
        </w:rPr>
        <w:t xml:space="preserve"> Define el nivel MAC para redes Token Ring (red de área local Token Ring).</w:t>
      </w:r>
    </w:p>
    <w:p w14:paraId="665787E3"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802.6:</w:t>
      </w:r>
      <w:r w:rsidRPr="00BC2935">
        <w:rPr>
          <w:rFonts w:asciiTheme="majorHAnsi" w:hAnsiTheme="majorHAnsi" w:cstheme="majorHAnsi"/>
          <w:sz w:val="28"/>
          <w:szCs w:val="28"/>
        </w:rPr>
        <w:t xml:space="preserve"> Establece estándares para redes de área metropolitana (MAN, Metropolitan Area Networks), que son redes de datos diseñadas para poblaciones o ciudades. En términos de extensión geográfica, las redes de área metropolitana (MAN) son más grandes que las redes de área local (LAN), pero más pequeñas que las redes de área global (WAN). Las redes de área metropolitana (MAN) se caracterizan, normalmente, por conexiones de muy alta velocidad utilizando cables de fibra óptica u otro medio digital.</w:t>
      </w:r>
    </w:p>
    <w:p w14:paraId="4704FF55"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802.7</w:t>
      </w:r>
      <w:r w:rsidRPr="00BC2935">
        <w:rPr>
          <w:rFonts w:asciiTheme="majorHAnsi" w:hAnsiTheme="majorHAnsi" w:cstheme="majorHAnsi"/>
          <w:sz w:val="28"/>
          <w:szCs w:val="28"/>
        </w:rPr>
        <w:t>: Utilizada por el grupo asesor técnico de banda ancha (Broadband Technical Advisory Group).</w:t>
      </w:r>
    </w:p>
    <w:p w14:paraId="25C440FD"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802.8:</w:t>
      </w:r>
      <w:r w:rsidRPr="00BC2935">
        <w:rPr>
          <w:rFonts w:asciiTheme="majorHAnsi" w:hAnsiTheme="majorHAnsi" w:cstheme="majorHAnsi"/>
          <w:sz w:val="28"/>
          <w:szCs w:val="28"/>
        </w:rPr>
        <w:t xml:space="preserve"> Utilizada por el grupo asesor técnico de fibra óptica (Fiber-Optic Technical Advisory Group). </w:t>
      </w:r>
    </w:p>
    <w:p w14:paraId="74FDECF8"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lastRenderedPageBreak/>
        <w:t>802.9:</w:t>
      </w:r>
      <w:r w:rsidRPr="00BC2935">
        <w:rPr>
          <w:rFonts w:asciiTheme="majorHAnsi" w:hAnsiTheme="majorHAnsi" w:cstheme="majorHAnsi"/>
          <w:sz w:val="28"/>
          <w:szCs w:val="28"/>
        </w:rPr>
        <w:t xml:space="preserve"> Define las redes integradas de voz y datos. </w:t>
      </w:r>
    </w:p>
    <w:p w14:paraId="4C78D5BD"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802.10:</w:t>
      </w:r>
      <w:r w:rsidRPr="00BC2935">
        <w:rPr>
          <w:rFonts w:asciiTheme="majorHAnsi" w:hAnsiTheme="majorHAnsi" w:cstheme="majorHAnsi"/>
          <w:sz w:val="28"/>
          <w:szCs w:val="28"/>
        </w:rPr>
        <w:t xml:space="preserve"> Define la seguridad de las redes. </w:t>
      </w:r>
    </w:p>
    <w:p w14:paraId="52AC8003"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802.11:</w:t>
      </w:r>
      <w:r w:rsidRPr="00BC2935">
        <w:rPr>
          <w:rFonts w:asciiTheme="majorHAnsi" w:hAnsiTheme="majorHAnsi" w:cstheme="majorHAnsi"/>
          <w:sz w:val="28"/>
          <w:szCs w:val="28"/>
        </w:rPr>
        <w:t xml:space="preserve"> Define los estándares de redes sin cable. </w:t>
      </w:r>
    </w:p>
    <w:p w14:paraId="3EB7D073"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802.11b:</w:t>
      </w:r>
      <w:r w:rsidRPr="00BC2935">
        <w:rPr>
          <w:rFonts w:asciiTheme="majorHAnsi" w:hAnsiTheme="majorHAnsi" w:cstheme="majorHAnsi"/>
          <w:sz w:val="28"/>
          <w:szCs w:val="28"/>
        </w:rPr>
        <w:t xml:space="preserve"> Ratificado el 16 de </w:t>
      </w:r>
      <w:proofErr w:type="gramStart"/>
      <w:r w:rsidRPr="00BC2935">
        <w:rPr>
          <w:rFonts w:asciiTheme="majorHAnsi" w:hAnsiTheme="majorHAnsi" w:cstheme="majorHAnsi"/>
          <w:sz w:val="28"/>
          <w:szCs w:val="28"/>
        </w:rPr>
        <w:t>Septiembre</w:t>
      </w:r>
      <w:proofErr w:type="gramEnd"/>
      <w:r w:rsidRPr="00BC2935">
        <w:rPr>
          <w:rFonts w:asciiTheme="majorHAnsi" w:hAnsiTheme="majorHAnsi" w:cstheme="majorHAnsi"/>
          <w:sz w:val="28"/>
          <w:szCs w:val="28"/>
        </w:rPr>
        <w:t xml:space="preserve"> de 1999, proporciona el espaldarazo definitivo a la normativa estándar inicial, ya que permite operar a velocidades de 11 Mbps y resuelve carencias técnicas relativas a la falta de itinerancia, seguridad, escalabilidad, y gestión existentes hasta ahora. </w:t>
      </w:r>
    </w:p>
    <w:p w14:paraId="2CC4B20E"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802.12</w:t>
      </w:r>
      <w:r w:rsidRPr="00BC2935">
        <w:rPr>
          <w:rFonts w:asciiTheme="majorHAnsi" w:hAnsiTheme="majorHAnsi" w:cstheme="majorHAnsi"/>
          <w:sz w:val="28"/>
          <w:szCs w:val="28"/>
        </w:rPr>
        <w:t xml:space="preserve">: Define el acceso con prioridad por demanda (Demand Priority Access) a una LAN, 100BaseVG-AnyLAN. </w:t>
      </w:r>
    </w:p>
    <w:p w14:paraId="10EF9A9B"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802.13:</w:t>
      </w:r>
      <w:r w:rsidRPr="00BC2935">
        <w:rPr>
          <w:rFonts w:asciiTheme="majorHAnsi" w:hAnsiTheme="majorHAnsi" w:cstheme="majorHAnsi"/>
          <w:sz w:val="28"/>
          <w:szCs w:val="28"/>
        </w:rPr>
        <w:t xml:space="preserve"> No utilizada. Extensiones de 802.3 para redes que permiten mayor velocidad con similar </w:t>
      </w:r>
      <w:proofErr w:type="gramStart"/>
      <w:r w:rsidRPr="00BC2935">
        <w:rPr>
          <w:rFonts w:asciiTheme="majorHAnsi" w:hAnsiTheme="majorHAnsi" w:cstheme="majorHAnsi"/>
          <w:sz w:val="28"/>
          <w:szCs w:val="28"/>
        </w:rPr>
        <w:t>cableado</w:t>
      </w:r>
      <w:proofErr w:type="gramEnd"/>
      <w:r w:rsidRPr="00BC2935">
        <w:rPr>
          <w:rFonts w:asciiTheme="majorHAnsi" w:hAnsiTheme="majorHAnsi" w:cstheme="majorHAnsi"/>
          <w:sz w:val="28"/>
          <w:szCs w:val="28"/>
        </w:rPr>
        <w:t xml:space="preserve"> aunque con categoría mayor.</w:t>
      </w:r>
    </w:p>
    <w:p w14:paraId="530AE5C7"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802.14:</w:t>
      </w:r>
      <w:r w:rsidRPr="00BC2935">
        <w:rPr>
          <w:rFonts w:asciiTheme="majorHAnsi" w:hAnsiTheme="majorHAnsi" w:cstheme="majorHAnsi"/>
          <w:sz w:val="28"/>
          <w:szCs w:val="28"/>
        </w:rPr>
        <w:t xml:space="preserve"> Define los estándares de módem por cable. </w:t>
      </w:r>
    </w:p>
    <w:p w14:paraId="641DE958"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802.15:</w:t>
      </w:r>
      <w:r w:rsidRPr="00BC2935">
        <w:rPr>
          <w:rFonts w:asciiTheme="majorHAnsi" w:hAnsiTheme="majorHAnsi" w:cstheme="majorHAnsi"/>
          <w:sz w:val="28"/>
          <w:szCs w:val="28"/>
        </w:rPr>
        <w:t xml:space="preserve"> Define las redes de área personal sin cable (WPAN, Wireless Personal Area Networks). </w:t>
      </w:r>
    </w:p>
    <w:p w14:paraId="6A8DBDF1"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802.16:</w:t>
      </w:r>
      <w:r w:rsidRPr="00BC2935">
        <w:rPr>
          <w:rFonts w:asciiTheme="majorHAnsi" w:hAnsiTheme="majorHAnsi" w:cstheme="majorHAnsi"/>
          <w:sz w:val="28"/>
          <w:szCs w:val="28"/>
        </w:rPr>
        <w:t xml:space="preserve"> Define los estándares sin cable de banda ancha.</w:t>
      </w:r>
    </w:p>
    <w:p w14:paraId="5ABCB2BF"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802.17</w:t>
      </w:r>
      <w:r w:rsidRPr="00BC2935">
        <w:rPr>
          <w:rFonts w:asciiTheme="majorHAnsi" w:hAnsiTheme="majorHAnsi" w:cstheme="majorHAnsi"/>
          <w:sz w:val="28"/>
          <w:szCs w:val="28"/>
        </w:rPr>
        <w:t> Anillos de paquetes con recuperación, se supone que esto es aplicable a cualquier tamaño de red, y está bastante orientado a anillos de fibra óptica.</w:t>
      </w:r>
    </w:p>
    <w:p w14:paraId="14222E51"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802.18</w:t>
      </w:r>
      <w:r w:rsidRPr="00BC2935">
        <w:rPr>
          <w:rFonts w:asciiTheme="majorHAnsi" w:hAnsiTheme="majorHAnsi" w:cstheme="majorHAnsi"/>
          <w:sz w:val="28"/>
          <w:szCs w:val="28"/>
        </w:rPr>
        <w:t> Grupo de Asesoría Técnica sobre Normativas de Radio </w:t>
      </w:r>
    </w:p>
    <w:p w14:paraId="7E57A699"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802.19</w:t>
      </w:r>
      <w:r w:rsidRPr="00BC2935">
        <w:rPr>
          <w:rFonts w:asciiTheme="majorHAnsi" w:hAnsiTheme="majorHAnsi" w:cstheme="majorHAnsi"/>
          <w:sz w:val="28"/>
          <w:szCs w:val="28"/>
        </w:rPr>
        <w:t> Grupo de Asesoría Técnica sobre Coexistencia. </w:t>
      </w:r>
    </w:p>
    <w:p w14:paraId="039F3F3C"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802.20</w:t>
      </w:r>
      <w:r w:rsidRPr="00BC2935">
        <w:rPr>
          <w:rFonts w:asciiTheme="majorHAnsi" w:hAnsiTheme="majorHAnsi" w:cstheme="majorHAnsi"/>
          <w:sz w:val="28"/>
          <w:szCs w:val="28"/>
        </w:rPr>
        <w:t> Acceso inalámbrico de Banda ancha móvil, que viene a ser como el 16 pero en movimiento.</w:t>
      </w:r>
    </w:p>
    <w:p w14:paraId="0F4999D2"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802.21</w:t>
      </w:r>
      <w:r w:rsidRPr="00BC2935">
        <w:rPr>
          <w:rFonts w:asciiTheme="majorHAnsi" w:hAnsiTheme="majorHAnsi" w:cstheme="majorHAnsi"/>
          <w:sz w:val="28"/>
          <w:szCs w:val="28"/>
        </w:rPr>
        <w:t> Interoperabilidad independiente del medio</w:t>
      </w:r>
    </w:p>
    <w:p w14:paraId="159EC989" w14:textId="77777777"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b/>
          <w:bCs/>
          <w:sz w:val="28"/>
          <w:szCs w:val="28"/>
        </w:rPr>
        <w:t>802.22</w:t>
      </w:r>
      <w:r w:rsidRPr="00BC2935">
        <w:rPr>
          <w:rFonts w:asciiTheme="majorHAnsi" w:hAnsiTheme="majorHAnsi" w:cstheme="majorHAnsi"/>
          <w:sz w:val="28"/>
          <w:szCs w:val="28"/>
        </w:rPr>
        <w:t> Red inalámbrica de área regional.</w:t>
      </w:r>
    </w:p>
    <w:p w14:paraId="07A641BF" w14:textId="77777777" w:rsidR="00BC2935" w:rsidRPr="00BC2935" w:rsidRDefault="00BC2935" w:rsidP="00BC2935">
      <w:pPr>
        <w:jc w:val="both"/>
        <w:rPr>
          <w:rFonts w:asciiTheme="majorHAnsi" w:hAnsiTheme="majorHAnsi" w:cstheme="majorHAnsi"/>
          <w:sz w:val="28"/>
          <w:szCs w:val="28"/>
        </w:rPr>
      </w:pPr>
    </w:p>
    <w:p w14:paraId="1034FFFA" w14:textId="6BA5AEC0" w:rsidR="00BC2935" w:rsidRPr="00BC2935" w:rsidRDefault="00BC2935" w:rsidP="00BC2935">
      <w:pPr>
        <w:jc w:val="both"/>
        <w:rPr>
          <w:rFonts w:asciiTheme="majorHAnsi" w:hAnsiTheme="majorHAnsi" w:cstheme="majorHAnsi"/>
          <w:sz w:val="28"/>
          <w:szCs w:val="28"/>
        </w:rPr>
      </w:pPr>
      <w:r w:rsidRPr="00BC2935">
        <w:rPr>
          <w:rFonts w:asciiTheme="majorHAnsi" w:hAnsiTheme="majorHAnsi" w:cstheme="majorHAnsi"/>
          <w:sz w:val="28"/>
          <w:szCs w:val="28"/>
        </w:rPr>
        <w:t xml:space="preserve">CONCLUSIÓN: </w:t>
      </w:r>
      <w:r w:rsidR="00830FBB">
        <w:rPr>
          <w:rFonts w:asciiTheme="majorHAnsi" w:hAnsiTheme="majorHAnsi" w:cstheme="majorHAnsi"/>
          <w:sz w:val="28"/>
          <w:szCs w:val="28"/>
        </w:rPr>
        <w:t xml:space="preserve">La IEE 802 es un estándar de comunicación en la cual se maneja las capas de </w:t>
      </w:r>
      <w:proofErr w:type="gramStart"/>
      <w:r w:rsidR="00830FBB">
        <w:rPr>
          <w:rFonts w:asciiTheme="majorHAnsi" w:hAnsiTheme="majorHAnsi" w:cstheme="majorHAnsi"/>
          <w:sz w:val="28"/>
          <w:szCs w:val="28"/>
        </w:rPr>
        <w:t>ISO</w:t>
      </w:r>
      <w:proofErr w:type="gramEnd"/>
      <w:r w:rsidR="00830FBB">
        <w:rPr>
          <w:rFonts w:asciiTheme="majorHAnsi" w:hAnsiTheme="majorHAnsi" w:cstheme="majorHAnsi"/>
          <w:sz w:val="28"/>
          <w:szCs w:val="28"/>
        </w:rPr>
        <w:t xml:space="preserve"> pero de una manera mas desglosada, en la cual se llegaría a la comunicación de redes LAN y MAN, para después ampliarse a WLAN para servicios mas específicos.</w:t>
      </w:r>
    </w:p>
    <w:p w14:paraId="5C4CC727" w14:textId="4E2DFE46" w:rsidR="00BC2935" w:rsidRDefault="00BC2935" w:rsidP="00BC2935">
      <w:pPr>
        <w:jc w:val="both"/>
        <w:rPr>
          <w:rFonts w:asciiTheme="majorHAnsi" w:hAnsiTheme="majorHAnsi" w:cstheme="majorHAnsi"/>
          <w:sz w:val="28"/>
          <w:szCs w:val="28"/>
        </w:rPr>
      </w:pPr>
    </w:p>
    <w:p w14:paraId="5580AD74" w14:textId="77777777" w:rsidR="00830FBB" w:rsidRPr="00BC2935" w:rsidRDefault="00830FBB" w:rsidP="00BC2935">
      <w:pPr>
        <w:jc w:val="both"/>
        <w:rPr>
          <w:rFonts w:asciiTheme="majorHAnsi" w:hAnsiTheme="majorHAnsi" w:cstheme="majorHAnsi"/>
          <w:sz w:val="28"/>
          <w:szCs w:val="28"/>
        </w:rPr>
      </w:pPr>
    </w:p>
    <w:p w14:paraId="0880F8E4" w14:textId="77777777" w:rsidR="00BC2935" w:rsidRPr="00BC2935" w:rsidRDefault="00BC2935" w:rsidP="00BC2935">
      <w:pPr>
        <w:rPr>
          <w:rFonts w:asciiTheme="majorHAnsi" w:hAnsiTheme="majorHAnsi" w:cstheme="majorHAnsi"/>
          <w:sz w:val="28"/>
          <w:szCs w:val="28"/>
        </w:rPr>
      </w:pPr>
      <w:r w:rsidRPr="00BC2935">
        <w:rPr>
          <w:rFonts w:asciiTheme="majorHAnsi" w:hAnsiTheme="majorHAnsi" w:cstheme="majorHAnsi"/>
          <w:b/>
          <w:bCs/>
          <w:sz w:val="28"/>
          <w:szCs w:val="28"/>
        </w:rPr>
        <w:t xml:space="preserve">BIBLIOGRAFÍA: </w:t>
      </w:r>
    </w:p>
    <w:p w14:paraId="56D8EE83" w14:textId="77777777" w:rsidR="00BC2935" w:rsidRPr="00BC2935" w:rsidRDefault="00BC2935" w:rsidP="00BC2935">
      <w:pPr>
        <w:pStyle w:val="NormalWeb"/>
        <w:spacing w:before="0" w:beforeAutospacing="0" w:after="0" w:afterAutospacing="0" w:line="480" w:lineRule="auto"/>
        <w:ind w:left="720" w:hanging="720"/>
        <w:jc w:val="both"/>
        <w:rPr>
          <w:rFonts w:asciiTheme="majorHAnsi" w:hAnsiTheme="majorHAnsi" w:cstheme="majorHAnsi"/>
          <w:sz w:val="28"/>
          <w:szCs w:val="28"/>
        </w:rPr>
      </w:pPr>
      <w:r w:rsidRPr="00BC2935">
        <w:rPr>
          <w:rFonts w:asciiTheme="majorHAnsi" w:hAnsiTheme="majorHAnsi" w:cstheme="majorHAnsi"/>
          <w:sz w:val="28"/>
          <w:szCs w:val="28"/>
        </w:rPr>
        <w:t xml:space="preserve">Sánchez, F. (2018, 18 junio). </w:t>
      </w:r>
      <w:r w:rsidRPr="00BC2935">
        <w:rPr>
          <w:rFonts w:asciiTheme="majorHAnsi" w:hAnsiTheme="majorHAnsi" w:cstheme="majorHAnsi"/>
          <w:i/>
          <w:iCs/>
          <w:sz w:val="28"/>
          <w:szCs w:val="28"/>
        </w:rPr>
        <w:t>ESTÁNDARES Y PUERTOS DE RED IEEE</w:t>
      </w:r>
      <w:r w:rsidRPr="00BC2935">
        <w:rPr>
          <w:rFonts w:asciiTheme="majorHAnsi" w:hAnsiTheme="majorHAnsi" w:cstheme="majorHAnsi"/>
          <w:sz w:val="28"/>
          <w:szCs w:val="28"/>
        </w:rPr>
        <w:t xml:space="preserve">. Telesupsanchez. </w:t>
      </w:r>
      <w:hyperlink r:id="rId5" w:history="1">
        <w:r w:rsidRPr="00BC2935">
          <w:rPr>
            <w:rStyle w:val="Hipervnculo"/>
            <w:rFonts w:asciiTheme="majorHAnsi" w:hAnsiTheme="majorHAnsi" w:cstheme="majorHAnsi"/>
            <w:sz w:val="28"/>
            <w:szCs w:val="28"/>
          </w:rPr>
          <w:t>http://telesupsanchez.blogspot.com/2018/06/estandares-y-puertos-de-red-ieee.html</w:t>
        </w:r>
      </w:hyperlink>
    </w:p>
    <w:p w14:paraId="03A102E3" w14:textId="5B42ED75" w:rsidR="00120BFF" w:rsidRDefault="00BC2935" w:rsidP="00BC2935">
      <w:r w:rsidRPr="00BC2935">
        <w:rPr>
          <w:rFonts w:asciiTheme="majorHAnsi" w:hAnsiTheme="majorHAnsi" w:cstheme="majorHAnsi"/>
          <w:i/>
          <w:iCs/>
          <w:sz w:val="28"/>
          <w:szCs w:val="28"/>
        </w:rPr>
        <w:t>Unidad III: Estándares y protocolos de redes.</w:t>
      </w:r>
      <w:r w:rsidRPr="00BC2935">
        <w:rPr>
          <w:rFonts w:asciiTheme="majorHAnsi" w:hAnsiTheme="majorHAnsi" w:cstheme="majorHAnsi"/>
          <w:sz w:val="28"/>
          <w:szCs w:val="28"/>
        </w:rPr>
        <w:t xml:space="preserve"> (2017, 4 agosto). Red Tecnológica MID. </w:t>
      </w:r>
      <w:hyperlink r:id="rId6" w:history="1">
        <w:r w:rsidRPr="00BC2935">
          <w:rPr>
            <w:rStyle w:val="Hipervnculo"/>
            <w:rFonts w:asciiTheme="majorHAnsi" w:hAnsiTheme="majorHAnsi" w:cstheme="majorHAnsi"/>
            <w:sz w:val="28"/>
            <w:szCs w:val="28"/>
          </w:rPr>
          <w:t>https://sistemamid.com/panel/uploads/biblioteca/2017-08-04_09-37-01141664.pdf</w:t>
        </w:r>
      </w:hyperlink>
    </w:p>
    <w:sectPr w:rsidR="00120B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435A0"/>
    <w:multiLevelType w:val="hybridMultilevel"/>
    <w:tmpl w:val="F2FA1B1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35"/>
    <w:rsid w:val="00120BFF"/>
    <w:rsid w:val="00830FBB"/>
    <w:rsid w:val="00BC29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1A49"/>
  <w15:chartTrackingRefBased/>
  <w15:docId w15:val="{A0D2F9F8-9257-4B57-9887-CFA6ECF1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9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935"/>
    <w:pPr>
      <w:ind w:left="720"/>
      <w:contextualSpacing/>
    </w:pPr>
  </w:style>
  <w:style w:type="paragraph" w:styleId="NormalWeb">
    <w:name w:val="Normal (Web)"/>
    <w:basedOn w:val="Normal"/>
    <w:uiPriority w:val="99"/>
    <w:semiHidden/>
    <w:unhideWhenUsed/>
    <w:rsid w:val="00BC29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C29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stemamid.com/panel/uploads/biblioteca/2017-08-04_09-37-01141664.pdf" TargetMode="External"/><Relationship Id="rId5" Type="http://schemas.openxmlformats.org/officeDocument/2006/relationships/hyperlink" Target="http://telesupsanchez.blogspot.com/2018/06/estandares-y-puertos-de-red-iee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820</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1</cp:revision>
  <dcterms:created xsi:type="dcterms:W3CDTF">2021-09-06T22:40:00Z</dcterms:created>
  <dcterms:modified xsi:type="dcterms:W3CDTF">2021-09-06T23:03:00Z</dcterms:modified>
</cp:coreProperties>
</file>