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Consumer Credit and Bank Funding of Indian NBFCs, FY2021–FY2026”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Pr>
    </w:p>
    <w:p>
      <w:pPr>
        <w:pStyle w:val="Heading1"/>
        <w:spacing w:before="240" w:after="120"/>
        <w:jc w:val="center"/>
        <w:rPr/>
      </w:pPr>
      <w:bookmarkStart w:id="0" w:name="__RefHeading___Toc3939_1073874868"/>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Consumer Credit and Bank Funding of Indian NBFCs, FY2021–FY2026”,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3941_1073874868"/>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Consumer Credit and Bank Funding of Indian NBFCs, FY2021–FY2026”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b/>
          <w:bCs/>
        </w:rPr>
        <w:t xml:space="preserve">Use of AI tools. </w:t>
      </w:r>
      <w:r>
        <w:rPr/>
        <w:t>Artificial intelligence (AI) tools were used for data scraping, that is, extracting figures from the companies' quarterly investor presentations, and for the Python-based data analysis. Every extracted value is recorded with the document and page it came from, so that it can be checked against the original source.</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3943_1073874868"/>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3945_1073874868"/>
      <w:bookmarkEnd w:id="3"/>
      <w:r>
        <w:rPr/>
        <w:t>ABSTRACT</w:t>
      </w:r>
    </w:p>
    <w:p>
      <w:pPr>
        <w:pStyle w:val="Normal"/>
        <w:spacing w:lineRule="exact" w:line="360" w:before="0" w:after="120"/>
        <w:jc w:val="both"/>
        <w:rPr/>
      </w:pPr>
      <w:r>
        <w:rPr/>
        <w:t>On 16 November 2023 the Reserve Bank of India (RBI) raised capital requirements on two channels of credit at once: the risk weight on unsecured consumer credit (personal loans and credit cards) and the risk weight on banks' lending to non-banking financial companies (NBFCs), with housing finance companies (HFCs) exempt. This dissertation asks whether these targeted increases in capital requirements reduced the supply of credit through each channel, and how listed NBFCs adjusted. Using monthly RBI data on the sectoral deployment of bank credit (January 2019 to July 2026), I compare credit categories hit by the higher risk weights with exempt categories before and after the policy. Growth of bank credit to the targeted consumer categories fell by 0.66 percentage points per month relative to exempt household credit (about 7.9 percentage points a year; p = 0.002), and bank credit to NBFCs (excluding HFCs) slowed by 1.00 percentage points per month relative to banks' total non-food credit (about 11.9 percentage points a year; p = 0.049). Placebo tests using a fictitious November 2022 policy date show no effect. The bank-funding result is robust to controlling for seasonality and to alternative inference methods; the consumer-credit result is consistent in direction and size but its significance depends on correcting for serial correlation in the monthly data (p between about 0.06 and 0.18 under some alternative methods). To trace how NBFCs adjusted, I hand-collected quarterly data from 382 investor presentations of 16 listed NBFCs and HFCs. Two lenders disclose that the rule cut their capital ratios by roughly 3 to 4 percentage points, and one reports raising lending rates. Firm-level tests show bank-dependent NBFCs facing somewhat higher funding costs and non-HFC NBFCs drifting away from bank borrowing relative to exempt HFCs, but these differences are not statistically significant in a sample of 16 firms. The evidence indicates that the RBI's risk-weight measures worked mainly through the banking system: banks cut back targeted consumer credit and lending to NBFCs, while listed NBFCs absorbed the shock through capital, pricing and gradual funding substitution rather than by shrinking their own lending.</w:t>
      </w:r>
    </w:p>
    <w:p>
      <w:pPr>
        <w:pStyle w:val="Normal"/>
        <w:spacing w:lineRule="exact" w:line="360" w:before="0" w:after="120"/>
        <w:jc w:val="both"/>
        <w:rPr/>
      </w:pPr>
      <w:r>
        <w:rPr>
          <w:b/>
          <w:bCs/>
        </w:rPr>
        <w:t xml:space="preserve">Keywords: </w:t>
      </w:r>
      <w:r>
        <w:rPr/>
        <w:t>risk weights, capital requirements, credit supply, NBFCs, consumer credit, macroprudential policy, difference-in-differences,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3939_1073874868">
            <w:r>
              <w:rPr>
                <w:rStyle w:val="IndexLink"/>
              </w:rPr>
              <w:t>CERTIFICATE</w:t>
              <w:tab/>
              <w:t>ii</w:t>
            </w:r>
          </w:hyperlink>
        </w:p>
        <w:p>
          <w:pPr>
            <w:pStyle w:val="TOC1"/>
            <w:tabs>
              <w:tab w:val="clear" w:pos="11280"/>
              <w:tab w:val="right" w:pos="9359" w:leader="dot"/>
            </w:tabs>
            <w:rPr/>
          </w:pPr>
          <w:hyperlink w:anchor="__RefHeading___Toc3941_1073874868">
            <w:r>
              <w:rPr>
                <w:rStyle w:val="IndexLink"/>
              </w:rPr>
              <w:t>DECLARATION</w:t>
              <w:tab/>
              <w:t>iii</w:t>
            </w:r>
          </w:hyperlink>
        </w:p>
        <w:p>
          <w:pPr>
            <w:pStyle w:val="TOC1"/>
            <w:tabs>
              <w:tab w:val="clear" w:pos="11280"/>
              <w:tab w:val="right" w:pos="9359" w:leader="dot"/>
            </w:tabs>
            <w:rPr/>
          </w:pPr>
          <w:hyperlink w:anchor="__RefHeading___Toc3943_1073874868">
            <w:r>
              <w:rPr>
                <w:rStyle w:val="IndexLink"/>
              </w:rPr>
              <w:t>ACKNOWLEDGEMENT</w:t>
              <w:tab/>
              <w:t>iv</w:t>
            </w:r>
          </w:hyperlink>
        </w:p>
        <w:p>
          <w:pPr>
            <w:pStyle w:val="TOC1"/>
            <w:tabs>
              <w:tab w:val="clear" w:pos="11280"/>
              <w:tab w:val="right" w:pos="9359" w:leader="dot"/>
            </w:tabs>
            <w:rPr/>
          </w:pPr>
          <w:hyperlink w:anchor="__RefHeading___Toc3945_1073874868">
            <w:r>
              <w:rPr>
                <w:rStyle w:val="IndexLink"/>
              </w:rPr>
              <w:t>ABSTRACT</w:t>
              <w:tab/>
              <w:t>v</w:t>
            </w:r>
          </w:hyperlink>
        </w:p>
        <w:p>
          <w:pPr>
            <w:pStyle w:val="TOC1"/>
            <w:tabs>
              <w:tab w:val="clear" w:pos="11280"/>
              <w:tab w:val="right" w:pos="9359" w:leader="dot"/>
            </w:tabs>
            <w:rPr/>
          </w:pPr>
          <w:hyperlink w:anchor="__RefHeading___Toc3947_1073874868">
            <w:r>
              <w:rPr>
                <w:rStyle w:val="IndexLink"/>
              </w:rPr>
              <w:t>EXECUTIVE SUMMARY</w:t>
              <w:tab/>
              <w:t>1</w:t>
            </w:r>
          </w:hyperlink>
        </w:p>
        <w:p>
          <w:pPr>
            <w:pStyle w:val="TOC1"/>
            <w:tabs>
              <w:tab w:val="clear" w:pos="11280"/>
              <w:tab w:val="right" w:pos="9359" w:leader="dot"/>
            </w:tabs>
            <w:rPr/>
          </w:pPr>
          <w:hyperlink w:anchor="__RefHeading___Toc3949_1073874868">
            <w:r>
              <w:rPr>
                <w:rStyle w:val="IndexLink"/>
              </w:rPr>
              <w:t>RATIONALE OF THE STUDY</w:t>
              <w:tab/>
              <w:t>3</w:t>
            </w:r>
          </w:hyperlink>
        </w:p>
        <w:p>
          <w:pPr>
            <w:pStyle w:val="TOC1"/>
            <w:tabs>
              <w:tab w:val="clear" w:pos="11280"/>
              <w:tab w:val="right" w:pos="9359" w:leader="dot"/>
            </w:tabs>
            <w:rPr/>
          </w:pPr>
          <w:hyperlink w:anchor="__RefHeading___Toc3951_1073874868">
            <w:r>
              <w:rPr>
                <w:rStyle w:val="IndexLink"/>
              </w:rPr>
              <w:t>1. INTRODUCTION</w:t>
              <w:tab/>
              <w:t>4</w:t>
            </w:r>
          </w:hyperlink>
        </w:p>
        <w:p>
          <w:pPr>
            <w:pStyle w:val="TOC2"/>
            <w:tabs>
              <w:tab w:val="clear" w:pos="10997"/>
              <w:tab w:val="right" w:pos="9359" w:leader="dot"/>
            </w:tabs>
            <w:rPr/>
          </w:pPr>
          <w:hyperlink w:anchor="__RefHeading___Toc3953_1073874868">
            <w:r>
              <w:rPr>
                <w:rStyle w:val="IndexLink"/>
              </w:rPr>
              <w:t>1.1 Background and motivation</w:t>
              <w:tab/>
              <w:t>4</w:t>
            </w:r>
          </w:hyperlink>
        </w:p>
        <w:p>
          <w:pPr>
            <w:pStyle w:val="TOC2"/>
            <w:tabs>
              <w:tab w:val="clear" w:pos="10997"/>
              <w:tab w:val="right" w:pos="9359" w:leader="dot"/>
            </w:tabs>
            <w:rPr/>
          </w:pPr>
          <w:hyperlink w:anchor="__RefHeading___Toc3955_1073874868">
            <w:r>
              <w:rPr>
                <w:rStyle w:val="IndexLink"/>
              </w:rPr>
              <w:t>1.2 Research problem</w:t>
              <w:tab/>
              <w:t>4</w:t>
            </w:r>
          </w:hyperlink>
        </w:p>
        <w:p>
          <w:pPr>
            <w:pStyle w:val="TOC2"/>
            <w:tabs>
              <w:tab w:val="clear" w:pos="10997"/>
              <w:tab w:val="right" w:pos="9359" w:leader="dot"/>
            </w:tabs>
            <w:rPr/>
          </w:pPr>
          <w:hyperlink w:anchor="__RefHeading___Toc3957_1073874868">
            <w:r>
              <w:rPr>
                <w:rStyle w:val="IndexLink"/>
              </w:rPr>
              <w:t>1.3 Objectives and hypotheses</w:t>
              <w:tab/>
              <w:t>4</w:t>
            </w:r>
          </w:hyperlink>
        </w:p>
        <w:p>
          <w:pPr>
            <w:pStyle w:val="TOC2"/>
            <w:tabs>
              <w:tab w:val="clear" w:pos="10997"/>
              <w:tab w:val="right" w:pos="9359" w:leader="dot"/>
            </w:tabs>
            <w:rPr/>
          </w:pPr>
          <w:hyperlink w:anchor="__RefHeading___Toc3959_1073874868">
            <w:r>
              <w:rPr>
                <w:rStyle w:val="IndexLink"/>
              </w:rPr>
              <w:t>1.4 Contribution</w:t>
              <w:tab/>
              <w:t>5</w:t>
            </w:r>
          </w:hyperlink>
        </w:p>
        <w:p>
          <w:pPr>
            <w:pStyle w:val="TOC2"/>
            <w:tabs>
              <w:tab w:val="clear" w:pos="10997"/>
              <w:tab w:val="right" w:pos="9359" w:leader="dot"/>
            </w:tabs>
            <w:rPr/>
          </w:pPr>
          <w:hyperlink w:anchor="__RefHeading___Toc3961_1073874868">
            <w:r>
              <w:rPr>
                <w:rStyle w:val="IndexLink"/>
              </w:rPr>
              <w:t>1.5 Structure</w:t>
              <w:tab/>
              <w:t>5</w:t>
            </w:r>
          </w:hyperlink>
        </w:p>
        <w:p>
          <w:pPr>
            <w:pStyle w:val="TOC1"/>
            <w:tabs>
              <w:tab w:val="clear" w:pos="11280"/>
              <w:tab w:val="right" w:pos="9359" w:leader="dot"/>
            </w:tabs>
            <w:rPr/>
          </w:pPr>
          <w:hyperlink w:anchor="__RefHeading___Toc3963_1073874868">
            <w:r>
              <w:rPr>
                <w:rStyle w:val="IndexLink"/>
              </w:rPr>
              <w:t>2. REGULATORY BACKGROUND</w:t>
              <w:tab/>
              <w:t>6</w:t>
            </w:r>
          </w:hyperlink>
        </w:p>
        <w:p>
          <w:pPr>
            <w:pStyle w:val="TOC2"/>
            <w:tabs>
              <w:tab w:val="clear" w:pos="10997"/>
              <w:tab w:val="right" w:pos="9359" w:leader="dot"/>
            </w:tabs>
            <w:rPr/>
          </w:pPr>
          <w:hyperlink w:anchor="__RefHeading___Toc3965_1073874868">
            <w:r>
              <w:rPr>
                <w:rStyle w:val="IndexLink"/>
              </w:rPr>
              <w:t>2.1 Risk weights and capital requirements</w:t>
              <w:tab/>
              <w:t>6</w:t>
            </w:r>
          </w:hyperlink>
        </w:p>
        <w:p>
          <w:pPr>
            <w:pStyle w:val="TOC2"/>
            <w:tabs>
              <w:tab w:val="clear" w:pos="10997"/>
              <w:tab w:val="right" w:pos="9359" w:leader="dot"/>
            </w:tabs>
            <w:rPr/>
          </w:pPr>
          <w:hyperlink w:anchor="__RefHeading___Toc3967_1073874868">
            <w:r>
              <w:rPr>
                <w:rStyle w:val="IndexLink"/>
              </w:rPr>
              <w:t>2.2 The November 2023 circular</w:t>
              <w:tab/>
              <w:t>6</w:t>
            </w:r>
          </w:hyperlink>
        </w:p>
        <w:p>
          <w:pPr>
            <w:pStyle w:val="TOC2"/>
            <w:tabs>
              <w:tab w:val="clear" w:pos="10997"/>
              <w:tab w:val="right" w:pos="9359" w:leader="dot"/>
            </w:tabs>
            <w:rPr/>
          </w:pPr>
          <w:hyperlink w:anchor="__RefHeading___Toc3969_1073874868">
            <w:r>
              <w:rPr>
                <w:rStyle w:val="IndexLink"/>
              </w:rPr>
              <w:t>2.3 Macroeconomic setting</w:t>
              <w:tab/>
              <w:t>6</w:t>
            </w:r>
          </w:hyperlink>
        </w:p>
        <w:p>
          <w:pPr>
            <w:pStyle w:val="TOC2"/>
            <w:tabs>
              <w:tab w:val="clear" w:pos="10997"/>
              <w:tab w:val="right" w:pos="9359" w:leader="dot"/>
            </w:tabs>
            <w:rPr/>
          </w:pPr>
          <w:hyperlink w:anchor="__RefHeading___Toc3971_1073874868">
            <w:r>
              <w:rPr>
                <w:rStyle w:val="IndexLink"/>
              </w:rPr>
              <w:t>2.4 The NBFC sector before the policy</w:t>
              <w:tab/>
              <w:t>7</w:t>
            </w:r>
          </w:hyperlink>
        </w:p>
        <w:p>
          <w:pPr>
            <w:pStyle w:val="TOC1"/>
            <w:tabs>
              <w:tab w:val="clear" w:pos="11280"/>
              <w:tab w:val="right" w:pos="9359" w:leader="dot"/>
            </w:tabs>
            <w:rPr/>
          </w:pPr>
          <w:hyperlink w:anchor="__RefHeading___Toc3973_1073874868">
            <w:r>
              <w:rPr>
                <w:rStyle w:val="IndexLink"/>
              </w:rPr>
              <w:t>3. LITERATURE REVIEW</w:t>
              <w:tab/>
              <w:t>8</w:t>
            </w:r>
          </w:hyperlink>
        </w:p>
        <w:p>
          <w:pPr>
            <w:pStyle w:val="TOC2"/>
            <w:tabs>
              <w:tab w:val="clear" w:pos="10997"/>
              <w:tab w:val="right" w:pos="9359" w:leader="dot"/>
            </w:tabs>
            <w:rPr/>
          </w:pPr>
          <w:hyperlink w:anchor="__RefHeading___Toc3975_1073874868">
            <w:r>
              <w:rPr>
                <w:rStyle w:val="IndexLink"/>
              </w:rPr>
              <w:t>3.1 Capital requirements and credit supply</w:t>
              <w:tab/>
              <w:t>8</w:t>
            </w:r>
          </w:hyperlink>
        </w:p>
        <w:p>
          <w:pPr>
            <w:pStyle w:val="TOC2"/>
            <w:tabs>
              <w:tab w:val="clear" w:pos="10997"/>
              <w:tab w:val="right" w:pos="9359" w:leader="dot"/>
            </w:tabs>
            <w:rPr/>
          </w:pPr>
          <w:hyperlink w:anchor="__RefHeading___Toc3977_1073874868">
            <w:r>
              <w:rPr>
                <w:rStyle w:val="IndexLink"/>
              </w:rPr>
              <w:t>3.2 Bank funding and shadow banks</w:t>
              <w:tab/>
              <w:t>8</w:t>
            </w:r>
          </w:hyperlink>
        </w:p>
        <w:p>
          <w:pPr>
            <w:pStyle w:val="TOC2"/>
            <w:tabs>
              <w:tab w:val="clear" w:pos="10997"/>
              <w:tab w:val="right" w:pos="9359" w:leader="dot"/>
            </w:tabs>
            <w:rPr/>
          </w:pPr>
          <w:hyperlink w:anchor="__RefHeading___Toc3979_1073874868">
            <w:r>
              <w:rPr>
                <w:rStyle w:val="IndexLink"/>
              </w:rPr>
              <w:t>3.3 Macroprudential policy and targeted risk weights</w:t>
              <w:tab/>
              <w:t>8</w:t>
            </w:r>
          </w:hyperlink>
        </w:p>
        <w:p>
          <w:pPr>
            <w:pStyle w:val="TOC2"/>
            <w:tabs>
              <w:tab w:val="clear" w:pos="10997"/>
              <w:tab w:val="right" w:pos="9359" w:leader="dot"/>
            </w:tabs>
            <w:rPr/>
          </w:pPr>
          <w:hyperlink w:anchor="__RefHeading___Toc3981_1073874868">
            <w:r>
              <w:rPr>
                <w:rStyle w:val="IndexLink"/>
              </w:rPr>
              <w:t>3.4 Methodological literature</w:t>
              <w:tab/>
              <w:t>9</w:t>
            </w:r>
          </w:hyperlink>
        </w:p>
        <w:p>
          <w:pPr>
            <w:pStyle w:val="TOC2"/>
            <w:tabs>
              <w:tab w:val="clear" w:pos="10997"/>
              <w:tab w:val="right" w:pos="9359" w:leader="dot"/>
            </w:tabs>
            <w:rPr/>
          </w:pPr>
          <w:hyperlink w:anchor="__RefHeading___Toc3983_1073874868">
            <w:r>
              <w:rPr>
                <w:rStyle w:val="IndexLink"/>
              </w:rPr>
              <w:t>3.5 Research gap</w:t>
              <w:tab/>
              <w:t>9</w:t>
            </w:r>
          </w:hyperlink>
        </w:p>
        <w:p>
          <w:pPr>
            <w:pStyle w:val="TOC1"/>
            <w:tabs>
              <w:tab w:val="clear" w:pos="11280"/>
              <w:tab w:val="right" w:pos="9359" w:leader="dot"/>
            </w:tabs>
            <w:rPr/>
          </w:pPr>
          <w:hyperlink w:anchor="__RefHeading___Toc3985_1073874868">
            <w:r>
              <w:rPr>
                <w:rStyle w:val="IndexLink"/>
              </w:rPr>
              <w:t>4. DATA</w:t>
              <w:tab/>
              <w:t>10</w:t>
            </w:r>
          </w:hyperlink>
        </w:p>
        <w:p>
          <w:pPr>
            <w:pStyle w:val="TOC2"/>
            <w:tabs>
              <w:tab w:val="clear" w:pos="10997"/>
              <w:tab w:val="right" w:pos="9359" w:leader="dot"/>
            </w:tabs>
            <w:rPr/>
          </w:pPr>
          <w:hyperlink w:anchor="__RefHeading___Toc3987_1073874868">
            <w:r>
              <w:rPr>
                <w:rStyle w:val="IndexLink"/>
              </w:rPr>
              <w:t>4.1 Aggregate data: RBI sectoral deployment of bank credit</w:t>
              <w:tab/>
              <w:t>10</w:t>
            </w:r>
          </w:hyperlink>
        </w:p>
        <w:p>
          <w:pPr>
            <w:pStyle w:val="TOC2"/>
            <w:tabs>
              <w:tab w:val="clear" w:pos="10997"/>
              <w:tab w:val="right" w:pos="9359" w:leader="dot"/>
            </w:tabs>
            <w:rPr/>
          </w:pPr>
          <w:hyperlink w:anchor="__RefHeading___Toc3989_1073874868">
            <w:r>
              <w:rPr>
                <w:rStyle w:val="IndexLink"/>
              </w:rPr>
              <w:t>4.2 Firm-level data: hand-collected from investor presentations</w:t>
              <w:tab/>
              <w:t>11</w:t>
            </w:r>
          </w:hyperlink>
        </w:p>
        <w:p>
          <w:pPr>
            <w:pStyle w:val="TOC2"/>
            <w:tabs>
              <w:tab w:val="clear" w:pos="10997"/>
              <w:tab w:val="right" w:pos="9359" w:leader="dot"/>
            </w:tabs>
            <w:rPr/>
          </w:pPr>
          <w:hyperlink w:anchor="__RefHeading___Toc3991_1073874868">
            <w:r>
              <w:rPr>
                <w:rStyle w:val="IndexLink"/>
              </w:rPr>
              <w:t>4.3 Data verification</w:t>
              <w:tab/>
              <w:t>11</w:t>
            </w:r>
          </w:hyperlink>
        </w:p>
        <w:p>
          <w:pPr>
            <w:pStyle w:val="TOC2"/>
            <w:tabs>
              <w:tab w:val="clear" w:pos="10997"/>
              <w:tab w:val="right" w:pos="9359" w:leader="dot"/>
            </w:tabs>
            <w:rPr/>
          </w:pPr>
          <w:hyperlink w:anchor="__RefHeading___Toc3993_1073874868">
            <w:r>
              <w:rPr>
                <w:rStyle w:val="IndexLink"/>
              </w:rPr>
              <w:t>4.4 Descriptive statistics and correlations of the RBI series</w:t>
              <w:tab/>
              <w:t>13</w:t>
            </w:r>
          </w:hyperlink>
        </w:p>
        <w:p>
          <w:pPr>
            <w:pStyle w:val="TOC1"/>
            <w:tabs>
              <w:tab w:val="clear" w:pos="11280"/>
              <w:tab w:val="right" w:pos="9359" w:leader="dot"/>
            </w:tabs>
            <w:rPr/>
          </w:pPr>
          <w:hyperlink w:anchor="__RefHeading___Toc3995_1073874868">
            <w:r>
              <w:rPr>
                <w:rStyle w:val="IndexLink"/>
              </w:rPr>
              <w:t>5. ECONOMETRIC METHODOLOGY</w:t>
              <w:tab/>
              <w:t>15</w:t>
            </w:r>
          </w:hyperlink>
        </w:p>
        <w:p>
          <w:pPr>
            <w:pStyle w:val="TOC2"/>
            <w:tabs>
              <w:tab w:val="clear" w:pos="10997"/>
              <w:tab w:val="right" w:pos="9359" w:leader="dot"/>
            </w:tabs>
            <w:rPr/>
          </w:pPr>
          <w:hyperlink w:anchor="__RefHeading___Toc3997_1073874868">
            <w:r>
              <w:rPr>
                <w:rStyle w:val="IndexLink"/>
              </w:rPr>
              <w:t>5.1 Research design</w:t>
              <w:tab/>
              <w:t>15</w:t>
            </w:r>
          </w:hyperlink>
        </w:p>
        <w:p>
          <w:pPr>
            <w:pStyle w:val="TOC2"/>
            <w:tabs>
              <w:tab w:val="clear" w:pos="10997"/>
              <w:tab w:val="right" w:pos="9359" w:leader="dot"/>
            </w:tabs>
            <w:rPr/>
          </w:pPr>
          <w:hyperlink w:anchor="__RefHeading___Toc3999_1073874868">
            <w:r>
              <w:rPr>
                <w:rStyle w:val="IndexLink"/>
              </w:rPr>
              <w:t>5.2 Aggregate tests</w:t>
              <w:tab/>
              <w:t>15</w:t>
            </w:r>
          </w:hyperlink>
        </w:p>
        <w:p>
          <w:pPr>
            <w:pStyle w:val="TOC2"/>
            <w:tabs>
              <w:tab w:val="clear" w:pos="10997"/>
              <w:tab w:val="right" w:pos="9359" w:leader="dot"/>
            </w:tabs>
            <w:rPr/>
          </w:pPr>
          <w:hyperlink w:anchor="__RefHeading___Toc4001_1073874868">
            <w:r>
              <w:rPr>
                <w:rStyle w:val="IndexLink"/>
              </w:rPr>
              <w:t>5.3 Hypothesis definitions</w:t>
              <w:tab/>
              <w:t>16</w:t>
            </w:r>
          </w:hyperlink>
        </w:p>
        <w:p>
          <w:pPr>
            <w:pStyle w:val="TOC2"/>
            <w:tabs>
              <w:tab w:val="clear" w:pos="10997"/>
              <w:tab w:val="right" w:pos="9359" w:leader="dot"/>
            </w:tabs>
            <w:rPr/>
          </w:pPr>
          <w:hyperlink w:anchor="__RefHeading___Toc4003_1073874868">
            <w:r>
              <w:rPr>
                <w:rStyle w:val="IndexLink"/>
              </w:rPr>
              <w:t>5.4 Identifying assumptions and threats</w:t>
              <w:tab/>
              <w:t>16</w:t>
            </w:r>
          </w:hyperlink>
        </w:p>
        <w:p>
          <w:pPr>
            <w:pStyle w:val="TOC2"/>
            <w:tabs>
              <w:tab w:val="clear" w:pos="10997"/>
              <w:tab w:val="right" w:pos="9359" w:leader="dot"/>
            </w:tabs>
            <w:rPr/>
          </w:pPr>
          <w:hyperlink w:anchor="__RefHeading___Toc4005_1073874868">
            <w:r>
              <w:rPr>
                <w:rStyle w:val="IndexLink"/>
              </w:rPr>
              <w:t>5.5 Firm-level tests</w:t>
              <w:tab/>
              <w:t>16</w:t>
            </w:r>
          </w:hyperlink>
        </w:p>
        <w:p>
          <w:pPr>
            <w:pStyle w:val="TOC1"/>
            <w:tabs>
              <w:tab w:val="clear" w:pos="11280"/>
              <w:tab w:val="right" w:pos="9359" w:leader="dot"/>
            </w:tabs>
            <w:rPr/>
          </w:pPr>
          <w:hyperlink w:anchor="__RefHeading___Toc4007_1073874868">
            <w:r>
              <w:rPr>
                <w:rStyle w:val="IndexLink"/>
              </w:rPr>
              <w:t>6. THEORETICAL FRAMEWORK</w:t>
              <w:tab/>
              <w:t>17</w:t>
            </w:r>
          </w:hyperlink>
        </w:p>
        <w:p>
          <w:pPr>
            <w:pStyle w:val="TOC2"/>
            <w:tabs>
              <w:tab w:val="clear" w:pos="10997"/>
              <w:tab w:val="right" w:pos="9359" w:leader="dot"/>
            </w:tabs>
            <w:rPr/>
          </w:pPr>
          <w:hyperlink w:anchor="__RefHeading___Toc4009_1073874868">
            <w:r>
              <w:rPr>
                <w:rStyle w:val="IndexLink"/>
              </w:rPr>
              <w:t>6.1 Conceptual framework</w:t>
              <w:tab/>
              <w:t>17</w:t>
            </w:r>
          </w:hyperlink>
        </w:p>
        <w:p>
          <w:pPr>
            <w:pStyle w:val="TOC2"/>
            <w:tabs>
              <w:tab w:val="clear" w:pos="10997"/>
              <w:tab w:val="right" w:pos="9359" w:leader="dot"/>
            </w:tabs>
            <w:rPr/>
          </w:pPr>
          <w:hyperlink w:anchor="__RefHeading___Toc4011_1073874868">
            <w:r>
              <w:rPr>
                <w:rStyle w:val="IndexLink"/>
              </w:rPr>
              <w:t>6.2 Variables</w:t>
              <w:tab/>
              <w:t>17</w:t>
            </w:r>
          </w:hyperlink>
        </w:p>
        <w:p>
          <w:pPr>
            <w:pStyle w:val="TOC2"/>
            <w:tabs>
              <w:tab w:val="clear" w:pos="10997"/>
              <w:tab w:val="right" w:pos="9359" w:leader="dot"/>
            </w:tabs>
            <w:rPr/>
          </w:pPr>
          <w:hyperlink w:anchor="__RefHeading___Toc4013_1073874868">
            <w:r>
              <w:rPr>
                <w:rStyle w:val="IndexLink"/>
              </w:rPr>
              <w:t>6.3 Model 1: consumer-credit channel (H1)</w:t>
              <w:tab/>
              <w:t>18</w:t>
            </w:r>
          </w:hyperlink>
        </w:p>
        <w:p>
          <w:pPr>
            <w:pStyle w:val="TOC2"/>
            <w:tabs>
              <w:tab w:val="clear" w:pos="10997"/>
              <w:tab w:val="right" w:pos="9359" w:leader="dot"/>
            </w:tabs>
            <w:rPr/>
          </w:pPr>
          <w:hyperlink w:anchor="__RefHeading___Toc4015_1073874868">
            <w:r>
              <w:rPr>
                <w:rStyle w:val="IndexLink"/>
              </w:rPr>
              <w:t>6.4 Model 2: bank-funding channel (H2)</w:t>
              <w:tab/>
              <w:t>18</w:t>
            </w:r>
          </w:hyperlink>
        </w:p>
        <w:p>
          <w:pPr>
            <w:pStyle w:val="TOC2"/>
            <w:tabs>
              <w:tab w:val="clear" w:pos="10997"/>
              <w:tab w:val="right" w:pos="9359" w:leader="dot"/>
            </w:tabs>
            <w:rPr/>
          </w:pPr>
          <w:hyperlink w:anchor="__RefHeading___Toc4017_1073874868">
            <w:r>
              <w:rPr>
                <w:rStyle w:val="IndexLink"/>
              </w:rPr>
              <w:t>6.5 Supporting firm-level models (Models 3–5)</w:t>
              <w:tab/>
              <w:t>18</w:t>
            </w:r>
          </w:hyperlink>
        </w:p>
        <w:p>
          <w:pPr>
            <w:pStyle w:val="TOC1"/>
            <w:tabs>
              <w:tab w:val="clear" w:pos="11280"/>
              <w:tab w:val="right" w:pos="9359" w:leader="dot"/>
            </w:tabs>
            <w:rPr/>
          </w:pPr>
          <w:hyperlink w:anchor="__RefHeading___Toc4019_1073874868">
            <w:r>
              <w:rPr>
                <w:rStyle w:val="IndexLink"/>
              </w:rPr>
              <w:t>7. EMPIRICAL FINDINGS AND RESULTS: H1 — CONSUMER-CREDIT CHANNEL</w:t>
              <w:tab/>
              <w:t>19</w:t>
            </w:r>
          </w:hyperlink>
        </w:p>
        <w:p>
          <w:pPr>
            <w:pStyle w:val="TOC2"/>
            <w:tabs>
              <w:tab w:val="clear" w:pos="10997"/>
              <w:tab w:val="right" w:pos="9359" w:leader="dot"/>
            </w:tabs>
            <w:rPr/>
          </w:pPr>
          <w:hyperlink w:anchor="__RefHeading___Toc4021_1073874868">
            <w:r>
              <w:rPr>
                <w:rStyle w:val="IndexLink"/>
              </w:rPr>
              <w:t>7.1 Robustness</w:t>
              <w:tab/>
              <w:t>20</w:t>
            </w:r>
          </w:hyperlink>
        </w:p>
        <w:p>
          <w:pPr>
            <w:pStyle w:val="TOC2"/>
            <w:tabs>
              <w:tab w:val="clear" w:pos="10997"/>
              <w:tab w:val="right" w:pos="9359" w:leader="dot"/>
            </w:tabs>
            <w:rPr/>
          </w:pPr>
          <w:hyperlink w:anchor="__RefHeading___Toc4023_1073874868">
            <w:r>
              <w:rPr>
                <w:rStyle w:val="IndexLink"/>
              </w:rPr>
              <w:t>7.2 Economic magnitude</w:t>
              <w:tab/>
              <w:t>20</w:t>
            </w:r>
          </w:hyperlink>
        </w:p>
        <w:p>
          <w:pPr>
            <w:pStyle w:val="TOC2"/>
            <w:tabs>
              <w:tab w:val="clear" w:pos="10997"/>
              <w:tab w:val="right" w:pos="9359" w:leader="dot"/>
            </w:tabs>
            <w:rPr/>
          </w:pPr>
          <w:hyperlink w:anchor="__RefHeading___Toc4025_1073874868">
            <w:r>
              <w:rPr>
                <w:rStyle w:val="IndexLink"/>
              </w:rPr>
              <w:t>7.3 Model summary, ANOVA and model equation</w:t>
              <w:tab/>
              <w:t>21</w:t>
            </w:r>
          </w:hyperlink>
        </w:p>
        <w:p>
          <w:pPr>
            <w:pStyle w:val="TOC1"/>
            <w:tabs>
              <w:tab w:val="clear" w:pos="11280"/>
              <w:tab w:val="right" w:pos="9359" w:leader="dot"/>
            </w:tabs>
            <w:rPr/>
          </w:pPr>
          <w:hyperlink w:anchor="__RefHeading___Toc4027_1073874868">
            <w:r>
              <w:rPr>
                <w:rStyle w:val="IndexLink"/>
              </w:rPr>
              <w:t>8. EMPIRICAL FINDINGS AND RESULTS: H2 — BANK-FUNDING CHANNEL AND FIRM-LEVEL EVIDENCE</w:t>
              <w:tab/>
              <w:t>22</w:t>
            </w:r>
          </w:hyperlink>
        </w:p>
        <w:p>
          <w:pPr>
            <w:pStyle w:val="TOC2"/>
            <w:tabs>
              <w:tab w:val="clear" w:pos="10997"/>
              <w:tab w:val="right" w:pos="9359" w:leader="dot"/>
            </w:tabs>
            <w:rPr/>
          </w:pPr>
          <w:hyperlink w:anchor="__RefHeading___Toc4029_1073874868">
            <w:r>
              <w:rPr>
                <w:rStyle w:val="IndexLink"/>
              </w:rPr>
              <w:t>8.1 Aggregate evidence</w:t>
              <w:tab/>
              <w:t>22</w:t>
            </w:r>
          </w:hyperlink>
        </w:p>
        <w:p>
          <w:pPr>
            <w:pStyle w:val="TOC2"/>
            <w:tabs>
              <w:tab w:val="clear" w:pos="10997"/>
              <w:tab w:val="right" w:pos="9359" w:leader="dot"/>
            </w:tabs>
            <w:rPr/>
          </w:pPr>
          <w:hyperlink w:anchor="__RefHeading___Toc4031_1073874868">
            <w:r>
              <w:rPr>
                <w:rStyle w:val="IndexLink"/>
              </w:rPr>
              <w:t>8.2 How did listed NBFCs adjust? Firm-level evidence</w:t>
              <w:tab/>
              <w:t>23</w:t>
            </w:r>
          </w:hyperlink>
        </w:p>
        <w:p>
          <w:pPr>
            <w:pStyle w:val="TOC2"/>
            <w:tabs>
              <w:tab w:val="clear" w:pos="10997"/>
              <w:tab w:val="right" w:pos="9359" w:leader="dot"/>
            </w:tabs>
            <w:rPr/>
          </w:pPr>
          <w:hyperlink w:anchor="__RefHeading___Toc4033_1073874868">
            <w:r>
              <w:rPr>
                <w:rStyle w:val="IndexLink"/>
              </w:rPr>
              <w:t>8.3 Model summary, ANOVA and model equation for Model 2</w:t>
              <w:tab/>
              <w:t>25</w:t>
            </w:r>
          </w:hyperlink>
        </w:p>
        <w:p>
          <w:pPr>
            <w:pStyle w:val="TOC2"/>
            <w:tabs>
              <w:tab w:val="clear" w:pos="10997"/>
              <w:tab w:val="right" w:pos="9359" w:leader="dot"/>
            </w:tabs>
            <w:rPr/>
          </w:pPr>
          <w:hyperlink w:anchor="__RefHeading___Toc4035_1073874868">
            <w:r>
              <w:rPr>
                <w:rStyle w:val="IndexLink"/>
              </w:rPr>
              <w:t>8.4 Diagnostic tests</w:t>
              <w:tab/>
              <w:t>26</w:t>
            </w:r>
          </w:hyperlink>
        </w:p>
        <w:p>
          <w:pPr>
            <w:pStyle w:val="TOC2"/>
            <w:tabs>
              <w:tab w:val="clear" w:pos="10997"/>
              <w:tab w:val="right" w:pos="9359" w:leader="dot"/>
            </w:tabs>
            <w:rPr/>
          </w:pPr>
          <w:hyperlink w:anchor="__RefHeading___Toc4037_1073874868">
            <w:r>
              <w:rPr>
                <w:rStyle w:val="IndexLink"/>
              </w:rPr>
              <w:t>8.5 Sensitivity of inference to the choice of standard errors</w:t>
              <w:tab/>
              <w:t>26</w:t>
            </w:r>
          </w:hyperlink>
        </w:p>
        <w:p>
          <w:pPr>
            <w:pStyle w:val="TOC1"/>
            <w:tabs>
              <w:tab w:val="clear" w:pos="11280"/>
              <w:tab w:val="right" w:pos="9359" w:leader="dot"/>
            </w:tabs>
            <w:rPr/>
          </w:pPr>
          <w:hyperlink w:anchor="__RefHeading___Toc4039_1073874868">
            <w:r>
              <w:rPr>
                <w:rStyle w:val="IndexLink"/>
              </w:rPr>
              <w:t>9. DISCUSSION</w:t>
              <w:tab/>
              <w:t>28</w:t>
            </w:r>
          </w:hyperlink>
        </w:p>
        <w:p>
          <w:pPr>
            <w:pStyle w:val="TOC2"/>
            <w:tabs>
              <w:tab w:val="clear" w:pos="10997"/>
              <w:tab w:val="right" w:pos="9359" w:leader="dot"/>
            </w:tabs>
            <w:rPr/>
          </w:pPr>
          <w:hyperlink w:anchor="__RefHeading___Toc4041_1073874868">
            <w:r>
              <w:rPr>
                <w:rStyle w:val="IndexLink"/>
              </w:rPr>
              <w:t>9.1 Interpretation</w:t>
              <w:tab/>
              <w:t>28</w:t>
            </w:r>
          </w:hyperlink>
        </w:p>
        <w:p>
          <w:pPr>
            <w:pStyle w:val="TOC2"/>
            <w:tabs>
              <w:tab w:val="clear" w:pos="10997"/>
              <w:tab w:val="right" w:pos="9359" w:leader="dot"/>
            </w:tabs>
            <w:rPr/>
          </w:pPr>
          <w:hyperlink w:anchor="__RefHeading___Toc4043_1073874868">
            <w:r>
              <w:rPr>
                <w:rStyle w:val="IndexLink"/>
              </w:rPr>
              <w:t>9.2 Relation to the synopsis hypotheses</w:t>
              <w:tab/>
              <w:t>28</w:t>
            </w:r>
          </w:hyperlink>
        </w:p>
        <w:p>
          <w:pPr>
            <w:pStyle w:val="TOC2"/>
            <w:tabs>
              <w:tab w:val="clear" w:pos="10997"/>
              <w:tab w:val="right" w:pos="9359" w:leader="dot"/>
            </w:tabs>
            <w:rPr/>
          </w:pPr>
          <w:hyperlink w:anchor="__RefHeading___Toc4045_1073874868">
            <w:r>
              <w:rPr>
                <w:rStyle w:val="IndexLink"/>
              </w:rPr>
              <w:t>9.3 Policy implications</w:t>
              <w:tab/>
              <w:t>29</w:t>
            </w:r>
          </w:hyperlink>
        </w:p>
        <w:p>
          <w:pPr>
            <w:pStyle w:val="TOC2"/>
            <w:tabs>
              <w:tab w:val="clear" w:pos="10997"/>
              <w:tab w:val="right" w:pos="9359" w:leader="dot"/>
            </w:tabs>
            <w:rPr/>
          </w:pPr>
          <w:hyperlink w:anchor="__RefHeading___Toc4047_1073874868">
            <w:r>
              <w:rPr>
                <w:rStyle w:val="IndexLink"/>
              </w:rPr>
              <w:t>9.4 Limitations</w:t>
              <w:tab/>
              <w:t>29</w:t>
            </w:r>
          </w:hyperlink>
        </w:p>
        <w:p>
          <w:pPr>
            <w:pStyle w:val="TOC1"/>
            <w:tabs>
              <w:tab w:val="clear" w:pos="11280"/>
              <w:tab w:val="right" w:pos="9359" w:leader="dot"/>
            </w:tabs>
            <w:rPr/>
          </w:pPr>
          <w:hyperlink w:anchor="__RefHeading___Toc4049_1073874868">
            <w:r>
              <w:rPr>
                <w:rStyle w:val="IndexLink"/>
              </w:rPr>
              <w:t>10. CONCLUSION</w:t>
              <w:tab/>
              <w:t>31</w:t>
            </w:r>
          </w:hyperlink>
        </w:p>
        <w:p>
          <w:pPr>
            <w:pStyle w:val="TOC1"/>
            <w:tabs>
              <w:tab w:val="clear" w:pos="11280"/>
              <w:tab w:val="right" w:pos="9359" w:leader="dot"/>
            </w:tabs>
            <w:rPr/>
          </w:pPr>
          <w:hyperlink w:anchor="__RefHeading___Toc4051_1073874868">
            <w:r>
              <w:rPr>
                <w:rStyle w:val="IndexLink"/>
              </w:rPr>
              <w:t>BIBLIOGRAPHY</w:t>
              <w:tab/>
              <w:t>32</w:t>
            </w:r>
          </w:hyperlink>
        </w:p>
        <w:p>
          <w:pPr>
            <w:pStyle w:val="TOC1"/>
            <w:tabs>
              <w:tab w:val="clear" w:pos="11280"/>
              <w:tab w:val="right" w:pos="9359" w:leader="dot"/>
            </w:tabs>
            <w:rPr/>
          </w:pPr>
          <w:hyperlink w:anchor="__RefHeading___Toc4053_1073874868">
            <w:r>
              <w:rPr>
                <w:rStyle w:val="IndexLink"/>
              </w:rPr>
              <w:t>APPENDICES</w:t>
              <w:tab/>
              <w:t>34</w:t>
            </w:r>
          </w:hyperlink>
        </w:p>
        <w:p>
          <w:pPr>
            <w:pStyle w:val="TOC2"/>
            <w:tabs>
              <w:tab w:val="clear" w:pos="10997"/>
              <w:tab w:val="right" w:pos="9359" w:leader="dot"/>
            </w:tabs>
            <w:rPr/>
          </w:pPr>
          <w:hyperlink w:anchor="__RefHeading___Toc4055_1073874868">
            <w:r>
              <w:rPr>
                <w:rStyle w:val="IndexLink"/>
              </w:rPr>
              <w:t>Appendix A: Data Files and Reproducibility</w:t>
              <w:tab/>
              <w:t>34</w:t>
            </w:r>
          </w:hyperlink>
        </w:p>
        <w:p>
          <w:pPr>
            <w:pStyle w:val="TOC2"/>
            <w:tabs>
              <w:tab w:val="clear" w:pos="10997"/>
              <w:tab w:val="right" w:pos="9359" w:leader="dot"/>
            </w:tabs>
            <w:rPr/>
          </w:pPr>
          <w:hyperlink w:anchor="__RefHeading___Toc4057_1073874868">
            <w:r>
              <w:rPr>
                <w:rStyle w:val="IndexLink"/>
              </w:rPr>
              <w:t>Appendix B: Firm-Level Data Notes</w:t>
              <w:tab/>
              <w:t>34</w:t>
            </w:r>
          </w:hyperlink>
        </w:p>
        <w:p>
          <w:pPr>
            <w:pStyle w:val="TOC2"/>
            <w:tabs>
              <w:tab w:val="clear" w:pos="10997"/>
              <w:tab w:val="right" w:pos="9359" w:leader="dot"/>
            </w:tabs>
            <w:rPr/>
          </w:pPr>
          <w:hyperlink w:anchor="__RefHeading___Toc4059_1073874868">
            <w:r>
              <w:rPr>
                <w:rStyle w:val="IndexLink"/>
              </w:rPr>
              <w:t>Appendix C: Data Tables</w:t>
              <w:tab/>
              <w:t>35</w:t>
            </w:r>
          </w:hyperlink>
          <w:r>
            <w:rPr>
              <w:rStyle w:val="IndexLink"/>
            </w:rPr>
            <w:fldChar w:fldCharType="end"/>
          </w:r>
        </w:p>
      </w:sdtContent>
    </w:sdt>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Style w:val="Normal"/>
        <w:rPr/>
      </w:pPr>
      <w:r>
        <w:rPr/>
      </w:r>
    </w:p>
    <w:p>
      <w:pPr>
        <w:pStyle w:val="Heading1"/>
        <w:spacing w:before="240" w:after="120"/>
        <w:jc w:val="center"/>
        <w:rPr/>
      </w:pPr>
      <w:bookmarkStart w:id="4" w:name="__RefHeading___Toc3947_1073874868"/>
      <w:bookmarkEnd w:id="4"/>
      <w:r>
        <w:rPr/>
        <w:t>EXECUTIVE SUMMARY</w:t>
      </w:r>
    </w:p>
    <w:p>
      <w:pPr>
        <w:pStyle w:val="Normal"/>
        <w:spacing w:lineRule="exact" w:line="360" w:before="0" w:after="120"/>
        <w:jc w:val="both"/>
        <w:rPr/>
      </w:pPr>
      <w:r>
        <w:rPr>
          <w:b/>
          <w:bCs/>
        </w:rPr>
        <w:t xml:space="preserve">Context. </w:t>
      </w:r>
      <w:r>
        <w:rPr/>
        <w:t>In November 2023 the Reserve Bank of India raised the capital that lenders must hold against unsecured consumer loans and credit cards, and the capital that banks must hold against their loans to NBFCs (housing finance companies were exempt). The measures were aimed at the two fastest-growing parts of the credit system. The bank-to-NBFC measure was withdrawn from April 2025; the consumer measure was not.</w:t>
      </w:r>
    </w:p>
    <w:p>
      <w:pPr>
        <w:pStyle w:val="Normal"/>
        <w:spacing w:lineRule="exact" w:line="360" w:before="0" w:after="120"/>
        <w:jc w:val="both"/>
        <w:rPr/>
      </w:pPr>
      <w:r>
        <w:rPr>
          <w:b/>
          <w:bCs/>
        </w:rPr>
        <w:t xml:space="preserve">Objective. </w:t>
      </w:r>
      <w:r>
        <w:rPr/>
        <w:t>To measure whether the higher risk weights reduced credit through each targeted channel, and to document how listed NBFCs adjusted.</w:t>
      </w:r>
    </w:p>
    <w:p>
      <w:pPr>
        <w:pStyle w:val="Normal"/>
        <w:spacing w:lineRule="exact" w:line="360" w:before="0" w:after="120"/>
        <w:jc w:val="both"/>
        <w:rPr/>
      </w:pPr>
      <w:r>
        <w:rPr>
          <w:b/>
          <w:bCs/>
        </w:rPr>
        <w:t xml:space="preserve">Data. </w:t>
      </w:r>
      <w:r>
        <w:rPr/>
        <w:t>Monthly RBI data on sectoral deployment of bank credit (2019-01-18 to 2026-07-31), and a firm-level dataset hand-collected from 382 quarterly investor presentations of 16 listed NBFCs and HFCs (cost of funds, bank share of borrowings, segment assets and company statements).</w:t>
      </w:r>
    </w:p>
    <w:p>
      <w:pPr>
        <w:pStyle w:val="Normal"/>
        <w:spacing w:lineRule="exact" w:line="360" w:before="0" w:after="120"/>
        <w:jc w:val="both"/>
        <w:rPr/>
      </w:pPr>
      <w:r>
        <w:rPr>
          <w:b/>
          <w:bCs/>
        </w:rPr>
        <w:t xml:space="preserve">Method. </w:t>
      </w:r>
      <w:r>
        <w:rPr/>
        <w:t>Difference-in-differences: credit categories that faced the higher risk weight are compared with closely related exempt categories before and after the policy, with placebo tests on a fictitious policy date, robustness checks and two-way fixed-effects firm panels with wild cluster bootstrap inference.</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Model 1 (H1): bank credit to cards and other personal loans grew about 7.9 percentage points a year more slowly than exempt household credit after the policy (Newey–West p = 0.002; panel p = 0.008). The direction is the same under every specification, but significance is weaker under methods that treat serial correlation differently (Section 8.5).</w:t>
      </w:r>
    </w:p>
    <w:p>
      <w:pPr>
        <w:pStyle w:val="ListParagraph"/>
        <w:numPr>
          <w:ilvl w:val="0"/>
          <w:numId w:val="1"/>
        </w:numPr>
        <w:spacing w:lineRule="exact" w:line="340" w:before="0" w:after="80"/>
        <w:rPr/>
      </w:pPr>
      <w:r>
        <w:rPr/>
        <w:t>Model 2 (H2): bank credit to NBFCs (excluding HFCs) grew about 11.9 percentage points a year more slowly than total bank credit (p = 0.049), and the result holds when calendar-month seasonality is controlled for. It recovered strongly after the April 2025 rollback.</w:t>
      </w:r>
    </w:p>
    <w:p>
      <w:pPr>
        <w:pStyle w:val="ListParagraph"/>
        <w:numPr>
          <w:ilvl w:val="0"/>
          <w:numId w:val="1"/>
        </w:numPr>
        <w:spacing w:lineRule="exact" w:line="340" w:before="0" w:after="80"/>
        <w:rPr/>
      </w:pPr>
      <w:r>
        <w:rPr/>
        <w:t>Placebo tests on November 2022 show no effect. The implied shortfalls by January 2025 are roughly ₹1.9 lakh crore of targeted consumer credit and ₹2.1 lakh crore of bank funding to NBFCs.</w:t>
      </w:r>
    </w:p>
    <w:p>
      <w:pPr>
        <w:pStyle w:val="ListParagraph"/>
        <w:numPr>
          <w:ilvl w:val="0"/>
          <w:numId w:val="1"/>
        </w:numPr>
        <w:spacing w:lineRule="exact" w:line="340" w:before="0" w:after="80"/>
        <w:rPr/>
      </w:pPr>
      <w:r>
        <w:rPr/>
        <w:t>Listed NBFCs absorbed the shock through capital (capital ratios cut by about 3–4 percentage points at the two lenders that disclosed it), pricing (rates raised 20–30 bps at one lender), somewhat higher funding costs and a gradual move away from bank borrowing; these firm-level effects are in the expected direction but not statistically significant with 16 firms.</w:t>
      </w:r>
    </w:p>
    <w:p>
      <w:pPr>
        <w:pStyle w:val="Normal"/>
        <w:spacing w:lineRule="exact" w:line="360" w:before="0" w:after="120"/>
        <w:jc w:val="both"/>
        <w:rPr/>
      </w:pPr>
      <w:r>
        <w:rPr>
          <w:b/>
          <w:bCs/>
        </w:rPr>
        <w:t xml:space="preserve">Implications. </w:t>
      </w:r>
      <w:r>
        <w:rPr/>
        <w:t>Targeted risk weights are an effective and reversible tool for slowing specific segments of bank credit. Their effect on NBFCs depends on how easily NBFCs can replace bank funding, so diversified funding is a key defence for NBFC managers.</w:t>
      </w:r>
      <w:r>
        <w:br w:type="page"/>
      </w:r>
    </w:p>
    <w:p>
      <w:pPr>
        <w:pStyle w:val="Heading1"/>
        <w:spacing w:before="240" w:after="120"/>
        <w:jc w:val="center"/>
        <w:rPr/>
      </w:pPr>
      <w:bookmarkStart w:id="5" w:name="__RefHeading___Toc3949_1073874868"/>
      <w:bookmarkEnd w:id="5"/>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their consumer lending and their bank borrowing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macroprudential interventions since the IL&amp;FS crisis, and were partly reversed in 2025. Whether they worked, and through which channel, is directly relevant to how such tools are used in future.</w:t>
      </w:r>
    </w:p>
    <w:p>
      <w:pPr>
        <w:pStyle w:val="ListParagraph"/>
        <w:numPr>
          <w:ilvl w:val="0"/>
          <w:numId w:val="2"/>
        </w:numPr>
        <w:spacing w:lineRule="exact" w:line="340" w:before="0" w:after="80"/>
        <w:rPr/>
      </w:pPr>
      <w:r>
        <w:rPr>
          <w:b/>
          <w:bCs/>
        </w:rPr>
        <w:t xml:space="preserve">A clean natural experiment. </w:t>
      </w:r>
      <w:r>
        <w:rPr/>
        <w:t>The circular changed capital requirements for clearly defined categories on a known date, left comparable categories untouched and was later partly withdrawn. This allows the effect of the rule to be separated from the interest-rate cycle and other common shocks.</w:t>
      </w:r>
    </w:p>
    <w:p>
      <w:pPr>
        <w:pStyle w:val="ListParagraph"/>
        <w:numPr>
          <w:ilvl w:val="0"/>
          <w:numId w:val="2"/>
        </w:numPr>
        <w:spacing w:lineRule="exact" w:line="340" w:before="0" w:after="80"/>
        <w:rPr/>
      </w:pPr>
      <w:r>
        <w:rPr>
          <w:b/>
          <w:bCs/>
        </w:rPr>
        <w:t xml:space="preserve">Managerial relevance. </w:t>
      </w:r>
      <w:r>
        <w:rPr/>
        <w:t>For NBFC managers the episode shows how exposure to a single funding source translates into regulatory risk, and how capital, pricing and funding mix can be used to absorb such a shock.</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uses NBFCs' own disclosures to trace their response.</w:t>
      </w:r>
      <w:r>
        <w:br w:type="page"/>
      </w:r>
    </w:p>
    <w:p>
      <w:pPr>
        <w:pStyle w:val="Heading1"/>
        <w:spacing w:before="240" w:after="120"/>
        <w:jc w:val="center"/>
        <w:rPr/>
      </w:pPr>
      <w:bookmarkStart w:id="6" w:name="__RefHeading___Toc3951_1073874868"/>
      <w:bookmarkEnd w:id="6"/>
      <w:r>
        <w:rPr/>
        <w:t>1. INTRODUCTION</w:t>
      </w:r>
    </w:p>
    <w:p>
      <w:pPr>
        <w:pStyle w:val="Heading2"/>
        <w:spacing w:before="240" w:after="120"/>
        <w:rPr/>
      </w:pPr>
      <w:bookmarkStart w:id="7" w:name="__RefHeading___Toc3953_1073874868"/>
      <w:bookmarkEnd w:id="7"/>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pStyle w:val="Normal"/>
        <w:spacing w:lineRule="exact" w:line="360" w:before="0" w:after="120"/>
        <w:jc w:val="both"/>
        <w:rPr/>
      </w:pPr>
      <w:r>
        <w:rPr/>
        <w:t>On 16 November 2023 the RBI responded with a single circular that raised capital requirements on both channels. First, it increased the risk weight on consumer credit — excluding housing, education, vehicle, gold-backed and microfinance loans — from 100 per cent to 125 per cent for banks and NBFCs, and raised risk weights on credit card receivables. Second, it increased by 25 percentage points the risk weight that banks attach to their loans to most NBFCs, while exempting housing finance companies (HFCs). Because a higher risk weight requires a lender to hold more capital against the same loan, both measures made the targeted credit more expensive to supply. In February 2025 the RBI partially reversed course, withdrawing the higher risk weight on bank loans to NBFCs from 1 April 2025, but leaving the consumer-credit measures in place.</w:t>
      </w:r>
    </w:p>
    <w:p>
      <w:pPr>
        <w:pStyle w:val="Normal"/>
        <w:spacing w:lineRule="exact" w:line="360" w:before="0" w:after="120"/>
        <w:jc w:val="both"/>
        <w:rPr/>
      </w:pPr>
      <w:r>
        <w:rPr/>
        <w:t>This policy is a useful natural experiment. It changed capital requirements for clearly defined categories of credit at a known date, left closely comparable categories untouched, and was later partly reversed. That design makes it possible to separate the effect of the rule from general credit conditions such as the interest-rate cycle.</w:t>
      </w:r>
    </w:p>
    <w:p>
      <w:pPr>
        <w:pStyle w:val="Heading2"/>
        <w:spacing w:before="240" w:after="120"/>
        <w:rPr/>
      </w:pPr>
      <w:bookmarkStart w:id="8" w:name="__RefHeading___Toc3955_1073874868"/>
      <w:bookmarkEnd w:id="8"/>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rule itself, which channel it worked through, and how NBFCs responded. The higher risk weights could have reduced NBFCs' own lending, raised their borrowing costs, pushed them away from bank funding, or been absorbed through lower capital buffers and higher lending rates. This study measures the effect on each channel and documents how listed NBFCs adjusted.</w:t>
      </w:r>
    </w:p>
    <w:p>
      <w:pPr>
        <w:pStyle w:val="Heading2"/>
        <w:spacing w:before="240" w:after="120"/>
        <w:rPr/>
      </w:pPr>
      <w:bookmarkStart w:id="9" w:name="__RefHeading___Toc3957_1073874868"/>
      <w:bookmarkEnd w:id="9"/>
      <w:r>
        <w:rPr/>
        <w:t>1.3 Objectives and hypotheses</w:t>
      </w:r>
    </w:p>
    <w:p>
      <w:pPr>
        <w:pStyle w:val="Normal"/>
        <w:spacing w:lineRule="exact" w:line="360" w:before="0" w:after="120"/>
        <w:jc w:val="both"/>
        <w:rPr/>
      </w:pPr>
      <w:r>
        <w:rPr/>
        <w:t>Following the guide's direction to focus on one or two hypotheses, the study tests the two levers of the November 2023 circular:</w:t>
      </w:r>
    </w:p>
    <w:p>
      <w:pPr>
        <w:pStyle w:val="ListParagraph"/>
        <w:numPr>
          <w:ilvl w:val="0"/>
          <w:numId w:val="1"/>
        </w:numPr>
        <w:spacing w:lineRule="exact" w:line="340" w:before="0" w:after="80"/>
        <w:rPr/>
      </w:pPr>
      <w:r>
        <w:rPr>
          <w:b/>
          <w:bCs/>
        </w:rPr>
        <w:t xml:space="preserve">H1 (consumer-credit channel): </w:t>
      </w:r>
      <w:r>
        <w:rPr/>
        <w:t>Higher risk weights on consumer credit reduced the growth of credit to the targeted consumer categories (credit cards and other personal loans) relative to exempt household credit categories.</w:t>
      </w:r>
    </w:p>
    <w:p>
      <w:pPr>
        <w:pStyle w:val="ListParagraph"/>
        <w:numPr>
          <w:ilvl w:val="0"/>
          <w:numId w:val="1"/>
        </w:numPr>
        <w:spacing w:lineRule="exact" w:line="340" w:before="0" w:after="80"/>
        <w:rPr/>
      </w:pPr>
      <w:r>
        <w:rPr>
          <w:b/>
          <w:bCs/>
        </w:rPr>
        <w:t xml:space="preserve">H2 (bank-funding channel): </w:t>
      </w:r>
      <w:r>
        <w:rPr/>
        <w:t>Higher risk weights on bank exposures to NBFCs reduced the growth of bank credit to NBFCs (excluding the exempt HFCs) relative to banks' overall lending.</w:t>
      </w:r>
    </w:p>
    <w:p>
      <w:pPr>
        <w:pStyle w:val="Normal"/>
        <w:spacing w:lineRule="exact" w:line="360" w:before="0" w:after="120"/>
        <w:jc w:val="both"/>
        <w:rPr/>
      </w:pPr>
      <w:r>
        <w:rPr/>
        <w:t>These hypotheses correspond to H1 and H2 of the original synopsis, re-specified so that each one is tested on the group that the regulation actually targeted. The synopsis versions — firm-level effects of NBFCs' pre-policy unsecured share and bank dependence — are tested as supporting evidence using a hand-collected firm-level dataset (Chapter 8).</w:t>
      </w:r>
    </w:p>
    <w:p>
      <w:pPr>
        <w:pStyle w:val="Heading2"/>
        <w:spacing w:before="240" w:after="120"/>
        <w:rPr/>
      </w:pPr>
      <w:bookmarkStart w:id="10" w:name="__RefHeading___Toc3959_1073874868"/>
      <w:bookmarkEnd w:id="10"/>
      <w:r>
        <w:rPr/>
        <w:t>1.4 Contribution</w:t>
      </w:r>
    </w:p>
    <w:p>
      <w:pPr>
        <w:pStyle w:val="Normal"/>
        <w:spacing w:lineRule="exact" w:line="360" w:before="0" w:after="120"/>
        <w:jc w:val="both"/>
        <w:rPr/>
      </w:pPr>
      <w:r>
        <w:rPr/>
        <w:t>The study makes three contributions. First, it provides a clean before-and-after comparison of targeted and exempt credit categories using official RBI data, with placebo tests. Second, it assembles a new firm-level dataset from 382 quarterly investor presentations of 16 listed NBFCs and HFCs, including cost of funds, bank share of borrowings and company disclosures of the policy's capital impact. Third, it shows that an initial firm-level dataset obtained for the project was materially inaccurate, and documents how it was verified and replaced — a practical lesson for empirical work on Indian NBFCs.</w:t>
      </w:r>
    </w:p>
    <w:p>
      <w:pPr>
        <w:pStyle w:val="Heading2"/>
        <w:spacing w:before="240" w:after="120"/>
        <w:rPr/>
      </w:pPr>
      <w:bookmarkStart w:id="11" w:name="__RefHeading___Toc3961_1073874868"/>
      <w:bookmarkEnd w:id="11"/>
      <w:r>
        <w:rPr/>
        <w:t>1.5 Structure</w:t>
      </w:r>
    </w:p>
    <w:p>
      <w:pPr>
        <w:pStyle w:val="Normal"/>
        <w:spacing w:lineRule="exact" w:line="360" w:before="0" w:after="120"/>
        <w:jc w:val="both"/>
        <w:rPr/>
      </w:pPr>
      <w:r>
        <w:rPr/>
        <w:t>Chapter 2 describes the regulatory background and Chapter 3 reviews the literature. Chapter 4 describes the data and how they were verified, including descriptive statistics. Chapter 5 sets out the econometric methodology and Chapter 6 the theoretical framework, variables and formal hypotheses. Chapters 7 and 8 present the empirical findings for H1 and H2, together with the firm-level evidence, model diagnostics and the sensitivity of inference. Chapter 9 discusses the findings and limitations, and Chapter 10 concludes.</w:t>
      </w:r>
      <w:r>
        <w:br w:type="page"/>
      </w:r>
    </w:p>
    <w:p>
      <w:pPr>
        <w:pStyle w:val="Heading1"/>
        <w:spacing w:before="240" w:after="120"/>
        <w:jc w:val="center"/>
        <w:rPr/>
      </w:pPr>
      <w:bookmarkStart w:id="12" w:name="__RefHeading___Toc3963_1073874868"/>
      <w:bookmarkEnd w:id="12"/>
      <w:r>
        <w:rPr/>
        <w:t>2. REGULATORY BACKGROUND</w:t>
      </w:r>
    </w:p>
    <w:p>
      <w:pPr>
        <w:pStyle w:val="Heading2"/>
        <w:spacing w:before="240" w:after="120"/>
        <w:rPr/>
      </w:pPr>
      <w:bookmarkStart w:id="13" w:name="__RefHeading___Toc3965_1073874868"/>
      <w:bookmarkEnd w:id="13"/>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before="240" w:after="120"/>
        <w:rPr/>
      </w:pPr>
      <w:bookmarkStart w:id="14" w:name="__RefHeading___Toc3967_1073874868"/>
      <w:bookmarkEnd w:id="14"/>
      <w:r>
        <w:rPr/>
        <w:t>2.2 The November 2023 circular</w:t>
      </w:r>
    </w:p>
    <w:p>
      <w:pPr>
        <w:pStyle w:val="Normal"/>
        <w:spacing w:lineRule="exact" w:line="360" w:before="0" w:after="120"/>
        <w:jc w:val="both"/>
        <w:rPr/>
      </w:pPr>
      <w:r>
        <w:rPr/>
        <w:t>The RBI's circular of 16 November 2023 (“Regulatory measures towards consumer credit and bank credit to NBFCs”) contained the measures summarised in Table 2.1.</w:t>
      </w:r>
    </w:p>
    <w:p>
      <w:pPr>
        <w:pStyle w:val="Normal"/>
        <w:keepNext w:val="true"/>
        <w:keepLines/>
        <w:spacing w:before="120" w:after="60"/>
        <w:jc w:val="left"/>
        <w:rPr/>
      </w:pPr>
      <w:r>
        <w:rPr>
          <w:b/>
          <w:bCs/>
          <w:sz w:val="22"/>
          <w:szCs w:val="22"/>
        </w:rPr>
        <w:t>Table 2.1: Main risk-weight changes, November 2023 and February 2025</w:t>
      </w:r>
    </w:p>
    <w:tbl>
      <w:tblPr>
        <w:tblW w:w="9026" w:type="dxa"/>
        <w:jc w:val="left"/>
        <w:tblInd w:w="0" w:type="dxa"/>
        <w:tblLayout w:type="fixed"/>
        <w:tblCellMar>
          <w:top w:w="50" w:type="dxa"/>
          <w:left w:w="90" w:type="dxa"/>
          <w:bottom w:w="50" w:type="dxa"/>
          <w:right w:w="90" w:type="dxa"/>
        </w:tblCellMar>
      </w:tblPr>
      <w:tblGrid>
        <w:gridCol w:w="2600"/>
        <w:gridCol w:w="2999"/>
        <w:gridCol w:w="3427"/>
      </w:tblGrid>
      <w:tr>
        <w:trPr>
          <w:tblHeader w:val="true"/>
        </w:trPr>
        <w:tc>
          <w:tcPr>
            <w:tcW w:w="2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2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2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6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 and NBFCs)</w:t>
            </w:r>
          </w:p>
        </w:tc>
        <w:tc>
          <w:tcPr>
            <w:tcW w:w="2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2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gold-backed and microfinance/SHG loans</w:t>
            </w:r>
          </w:p>
        </w:tc>
      </w:tr>
      <w:tr>
        <w:trPr/>
        <w:tc>
          <w:tcPr>
            <w:tcW w:w="26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2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2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6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2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2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and loans eligible for priority-sector classification</w:t>
            </w:r>
          </w:p>
        </w:tc>
      </w:tr>
      <w:tr>
        <w:trPr/>
        <w:tc>
          <w:tcPr>
            <w:tcW w:w="26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w:t>
            </w:r>
          </w:p>
        </w:tc>
        <w:tc>
          <w:tcPr>
            <w:tcW w:w="2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Additional risk weight on bank exposures to NBFCs withdrawn from 1 April 2025</w:t>
            </w:r>
          </w:p>
        </w:tc>
        <w:tc>
          <w:tcPr>
            <w:tcW w:w="342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Consumer-credit risk weights unchanged; microfinance treatment eased</w:t>
            </w:r>
          </w:p>
        </w:tc>
      </w:tr>
    </w:tbl>
    <w:p>
      <w:pPr>
        <w:pStyle w:val="Normal"/>
        <w:spacing w:before="0" w:after="200"/>
        <w:jc w:val="left"/>
        <w:rPr/>
      </w:pPr>
      <w:r>
        <w:rPr>
          <w:i/>
          <w:iCs/>
          <w:sz w:val="18"/>
          <w:szCs w:val="18"/>
        </w:rPr>
        <w:t>Source: RBI circulars of 16 November 2023 and 25 February 2025 (see Bibliography).</w:t>
      </w:r>
    </w:p>
    <w:p>
      <w:pPr>
        <w:pStyle w:val="Normal"/>
        <w:spacing w:lineRule="exact" w:line="360" w:before="0" w:after="120"/>
        <w:jc w:val="both"/>
        <w:rPr/>
      </w:pPr>
      <w:r>
        <w:rPr/>
        <w:t>Two features of the circular matter for the empirical design. The consumer-credit measure targeted unsecured personal loans and cards but left housing, vehicle and education loans untouched, so exempt household categories provide a natural comparison group for H1. The bank-to-NBFC measure applied to NBFCs but not to HFCs, so bank credit to HFCs and to the banking system as a whole provide comparison groups for H2. The February 2025 rollback of the NBFC measure, with no rollback of the consumer measure, provides a further check on the targeted nature of the effects.</w:t>
      </w:r>
    </w:p>
    <w:p>
      <w:pPr>
        <w:pStyle w:val="Heading2"/>
        <w:spacing w:before="240" w:after="120"/>
        <w:rPr/>
      </w:pPr>
      <w:bookmarkStart w:id="15" w:name="__RefHeading___Toc3969_1073874868"/>
      <w:bookmarkEnd w:id="15"/>
      <w:r>
        <w:rPr/>
        <w:t>2.3 Macroeconomic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as loans repriced. This is the main reason why a comparison with untargeted credit categories, rather than a simple before-and-after comparison, is necessary.</w:t>
      </w:r>
    </w:p>
    <w:p>
      <w:pPr>
        <w:pStyle w:val="Heading2"/>
        <w:spacing w:before="240" w:after="120"/>
        <w:rPr/>
      </w:pPr>
      <w:bookmarkStart w:id="16" w:name="__RefHeading___Toc3971_1073874868"/>
      <w:bookmarkEnd w:id="16"/>
      <w:r>
        <w:rPr/>
        <w:t>2.4 The NBFC sector before the policy</w:t>
      </w:r>
    </w:p>
    <w:p>
      <w:pPr>
        <w:pStyle w:val="Normal"/>
        <w:spacing w:lineRule="exact" w:line="360" w:before="0" w:after="120"/>
        <w:jc w:val="both"/>
        <w:rPr/>
      </w:pPr>
      <w:r>
        <w:rPr/>
        <w:t>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The circular was therefore aimed at the fastest-growing parts of the credit system, and at the link between banks and NBFCs that had become central to NBFC funding after 2018.</w:t>
      </w:r>
      <w:r>
        <w:br w:type="page"/>
      </w:r>
    </w:p>
    <w:p>
      <w:pPr>
        <w:pStyle w:val="Heading1"/>
        <w:spacing w:before="240" w:after="120"/>
        <w:jc w:val="center"/>
        <w:rPr/>
      </w:pPr>
      <w:bookmarkStart w:id="17" w:name="__RefHeading___Toc3973_1073874868"/>
      <w:bookmarkEnd w:id="17"/>
      <w:r>
        <w:rPr/>
        <w:t>3. LITERATURE REVIEW</w:t>
      </w:r>
    </w:p>
    <w:p>
      <w:pPr>
        <w:pStyle w:val="Heading2"/>
        <w:spacing w:before="240" w:after="120"/>
        <w:rPr/>
      </w:pPr>
      <w:bookmarkStart w:id="18" w:name="__RefHeading___Toc3975_1073874868"/>
      <w:bookmarkEnd w:id="18"/>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Together these studies suggest that raising risk weights on a category of loans should reduce credit supply to that category, which is the logic behind H1.</w:t>
      </w:r>
    </w:p>
    <w:p>
      <w:pPr>
        <w:pStyle w:val="Heading2"/>
        <w:spacing w:before="240" w:after="120"/>
        <w:rPr/>
      </w:pPr>
      <w:bookmarkStart w:id="19" w:name="__RefHeading___Toc3977_1073874868"/>
      <w:bookmarkEnd w:id="19"/>
      <w:r>
        <w:rPr/>
        <w:t>3.2 Bank funding and shadow banks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before="240" w:after="120"/>
        <w:rPr/>
      </w:pPr>
      <w:bookmarkStart w:id="20" w:name="__RefHeading___Toc3979_1073874868"/>
      <w:bookmarkEnd w:id="20"/>
      <w:r>
        <w:rPr/>
        <w:t>3.3 Macroprudential policy and targeted risk weights</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type of lender-funding link (banks to NBFCs) at the same time, allowing both channels to be examined within one policy.</w:t>
      </w:r>
    </w:p>
    <w:p>
      <w:pPr>
        <w:pStyle w:val="Heading2"/>
        <w:spacing w:before="240" w:after="120"/>
        <w:rPr/>
      </w:pPr>
      <w:bookmarkStart w:id="21" w:name="__RefHeading___Toc3981_1073874868"/>
      <w:bookmarkEnd w:id="21"/>
      <w:r>
        <w:rPr/>
        <w:t>3.4 Methodological literature</w:t>
      </w:r>
    </w:p>
    <w:p>
      <w:pPr>
        <w:pStyle w:val="Normal"/>
        <w:spacing w:lineRule="exact" w:line="360" w:before="0" w:after="120"/>
        <w:jc w:val="both"/>
        <w:rPr/>
      </w:pPr>
      <w:r>
        <w:rPr/>
        <w:t>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before="240" w:after="120"/>
        <w:rPr/>
      </w:pPr>
      <w:bookmarkStart w:id="22" w:name="__RefHeading___Toc3983_1073874868"/>
      <w:bookmarkEnd w:id="22"/>
      <w:r>
        <w:rPr/>
        <w:t>3.5 Research gap</w:t>
      </w:r>
    </w:p>
    <w:p>
      <w:pPr>
        <w:pStyle w:val="Normal"/>
        <w:spacing w:lineRule="exact" w:line="360" w:before="0" w:after="120"/>
        <w:jc w:val="both"/>
        <w:rPr/>
      </w:pPr>
      <w:r>
        <w:rPr/>
        <w:t>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r>
        <w:br w:type="page"/>
      </w:r>
    </w:p>
    <w:p>
      <w:pPr>
        <w:pStyle w:val="Heading1"/>
        <w:spacing w:before="240" w:after="120"/>
        <w:jc w:val="center"/>
        <w:rPr/>
      </w:pPr>
      <w:bookmarkStart w:id="23" w:name="__RefHeading___Toc3985_1073874868"/>
      <w:bookmarkEnd w:id="23"/>
      <w:r>
        <w:rPr/>
        <w:t>4. DATA</w:t>
      </w:r>
    </w:p>
    <w:p>
      <w:pPr>
        <w:pStyle w:val="Heading2"/>
        <w:spacing w:before="240" w:after="120"/>
        <w:rPr/>
      </w:pPr>
      <w:bookmarkStart w:id="24" w:name="__RefHeading___Toc3987_1073874868"/>
      <w:bookmarkEnd w:id="24"/>
      <w:r>
        <w:rPr/>
        <w:t>4.1 Aggregate data: RBI sectoral deployment of bank credit</w:t>
      </w:r>
    </w:p>
    <w:p>
      <w:pPr>
        <w:pStyle w:val="Normal"/>
        <w:spacing w:lineRule="exact" w:line="360" w:before="0" w:after="120"/>
        <w:jc w:val="both"/>
        <w:rPr/>
      </w:pPr>
      <w:r>
        <w:rPr/>
        <w:t>The main dataset is the RBI's monthly table “Deployment of Gross Bank Credit by Major Sectors” (Database on Indian Economy, Table 15), covering 91 monthly observations from 2019-01-18 to 2026-07-31.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w:t>
      </w:r>
    </w:p>
    <w:p>
      <w:pPr>
        <w:pStyle w:val="Normal"/>
        <w:spacing w:lineRule="exact" w:line="360" w:before="0" w:after="120"/>
        <w:jc w:val="both"/>
        <w:rPr/>
      </w:pPr>
      <w:r>
        <w:rPr/>
        <w:t>One adjustment is required. On 1 July 2023 HDFC Ltd, then India's largest HFC, merged into HDFC Bank. Its home loans moved onto a bank balance sheet and its bank borrowings disappeared, producing a one-off jump in bank housing credit and a fall in bank credit to HFCs and NBFCs in July 2023. The RBI notes that data from 28 July 2023 include the impact of the merger. The July 2023 growth observation is therefore excluded for housing, HFC, NBFC and non-food credit. Because all tests use month-on-month growth, the level shift does not affect other months.</w:t>
      </w:r>
    </w:p>
    <w:p>
      <w:pPr>
        <w:pStyle w:val="Normal"/>
        <w:keepNext w:val="true"/>
        <w:keepLines/>
        <w:spacing w:before="120" w:after="60"/>
        <w:jc w:val="left"/>
        <w:rPr/>
      </w:pPr>
      <w:r>
        <w:rPr>
          <w:b/>
          <w:bCs/>
          <w:sz w:val="22"/>
          <w:szCs w:val="22"/>
        </w:rPr>
        <w:t>Table 4.1: Annualised growth of bank credit by category (per cent per year)</w:t>
      </w:r>
    </w:p>
    <w:tbl>
      <w:tblPr>
        <w:tblW w:w="9026" w:type="dxa"/>
        <w:jc w:val="left"/>
        <w:tblInd w:w="0" w:type="dxa"/>
        <w:tblLayout w:type="fixed"/>
        <w:tblCellMar>
          <w:top w:w="50" w:type="dxa"/>
          <w:left w:w="90" w:type="dxa"/>
          <w:bottom w:w="50" w:type="dxa"/>
          <w:right w:w="90" w:type="dxa"/>
        </w:tblCellMar>
      </w:tblPr>
      <w:tblGrid>
        <w:gridCol w:w="3625"/>
        <w:gridCol w:w="1801"/>
        <w:gridCol w:w="1800"/>
        <w:gridCol w:w="1799"/>
      </w:tblGrid>
      <w:tr>
        <w:trPr>
          <w:tblHeader w:val="true"/>
        </w:trPr>
        <w:tc>
          <w:tcPr>
            <w:tcW w:w="36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8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Oct-23)</w:t>
            </w:r>
          </w:p>
        </w:tc>
        <w:tc>
          <w:tcPr>
            <w:tcW w:w="1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23.3</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21.6</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13.9</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6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13.4</w:t>
            </w:r>
          </w:p>
        </w:tc>
      </w:tr>
    </w:tbl>
    <w:p>
      <w:pPr>
        <w:pStyle w:val="Normal"/>
        <w:spacing w:before="0" w:after="200"/>
        <w:jc w:val="left"/>
        <w:rPr/>
      </w:pPr>
      <w:r>
        <w:rPr>
          <w:i/>
          <w:iCs/>
          <w:sz w:val="18"/>
          <w:szCs w:val="18"/>
        </w:rPr>
        <w:t>Average monthly log growth × 12. July 2023 excluded for merger-affected series. Source: RBI DBIE Table 15; author's calculations.</w:t>
      </w:r>
    </w:p>
    <w:p>
      <w:pPr>
        <w:pStyle w:val="Normal"/>
        <w:spacing w:lineRule="exact" w:line="360" w:before="0" w:after="120"/>
        <w:jc w:val="both"/>
        <w:rPr/>
      </w:pPr>
      <w:r>
        <w:rPr/>
        <w:t>Table 4.1 already shows the pattern the hypotheses predict. Bank credit to credit cards grew 23.3 per cent a year before the policy and 11.3 per cent after; other personal loans slowed from 21.6 to 10.0 per cent. Exempt categories slowed much less (housing 13.9 → 11.2, vehicle 14.6 → 9.5) or accelerated (education). Bank credit to NBFCs excluding HFCs slowed from 23.5 to 9.1 per cent, while total non-food credit only eased from 13.2 to 11.4 per cent. After the April 2025 rollback, bank credit to NBFCs recovered to 21.4 per cent, whereas card credit — whose higher risk weight was not reversed — slowed further to 3.5 per cent. Bank gold loans, which were exempt, grew very rapidly after the policy (62.4 per cent a year), consistent with lenders shifting toward secured credit.</w:t>
      </w:r>
    </w:p>
    <w:p>
      <w:pPr>
        <w:pStyle w:val="Heading2"/>
        <w:spacing w:before="240" w:after="120"/>
        <w:rPr/>
      </w:pPr>
      <w:bookmarkStart w:id="25" w:name="__RefHeading___Toc3989_1073874868"/>
      <w:bookmarkEnd w:id="25"/>
      <w:r>
        <w:rPr/>
        <w:t>4.2 Firm-level data: hand-collected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From these, the following were hand-collected, each value recorded with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verified against each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w:t>
      </w:r>
    </w:p>
    <w:p>
      <w:pPr>
        <w:pStyle w:val="ListParagraph"/>
        <w:numPr>
          <w:ilvl w:val="0"/>
          <w:numId w:val="1"/>
        </w:numPr>
        <w:spacing w:lineRule="exact" w:line="340" w:before="0" w:after="80"/>
        <w:rPr/>
      </w:pPr>
      <w:r>
        <w:rPr>
          <w:b/>
          <w:bCs/>
        </w:rPr>
        <w:t>Company statements</w:t>
      </w:r>
      <w:r>
        <w:rPr/>
        <w:t xml:space="preserve"> quantifying the effect of the RBI's measures on capital ratios and pricing.</w:t>
      </w:r>
    </w:p>
    <w:p>
      <w:pPr>
        <w:pStyle w:val="Heading2"/>
        <w:spacing w:before="240" w:after="120"/>
        <w:rPr/>
      </w:pPr>
      <w:bookmarkStart w:id="26" w:name="__RefHeading___Toc3991_1073874868"/>
      <w:bookmarkEnd w:id="26"/>
      <w:r>
        <w:rPr/>
        <w:t>4.3 Data verification</w:t>
      </w:r>
    </w:p>
    <w:p>
      <w:pPr>
        <w:pStyle w:val="Normal"/>
        <w:spacing w:lineRule="exact" w:line="360" w:before="0" w:after="120"/>
        <w:jc w:val="both"/>
        <w:rPr/>
      </w:pPr>
      <w:r>
        <w:rPr/>
        <w:t>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producing artificial spikes.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w:t>
      </w:r>
    </w:p>
    <w:p>
      <w:pPr>
        <w:pStyle w:val="Normal"/>
        <w:spacing w:lineRule="exact" w:line="360" w:before="0" w:after="120"/>
        <w:jc w:val="both"/>
        <w:rPr/>
      </w:pPr>
      <w:r>
        <w:rPr/>
        <w:t>All firm-level variables used in this dissertation were therefore re-collected from primary sources. An early test using the unverified bank shares appeared to show a significant effect on borrowing costs; with verified shares the effect disappeared. This illustrates why primary-source verification was essential, and the original dataset is not used in any result reported here.</w:t>
      </w:r>
    </w:p>
    <w:p>
      <w:pPr>
        <w:pStyle w:val="Normal"/>
        <w:keepNext w:val="true"/>
        <w:keepLines/>
        <w:spacing w:before="120" w:after="60"/>
        <w:jc w:val="left"/>
        <w:rPr/>
      </w:pPr>
      <w:r>
        <w:rPr>
          <w:b/>
          <w:bCs/>
          <w:sz w:val="22"/>
          <w:szCs w:val="22"/>
        </w:rPr>
        <w:t>Table 4.2: Firm sample and pre-policy bank dependence (30 September 2023)</w:t>
      </w:r>
    </w:p>
    <w:tbl>
      <w:tblPr>
        <w:tblW w:w="9026" w:type="dxa"/>
        <w:jc w:val="left"/>
        <w:tblInd w:w="0" w:type="dxa"/>
        <w:tblLayout w:type="fixed"/>
        <w:tblCellMar>
          <w:top w:w="50" w:type="dxa"/>
          <w:left w:w="90" w:type="dxa"/>
          <w:bottom w:w="50" w:type="dxa"/>
          <w:right w:w="90" w:type="dxa"/>
        </w:tblCellMar>
      </w:tblPr>
      <w:tblGrid>
        <w:gridCol w:w="3225"/>
        <w:gridCol w:w="1601"/>
        <w:gridCol w:w="2099"/>
        <w:gridCol w:w="2100"/>
      </w:tblGrid>
      <w:tr>
        <w:trPr>
          <w:tblHeader w:val="true"/>
        </w:trPr>
        <w:tc>
          <w:tcPr>
            <w:tcW w:w="32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verified from filing (%)</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(e.g. some include financial institutions). Source: Q2 FY2024 investor presentations; Shriram from its Q2 FY2025 presentation.</w:t>
      </w:r>
    </w:p>
    <w:p>
      <w:pPr>
        <w:pStyle w:val="Normal"/>
        <w:keepNext w:val="true"/>
        <w:keepLines/>
        <w:spacing w:before="120" w:after="60"/>
        <w:jc w:val="left"/>
        <w:rPr/>
      </w:pPr>
      <w:r>
        <w:rPr>
          <w:b/>
          <w:bCs/>
          <w:sz w:val="22"/>
          <w:szCs w:val="22"/>
        </w:rPr>
        <w:t>Table 4.3: Descriptive statistics of hand-collected firm-level variables</w:t>
      </w:r>
    </w:p>
    <w:tbl>
      <w:tblPr>
        <w:tblW w:w="9026" w:type="dxa"/>
        <w:jc w:val="left"/>
        <w:tblInd w:w="0" w:type="dxa"/>
        <w:tblLayout w:type="fixed"/>
        <w:tblCellMar>
          <w:top w:w="50" w:type="dxa"/>
          <w:left w:w="90" w:type="dxa"/>
          <w:bottom w:w="50" w:type="dxa"/>
          <w:right w:w="90" w:type="dxa"/>
        </w:tblCellMar>
      </w:tblPr>
      <w:tblGrid>
        <w:gridCol w:w="2125"/>
        <w:gridCol w:w="1500"/>
        <w:gridCol w:w="1500"/>
        <w:gridCol w:w="601"/>
        <w:gridCol w:w="799"/>
        <w:gridCol w:w="801"/>
        <w:gridCol w:w="800"/>
        <w:gridCol w:w="899"/>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8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 Q4 FY2026. Pre = up to Q2 FY2024 (September 2023); Post = Q3 FY2024 onward.</w:t>
      </w:r>
    </w:p>
    <w:p>
      <w:pPr>
        <w:pStyle w:val="Normal"/>
        <w:spacing w:lineRule="exact" w:line="360" w:before="0" w:after="120"/>
        <w:jc w:val="both"/>
        <w:rPr/>
      </w:pPr>
      <w:r>
        <w:rPr/>
        <w:t>Table 4.3 summarises the firm-level data. Average cost of funds rose for both groups after the policy — from 8.13 to 8.57 per cent for non-HFC NBFCs and from 7.30 to 7.93 per cent for HFCs — reflecting the general rise in interest rates. The bank share of borrowings, by contrast, rose by about 7.1 percentage points for HFCs but only 1.0 for non-HFC NBFCs. These raw differences motivate the formal tests in Chapter 8.</w:t>
      </w:r>
    </w:p>
    <w:p>
      <w:pPr>
        <w:pStyle w:val="Heading2"/>
        <w:spacing w:before="240" w:after="120"/>
        <w:rPr/>
      </w:pPr>
      <w:bookmarkStart w:id="27" w:name="__RefHeading___Toc3993_1073874868"/>
      <w:bookmarkEnd w:id="27"/>
      <w:r>
        <w:rPr/>
        <w:t>4.4 Descriptive statistics and correlations of the RBI series</w:t>
      </w:r>
    </w:p>
    <w:p>
      <w:pPr>
        <w:pStyle w:val="Normal"/>
        <w:keepNext w:val="true"/>
        <w:keepLines/>
        <w:spacing w:before="120" w:after="60"/>
        <w:jc w:val="left"/>
        <w:rPr/>
      </w:pPr>
      <w:r>
        <w:rPr>
          <w:b/>
          <w:bCs/>
          <w:sz w:val="22"/>
          <w:szCs w:val="22"/>
        </w:rPr>
        <w:t>Table 4.4: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559"/>
        <w:gridCol w:w="1600"/>
        <w:gridCol w:w="700"/>
        <w:gridCol w:w="1101"/>
        <w:gridCol w:w="1100"/>
        <w:gridCol w:w="1149"/>
        <w:gridCol w:w="1150"/>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1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3.07</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0.87</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2.61</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3.14</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2.43</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-3.45</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1.11</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w:t>
            </w:r>
          </w:p>
        </w:tc>
        <w:tc>
          <w:tcPr>
            <w:tcW w:w="11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2.38</w:t>
            </w:r>
          </w:p>
        </w:tc>
      </w:tr>
    </w:tbl>
    <w:p>
      <w:pPr>
        <w:pStyle w:val="Normal"/>
        <w:spacing w:before="0" w:after="200"/>
        <w:jc w:val="left"/>
        <w:rPr/>
      </w:pPr>
      <w:r>
        <w:rPr>
          <w:i/>
          <w:iCs/>
          <w:sz w:val="18"/>
          <w:szCs w:val="18"/>
        </w:rPr>
        <w:t>Monthly log growth × 100. Pre-policy: April 2021 – October 2023; post-policy: December 2023 – January 2025. July 2023 excluded for merger-affected series. Source: RBI DBIE Table 15.</w:t>
      </w:r>
    </w:p>
    <w:p>
      <w:pPr>
        <w:pStyle w:val="Normal"/>
        <w:spacing w:lineRule="exact" w:line="360" w:before="0" w:after="120"/>
        <w:jc w:val="both"/>
        <w:rPr/>
      </w:pPr>
      <w:r>
        <w:rPr/>
        <w:t>Table 4.4 shows that monthly growth of the targeted series is volatile: the standard deviation of monthly credit-card growth is larger than its mean. This volatility, much of it seasonal (festive-season card spending, quarter-end lending to NBFCs), is the main reason why the regression models in Chapters 7 and 8 explain only a small share of month-to-month variation even when the post-policy shift is large.</w:t>
      </w:r>
    </w:p>
    <w:p>
      <w:pPr>
        <w:pStyle w:val="Normal"/>
        <w:keepNext w:val="true"/>
        <w:keepLines/>
        <w:spacing w:before="120" w:after="60"/>
        <w:jc w:val="left"/>
        <w:rPr/>
      </w:pPr>
      <w:r>
        <w:rPr>
          <w:b/>
          <w:bCs/>
          <w:sz w:val="22"/>
          <w:szCs w:val="22"/>
        </w:rPr>
        <w:t>Table 4.5: Correlation matrix of monthly bank credit growth, April 2021 –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so each series carries largely independent information. The treated series are not strongly correlated with the control series, which is why the control groups are chosen on economic grounds (similar borrowers, exempt from the rule) rather than on statistical co-movement, and why the tests compare average growth before and after the policy rather than relying on month-to-month co-movement.</w:t>
      </w:r>
      <w:r>
        <w:br w:type="page"/>
      </w:r>
    </w:p>
    <w:p>
      <w:pPr>
        <w:pStyle w:val="Heading1"/>
        <w:spacing w:before="240" w:after="120"/>
        <w:jc w:val="center"/>
        <w:rPr/>
      </w:pPr>
      <w:bookmarkStart w:id="28" w:name="__RefHeading___Toc3995_1073874868"/>
      <w:bookmarkEnd w:id="28"/>
      <w:r>
        <w:rPr/>
        <w:t>5. ECONOMETRIC METHODOLOGY</w:t>
      </w:r>
    </w:p>
    <w:p>
      <w:pPr>
        <w:pStyle w:val="Heading2"/>
        <w:spacing w:before="240" w:after="120"/>
        <w:rPr/>
      </w:pPr>
      <w:bookmarkStart w:id="29" w:name="__RefHeading___Toc3997_1073874868"/>
      <w:bookmarkEnd w:id="29"/>
      <w:r>
        <w:rPr/>
        <w:t>5.1 Research design</w:t>
      </w:r>
    </w:p>
    <w:p>
      <w:pPr>
        <w:pStyle w:val="Normal"/>
        <w:spacing w:lineRule="exact" w:line="360" w:before="0" w:after="120"/>
        <w:jc w:val="both"/>
        <w:rPr/>
      </w:pPr>
      <w:r>
        <w:rPr/>
        <w:t>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w:t>
      </w:r>
    </w:p>
    <w:p>
      <w:pPr>
        <w:pStyle w:val="Normal"/>
        <w:spacing w:lineRule="exact" w:line="360" w:before="0" w:after="120"/>
        <w:jc w:val="both"/>
        <w:rPr/>
      </w:pPr>
      <w:r>
        <w:rPr/>
        <w:t>The main sample runs from April 2021 to January 2025, so that the post-policy period ends before the February 2025 rollback was announced. The first post-policy observation is the end of November 2023.</w:t>
      </w:r>
    </w:p>
    <w:p>
      <w:pPr>
        <w:pStyle w:val="Heading2"/>
        <w:spacing w:before="240" w:after="120"/>
        <w:rPr/>
      </w:pPr>
      <w:bookmarkStart w:id="30" w:name="__RefHeading___Toc3999_1073874868"/>
      <w:bookmarkEnd w:id="30"/>
      <w:r>
        <w:rPr/>
        <w:t>5.2 Aggregate tests</w:t>
      </w:r>
    </w:p>
    <w:p>
      <w:pPr>
        <w:pStyle w:val="Normal"/>
        <w:spacing w:lineRule="exact" w:line="360" w:before="0" w:after="120"/>
        <w:jc w:val="both"/>
        <w:rPr/>
      </w:pPr>
      <w:r>
        <w:rPr>
          <w:b/>
          <w:bCs/>
        </w:rPr>
        <w:t xml:space="preserve">Interrupted time series on the growth gap. </w:t>
      </w:r>
      <w:r>
        <w:rPr/>
        <w:t>For each month t, the growth gap is the average monthly growth of the treated categories minus that of the control categories. The gap is regressed on a constant and a post-policy indicator:</w:t>
      </w:r>
    </w:p>
    <w:p>
      <w:pPr>
        <w:pStyle w:val="Normal"/>
        <w:spacing w:lineRule="exact" w:line="360" w:before="0" w:after="120"/>
        <w:jc w:val="center"/>
        <w:rPr/>
      </w:pPr>
      <w:r>
        <w:rPr>
          <w:i/>
          <w:iCs/>
        </w:rPr>
        <w:t>Gap(t) = α + δ · Post(t) + ε(t)</w:t>
      </w:r>
    </w:p>
    <w:p>
      <w:pPr>
        <w:pStyle w:val="Normal"/>
        <w:spacing w:lineRule="exact" w:line="360" w:before="0" w:after="120"/>
        <w:jc w:val="both"/>
        <w:rPr/>
      </w:pPr>
      <w:r>
        <w:rPr/>
        <w:t>α is the average pre-policy gap and δ is the change in the gap after the policy — the difference-in-differences estimate. Standard errors are Newey–West with six lags to allow for autocorrelation and seasonality. Because the sample is short, Section 8.5 checks the results against classical, heteroskedasticity-robust and bootstrap standard errors and against a specification with calendar-month dummies.</w:t>
      </w:r>
    </w:p>
    <w:p>
      <w:pPr>
        <w:pStyle w:val="Normal"/>
        <w:spacing w:lineRule="exact" w:line="360" w:before="0" w:after="120"/>
        <w:jc w:val="both"/>
        <w:rPr/>
      </w:pPr>
      <w:r>
        <w:rPr>
          <w:b/>
          <w:bCs/>
        </w:rPr>
        <w:t xml:space="preserve">Panel difference-in-differences. </w:t>
      </w:r>
      <w:r>
        <w:rPr/>
        <w:t>As a second specification for H1, each category is treated as a separate series in a panel, with category fixed effects, month fixed effects and a Treated × Post interaction, estimated with the linearmodels PanelOLS estimator and Driscoll–Kraay standard errors (bandwidth six):</w:t>
      </w:r>
    </w:p>
    <w:p>
      <w:pPr>
        <w:pStyle w:val="Normal"/>
        <w:spacing w:lineRule="exact" w:line="360" w:before="0" w:after="120"/>
        <w:jc w:val="center"/>
        <w:rPr/>
      </w:pPr>
      <w:r>
        <w:rPr>
          <w:i/>
          <w:iCs/>
        </w:rPr>
        <w:t>g(i,t) = μ(i) + λ(t) + δ · Treated(i) × Post(t) + ε(i,t)</w:t>
      </w:r>
    </w:p>
    <w:p>
      <w:pPr>
        <w:pStyle w:val="Normal"/>
        <w:spacing w:lineRule="exact" w:line="360" w:before="0" w:after="120"/>
        <w:jc w:val="both"/>
        <w:rPr/>
      </w:pPr>
      <w:r>
        <w:rPr>
          <w:b/>
          <w:bCs/>
        </w:rPr>
        <w:t xml:space="preserve">Placebo tests. </w:t>
      </w:r>
      <w:r>
        <w:rPr/>
        <w:t>Both tests are repeated using only pre-policy data (April 2021 to October 2023) with a fictitious policy date of November 2022. A significant placebo effect would indicate that the groups were already diverging before the policy.</w:t>
      </w:r>
    </w:p>
    <w:p>
      <w:pPr>
        <w:pStyle w:val="Heading2"/>
        <w:spacing w:before="240" w:after="120"/>
        <w:rPr/>
      </w:pPr>
      <w:bookmarkStart w:id="31" w:name="__RefHeading___Toc4001_1073874868"/>
      <w:bookmarkEnd w:id="31"/>
      <w:r>
        <w:rPr/>
        <w:t>5.3 Hypothesis definitions</w:t>
      </w:r>
    </w:p>
    <w:p>
      <w:pPr>
        <w:pStyle w:val="Normal"/>
        <w:keepNext w:val="true"/>
        <w:keepLines/>
        <w:spacing w:before="120" w:after="60"/>
        <w:jc w:val="left"/>
        <w:rPr/>
      </w:pPr>
      <w:r>
        <w:rPr>
          <w:b/>
          <w:bCs/>
          <w:sz w:val="22"/>
          <w:szCs w:val="22"/>
        </w:rPr>
        <w:t>Table 5.1: Treatment and control groups</w:t>
      </w:r>
    </w:p>
    <w:tbl>
      <w:tblPr>
        <w:tblW w:w="9026" w:type="dxa"/>
        <w:jc w:val="left"/>
        <w:tblInd w:w="0" w:type="dxa"/>
        <w:tblLayout w:type="fixed"/>
        <w:tblCellMar>
          <w:top w:w="50" w:type="dxa"/>
          <w:left w:w="90" w:type="dxa"/>
          <w:bottom w:w="50" w:type="dxa"/>
          <w:right w:w="90" w:type="dxa"/>
        </w:tblCellMar>
      </w:tblPr>
      <w:tblGrid>
        <w:gridCol w:w="1899"/>
        <w:gridCol w:w="2601"/>
        <w:gridCol w:w="2700"/>
        <w:gridCol w:w="1825"/>
      </w:tblGrid>
      <w:tr>
        <w:trPr>
          <w:tblHeader w:val="true"/>
        </w:trPr>
        <w:tc>
          <w:tcPr>
            <w:tcW w:w="1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2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Treated (higher risk weight)</w:t>
            </w:r>
          </w:p>
        </w:tc>
        <w:tc>
          <w:tcPr>
            <w:tcW w:w="2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Control (exempt)</w:t>
            </w:r>
          </w:p>
        </w:tc>
        <w:tc>
          <w:tcPr>
            <w:tcW w:w="18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Expected sign of δ</w:t>
            </w:r>
          </w:p>
        </w:tc>
      </w:tr>
      <w:tr>
        <w:trPr/>
        <w:tc>
          <w:tcPr>
            <w:tcW w:w="1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consumer credit</w:t>
            </w:r>
          </w:p>
        </w:tc>
        <w:tc>
          <w:tcPr>
            <w:tcW w:w="2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Credit cards; other personal loans</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vehicle loans; education</w:t>
            </w:r>
          </w:p>
        </w:tc>
        <w:tc>
          <w:tcPr>
            <w:tcW w:w="1825"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bank funding</w:t>
            </w:r>
          </w:p>
        </w:tc>
        <w:tc>
          <w:tcPr>
            <w:tcW w:w="2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excluding HFCs</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 non-food bank credit</w:t>
            </w:r>
          </w:p>
        </w:tc>
        <w:tc>
          <w:tcPr>
            <w:tcW w:w="1825"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alternatives</w:t>
            </w:r>
          </w:p>
        </w:tc>
        <w:tc>
          <w:tcPr>
            <w:tcW w:w="2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ex-HFC / all NBFCs</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HFCs / total non-food credit</w:t>
            </w:r>
          </w:p>
        </w:tc>
        <w:tc>
          <w:tcPr>
            <w:tcW w:w="1825"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bl>
    <w:p>
      <w:pPr>
        <w:pStyle w:val="Heading2"/>
        <w:spacing w:before="240" w:after="120"/>
        <w:rPr/>
      </w:pPr>
      <w:bookmarkStart w:id="32" w:name="__RefHeading___Toc4003_1073874868"/>
      <w:bookmarkEnd w:id="32"/>
      <w:r>
        <w:rPr/>
        <w:t>5.4 Identifying assumptions and threats</w:t>
      </w:r>
    </w:p>
    <w:p>
      <w:pPr>
        <w:pStyle w:val="Normal"/>
        <w:spacing w:lineRule="exact" w:line="360" w:before="0" w:after="120"/>
        <w:jc w:val="both"/>
        <w:rPr/>
      </w:pPr>
      <w:r>
        <w:rPr/>
        <w:t>The key assumption is that, without the policy, the growth gap between treated and control credit would have stayed at its pre-policy average. Four threats are considered. (i) Pre-existing trends: if targeted credit was already slowing relative to controls, the estimate would be biased; the placebo tests and Figures 7.2 and 8.1 check this. (ii) Other shocks at the same time: the interest-rate cycle and economic growth affect treated and control credit alike and are differenced out; the repo rate was unchanged at 6.5 per cent throughout the main post-policy window. (iii) Spillovers: if banks redirected lending from targeted to exempt categories, the control group would grow faster and the estimate would overstate the absolute fall in targeted credit, though it would still measure the policy's effect on the relative allocation of credit. (iv) The HDFC merger in July 2023 changes the level of some series; using month-on-month growth and excluding the merger month removes its effect, and a robustness check drops the housing series entirely.</w:t>
      </w:r>
    </w:p>
    <w:p>
      <w:pPr>
        <w:pStyle w:val="Heading2"/>
        <w:spacing w:before="240" w:after="120"/>
        <w:rPr/>
      </w:pPr>
      <w:bookmarkStart w:id="33" w:name="__RefHeading___Toc4005_1073874868"/>
      <w:bookmarkEnd w:id="33"/>
      <w:r>
        <w:rPr/>
        <w:t>5.5 Firm-level tests</w:t>
      </w:r>
    </w:p>
    <w:p>
      <w:pPr>
        <w:pStyle w:val="Normal"/>
        <w:spacing w:lineRule="exact" w:line="360" w:before="0" w:after="120"/>
        <w:jc w:val="both"/>
        <w:rPr/>
      </w:pPr>
      <w:r>
        <w:rPr/>
        <w:t>Firm-level panels are estimated with two-way fixed effects (company and quarter) using PanelOLS. With 16 firms, inference uses the wild cluster bootstrap-t clustered by company (Webb six-point weights, 19,999 draws, null imposed). Three specifications are estimated: (i) cost of funds on Post × verified pre-policy bank share; (ii) bank share of borrowings on Post × non-HFC indicator, using the regulatory exemption of HFCs as the source of variation; and (iii) for Bajaj Finance, segment-level asset growth on Post × affected-segment indicator, with segment and quarter fixed effects.</w:t>
      </w:r>
      <w:r>
        <w:br w:type="page"/>
      </w:r>
    </w:p>
    <w:p>
      <w:pPr>
        <w:pStyle w:val="Heading1"/>
        <w:spacing w:before="240" w:after="120"/>
        <w:jc w:val="center"/>
        <w:rPr/>
      </w:pPr>
      <w:bookmarkStart w:id="34" w:name="__RefHeading___Toc4007_1073874868"/>
      <w:bookmarkEnd w:id="34"/>
      <w:r>
        <w:rPr/>
        <w:t>6. THEORETICAL FRAMEWORK</w:t>
      </w:r>
    </w:p>
    <w:p>
      <w:pPr>
        <w:pStyle w:val="Heading2"/>
        <w:spacing w:before="240" w:after="120"/>
        <w:rPr/>
      </w:pPr>
      <w:bookmarkStart w:id="35" w:name="__RefHeading___Toc4009_1073874868"/>
      <w:bookmarkEnd w:id="35"/>
      <w:r>
        <w:rPr/>
        <w:t>6.1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has to hold more capital (which is costly) or lend less in that category. The November 2023 circular raised risk weights on two links in the credit chain at once. Table 6.1 traces each link from the regulatory change to the variable that is observed in the data and the hypothesis that tests it.</w:t>
      </w:r>
    </w:p>
    <w:p>
      <w:pPr>
        <w:pStyle w:val="Normal"/>
        <w:keepNext w:val="true"/>
        <w:keepLines/>
        <w:spacing w:before="120" w:after="60"/>
        <w:jc w:val="left"/>
        <w:rPr/>
      </w:pPr>
      <w:r>
        <w:rPr>
          <w:b/>
          <w:bCs/>
          <w:sz w:val="22"/>
          <w:szCs w:val="22"/>
        </w:rPr>
        <w:t>Table 6.1: Transmission channels, observable variables and hypotheses</w:t>
      </w:r>
    </w:p>
    <w:tbl>
      <w:tblPr>
        <w:tblW w:w="9360" w:type="dxa"/>
        <w:jc w:val="left"/>
        <w:tblInd w:w="0" w:type="dxa"/>
        <w:tblLayout w:type="fixed"/>
        <w:tblCellMar>
          <w:top w:w="50" w:type="dxa"/>
          <w:left w:w="90" w:type="dxa"/>
          <w:bottom w:w="50" w:type="dxa"/>
          <w:right w:w="90" w:type="dxa"/>
        </w:tblCellMar>
      </w:tblPr>
      <w:tblGrid>
        <w:gridCol w:w="1699"/>
        <w:gridCol w:w="3000"/>
        <w:gridCol w:w="3061"/>
        <w:gridCol w:w="15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3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variable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 banks slow or reprice such lending</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cards and other personal loans relative to exempt household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1 (H1)</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 banks slow lending to NBFCs (HFCs exempt)</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NBFCs ex-HFC relative to total 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2 (H2)</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cost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NBFCs face dearer or scarcer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cost of funds of each NBFC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3</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Non-exempt NBFCs substitute bonds, CP and other funding for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share of each NBFC's borrowings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4</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lending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NBFCs slow affected consumer segments relative to exempt segments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Segment-wise AUM growth of Bajaj Finance</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5</w:t>
            </w:r>
          </w:p>
        </w:tc>
      </w:tr>
    </w:tbl>
    <w:p>
      <w:pPr>
        <w:pStyle w:val="Heading2"/>
        <w:spacing w:before="240" w:after="120"/>
        <w:rPr/>
      </w:pPr>
      <w:bookmarkStart w:id="36" w:name="__RefHeading___Toc4011_1073874868"/>
      <w:bookmarkEnd w:id="36"/>
      <w:r>
        <w:rPr/>
        <w:t>6.2 Variables</w:t>
      </w:r>
    </w:p>
    <w:p>
      <w:pPr>
        <w:pStyle w:val="Normal"/>
        <w:keepNext w:val="true"/>
        <w:keepLines/>
        <w:spacing w:before="120" w:after="60"/>
        <w:jc w:val="left"/>
        <w:rPr/>
      </w:pPr>
      <w:r>
        <w:rPr>
          <w:b/>
          <w:bCs/>
          <w:sz w:val="22"/>
          <w:szCs w:val="22"/>
        </w:rPr>
        <w:t>Table 6.2: Definition of variables</w:t>
      </w:r>
    </w:p>
    <w:tbl>
      <w:tblPr>
        <w:tblW w:w="9360" w:type="dxa"/>
        <w:jc w:val="left"/>
        <w:tblInd w:w="0" w:type="dxa"/>
        <w:tblLayout w:type="fixed"/>
        <w:tblCellMar>
          <w:top w:w="50" w:type="dxa"/>
          <w:left w:w="90" w:type="dxa"/>
          <w:bottom w:w="50" w:type="dxa"/>
          <w:right w:w="90" w:type="dxa"/>
        </w:tblCellMar>
      </w:tblPr>
      <w:tblGrid>
        <w:gridCol w:w="2000"/>
        <w:gridCol w:w="1700"/>
        <w:gridCol w:w="4159"/>
        <w:gridCol w:w="15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41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1)</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2)</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g(i,t)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(panel)</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category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COF(f,q)</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3)</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Cost of funds of firm f in quarter q,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BankShare(f,q)</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4)</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borrowings as a share of total borrowings,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AUMgrowth(s,q)</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5)</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log growth of Bajaj Finance segment AUM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from end-November 2023 (Q3 FY2024 for quarterly data), 0 before</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Treated(i) × Post(t)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targeted categories / firms / segments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BankShare2023(f) × Post(q)</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 3)</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Verified bank share at 30 September 2023 interacted with Post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Q2 FY2024 presentations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NonHFC(f) × Post(q)</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 4)</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NBFCs other than HFCs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 effects</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41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Category / firm / segment and month / quarter effects; month-of-year dummies in robustness tests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Heading2"/>
        <w:spacing w:before="240" w:after="120"/>
        <w:rPr/>
      </w:pPr>
      <w:bookmarkStart w:id="37" w:name="__RefHeading___Toc4013_1073874868"/>
      <w:bookmarkEnd w:id="37"/>
      <w:r>
        <w:rPr/>
        <w:t>6.3 Model 1: consumer-credit channel (H1)</w:t>
      </w:r>
    </w:p>
    <w:p>
      <w:pPr>
        <w:pStyle w:val="Normal"/>
        <w:spacing w:lineRule="exact" w:line="360" w:before="0" w:after="120"/>
        <w:jc w:val="center"/>
        <w:rPr/>
      </w:pPr>
      <w:r>
        <w:rPr>
          <w:i/>
          <w:iCs/>
        </w:rPr>
        <w:t>Gap1(t) = α₁ + δ₁ · Post(t) + ε(t)</w:t>
      </w:r>
    </w:p>
    <w:p>
      <w:pPr>
        <w:pStyle w:val="Normal"/>
        <w:spacing w:lineRule="exact" w:line="360" w:before="0" w:after="120"/>
        <w:jc w:val="both"/>
        <w:rPr/>
      </w:pPr>
      <w:r>
        <w:rPr>
          <w:b/>
          <w:bCs/>
        </w:rPr>
        <w:t xml:space="preserve">Null hypothesis H0: </w:t>
      </w:r>
      <w:r>
        <w:rPr/>
        <w:t>δ₁ = 0 — the higher risk weight did not change the growth of targeted consumer credit relative to exempt household credit.</w:t>
      </w:r>
    </w:p>
    <w:p>
      <w:pPr>
        <w:pStyle w:val="Normal"/>
        <w:spacing w:lineRule="exact" w:line="360" w:before="0" w:after="120"/>
        <w:jc w:val="both"/>
        <w:rPr/>
      </w:pPr>
      <w:r>
        <w:rPr>
          <w:b/>
          <w:bCs/>
        </w:rPr>
        <w:t xml:space="preserve">Alternative hypothesis H1: </w:t>
      </w:r>
      <w:r>
        <w:rPr/>
        <w:t>δ₁ &lt; 0 — growth of targeted consumer credit fell relative to exempt household credit after the policy.</w:t>
      </w:r>
    </w:p>
    <w:p>
      <w:pPr>
        <w:pStyle w:val="Heading2"/>
        <w:spacing w:before="240" w:after="120"/>
        <w:rPr/>
      </w:pPr>
      <w:bookmarkStart w:id="38" w:name="__RefHeading___Toc4015_1073874868"/>
      <w:bookmarkEnd w:id="38"/>
      <w:r>
        <w:rPr/>
        <w:t>6.4 Model 2: bank-funding channel (H2)</w:t>
      </w:r>
    </w:p>
    <w:p>
      <w:pPr>
        <w:pStyle w:val="Normal"/>
        <w:spacing w:lineRule="exact" w:line="360" w:before="0" w:after="120"/>
        <w:jc w:val="center"/>
        <w:rPr/>
      </w:pPr>
      <w:r>
        <w:rPr>
          <w:i/>
          <w:iCs/>
        </w:rPr>
        <w:t>Gap2(t) = α₂ + δ₂ · Post(t) + ε(t)</w:t>
      </w:r>
    </w:p>
    <w:p>
      <w:pPr>
        <w:pStyle w:val="Normal"/>
        <w:spacing w:lineRule="exact" w:line="360" w:before="0" w:after="120"/>
        <w:jc w:val="both"/>
        <w:rPr/>
      </w:pPr>
      <w:r>
        <w:rPr>
          <w:b/>
          <w:bCs/>
        </w:rPr>
        <w:t xml:space="preserve">Null hypothesis H0: </w:t>
      </w:r>
      <w:r>
        <w:rPr/>
        <w:t>δ₂ = 0 — the higher risk weight on bank loans to NBFCs did not change the growth of bank credit to NBFCs relative to total bank credit.</w:t>
      </w:r>
    </w:p>
    <w:p>
      <w:pPr>
        <w:pStyle w:val="Normal"/>
        <w:spacing w:lineRule="exact" w:line="360" w:before="0" w:after="120"/>
        <w:jc w:val="both"/>
        <w:rPr/>
      </w:pPr>
      <w:r>
        <w:rPr>
          <w:b/>
          <w:bCs/>
        </w:rPr>
        <w:t xml:space="preserve">Alternative hypothesis H1: </w:t>
      </w:r>
      <w:r>
        <w:rPr/>
        <w:t>δ₂ &lt; 0 — growth of bank credit to NBFCs (excluding HFCs) fell relative to total bank credit after the policy.</w:t>
      </w:r>
    </w:p>
    <w:p>
      <w:pPr>
        <w:pStyle w:val="Heading2"/>
        <w:spacing w:before="240" w:after="120"/>
        <w:rPr/>
      </w:pPr>
      <w:bookmarkStart w:id="39" w:name="__RefHeading___Toc4017_1073874868"/>
      <w:bookmarkEnd w:id="39"/>
      <w:r>
        <w:rPr/>
        <w:t>6.5 Supporting firm-level models (Models 3–5)</w:t>
      </w:r>
    </w:p>
    <w:p>
      <w:pPr>
        <w:pStyle w:val="Normal"/>
        <w:spacing w:lineRule="exact" w:line="360" w:before="0" w:after="120"/>
        <w:jc w:val="center"/>
        <w:rPr/>
      </w:pPr>
      <w:r>
        <w:rPr>
          <w:i/>
          <w:iCs/>
        </w:rPr>
        <w:t>Model 3: COF(f,q) = μ(f) + λ(q) + β₃ · BankShare2023(f) × Post(q) + ε(f,q)</w:t>
      </w:r>
    </w:p>
    <w:p>
      <w:pPr>
        <w:pStyle w:val="Normal"/>
        <w:spacing w:lineRule="exact" w:line="360" w:before="0" w:after="120"/>
        <w:jc w:val="center"/>
        <w:rPr/>
      </w:pPr>
      <w:r>
        <w:rPr>
          <w:i/>
          <w:iCs/>
        </w:rPr>
        <w:t>Model 4: BankShare(f,q) = μ(f) + λ(q) + β₄ · NonHFC(f) × Post(q) + ε(f,q)</w:t>
      </w:r>
    </w:p>
    <w:p>
      <w:pPr>
        <w:pStyle w:val="Normal"/>
        <w:spacing w:lineRule="exact" w:line="360" w:before="0" w:after="120"/>
        <w:jc w:val="center"/>
        <w:rPr/>
      </w:pPr>
      <w:r>
        <w:rPr>
          <w:i/>
          <w:iCs/>
        </w:rPr>
        <w:t>Model 5: AUMgrowth(s,q) = μ(s) + λ(q) + β₅ · Affected(s) × Post(q) + ε(s,q)</w:t>
      </w:r>
    </w:p>
    <w:p>
      <w:pPr>
        <w:pStyle w:val="Normal"/>
        <w:keepNext w:val="true"/>
        <w:keepLines/>
        <w:spacing w:before="120" w:after="60"/>
        <w:jc w:val="left"/>
        <w:rPr/>
      </w:pPr>
      <w:r>
        <w:rPr>
          <w:b/>
          <w:bCs/>
          <w:sz w:val="22"/>
          <w:szCs w:val="22"/>
        </w:rPr>
        <w:t>Table 6.3: Summary of hypotheses</w:t>
      </w:r>
    </w:p>
    <w:tbl>
      <w:tblPr>
        <w:tblW w:w="9360" w:type="dxa"/>
        <w:jc w:val="left"/>
        <w:tblInd w:w="0" w:type="dxa"/>
        <w:tblLayout w:type="fixed"/>
        <w:tblCellMar>
          <w:top w:w="50" w:type="dxa"/>
          <w:left w:w="90" w:type="dxa"/>
          <w:bottom w:w="50" w:type="dxa"/>
          <w:right w:w="90" w:type="dxa"/>
        </w:tblCellMar>
      </w:tblPr>
      <w:tblGrid>
        <w:gridCol w:w="900"/>
        <w:gridCol w:w="1100"/>
        <w:gridCol w:w="1499"/>
        <w:gridCol w:w="3561"/>
        <w:gridCol w:w="2300"/>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H0</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H1 (alternative)</w:t>
            </w:r>
          </w:p>
        </w:tc>
        <w:tc>
          <w:tcPr>
            <w:tcW w:w="35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2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 0</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&lt; 0</w:t>
            </w:r>
          </w:p>
        </w:tc>
        <w:tc>
          <w:tcPr>
            <w:tcW w:w="35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Newey–West SE; panel with Driscoll–Kraay SE</w:t>
            </w:r>
          </w:p>
        </w:tc>
        <w:tc>
          <w:tcPr>
            <w:tcW w:w="2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 0</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&lt; 0</w:t>
            </w:r>
          </w:p>
        </w:tc>
        <w:tc>
          <w:tcPr>
            <w:tcW w:w="35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Newey–West SE</w:t>
            </w:r>
          </w:p>
        </w:tc>
        <w:tc>
          <w:tcPr>
            <w:tcW w:w="2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 0</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&gt; 0</w:t>
            </w:r>
          </w:p>
        </w:tc>
        <w:tc>
          <w:tcPr>
            <w:tcW w:w="35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 0</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&lt; 0</w:t>
            </w:r>
          </w:p>
        </w:tc>
        <w:tc>
          <w:tcPr>
            <w:tcW w:w="35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 0</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&lt; 0</w:t>
            </w:r>
          </w:p>
        </w:tc>
        <w:tc>
          <w:tcPr>
            <w:tcW w:w="35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Driscoll–Kraay SE</w:t>
            </w:r>
          </w:p>
        </w:tc>
        <w:tc>
          <w:tcPr>
            <w:tcW w:w="2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bl>
    <w:p>
      <w:pPr>
        <w:pStyle w:val="Normal"/>
        <w:spacing w:before="0" w:after="200"/>
        <w:jc w:val="left"/>
        <w:rPr/>
      </w:pPr>
      <w:r>
        <w:rPr>
          <w:i/>
          <w:iCs/>
          <w:sz w:val="18"/>
          <w:szCs w:val="18"/>
        </w:rPr>
        <w:t>All p-values reported in this dissertation are two-sided, which is conservative relative to the one-sided alternatives.</w:t>
      </w:r>
      <w:r>
        <w:br w:type="page"/>
      </w:r>
    </w:p>
    <w:p>
      <w:pPr>
        <w:pStyle w:val="Heading1"/>
        <w:spacing w:before="240" w:after="120"/>
        <w:jc w:val="center"/>
        <w:rPr/>
      </w:pPr>
      <w:bookmarkStart w:id="40" w:name="__RefHeading___Toc4019_1073874868"/>
      <w:bookmarkEnd w:id="40"/>
      <w:r>
        <w:rPr/>
        <w:t>7. EMPIRICAL FINDINGS AND RESULTS: H1 — CONSUMER-CREDIT CHANNEL</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July 2023 merger month set to zero growth for affected series.</w:t>
      </w:r>
    </w:p>
    <w:p>
      <w:pPr>
        <w:pStyle w:val="Normal"/>
        <w:spacing w:lineRule="exact" w:line="360" w:before="0" w:after="120"/>
        <w:jc w:val="both"/>
        <w:rPr/>
      </w:pPr>
      <w:r>
        <w:rPr/>
        <w:t>Figure 7.1 (left panel) shows the raw data. Before November 2023, bank credit to cards and personal loans was growing much faster than exempt household credit and was catching up rapidly. After the policy, the two series moved together, and from 2025 targeted credit fell behind.</w:t>
      </w:r>
    </w:p>
    <w:p>
      <w:pPr>
        <w:pStyle w:val="Normal"/>
        <w:keepNext w:val="true"/>
        <w:keepLines/>
        <w:spacing w:before="120" w:after="60"/>
        <w:jc w:val="left"/>
        <w:rPr/>
      </w:pPr>
      <w:r>
        <w:rPr>
          <w:b/>
          <w:bCs/>
          <w:sz w:val="22"/>
          <w:szCs w:val="22"/>
        </w:rPr>
        <w:t>Table 7.1: H1 — effect of the consumer-credit risk weight on targeted credit growth</w:t>
      </w:r>
    </w:p>
    <w:tbl>
      <w:tblPr>
        <w:tblW w:w="9026" w:type="dxa"/>
        <w:jc w:val="left"/>
        <w:tblInd w:w="0" w:type="dxa"/>
        <w:tblLayout w:type="fixed"/>
        <w:tblCellMar>
          <w:top w:w="50" w:type="dxa"/>
          <w:left w:w="90" w:type="dxa"/>
          <w:bottom w:w="50" w:type="dxa"/>
          <w:right w:w="90" w:type="dxa"/>
        </w:tblCellMar>
      </w:tblPr>
      <w:tblGrid>
        <w:gridCol w:w="3225"/>
        <w:gridCol w:w="1300"/>
        <w:gridCol w:w="1100"/>
        <w:gridCol w:w="1101"/>
        <w:gridCol w:w="1299"/>
        <w:gridCol w:w="1000"/>
      </w:tblGrid>
      <w:tr>
        <w:trPr>
          <w:tblHeader w:val="true"/>
        </w:trPr>
        <w:tc>
          <w:tcPr>
            <w:tcW w:w="32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Interrupted time series (Newey–West)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46</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Panel DiD (Driscoll–Kraay)</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229</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0.175</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r>
      <w:tr>
        <w:trPr/>
        <w:tc>
          <w:tcPr>
            <w:tcW w:w="3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panel</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0.231</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bl>
    <w:p>
      <w:pPr>
        <w:pStyle w:val="Normal"/>
        <w:spacing w:before="0" w:after="200"/>
        <w:jc w:val="left"/>
        <w:rPr/>
      </w:pPr>
      <w:r>
        <w:rPr>
          <w:i/>
          <w:iCs/>
          <w:sz w:val="18"/>
          <w:szCs w:val="18"/>
        </w:rPr>
        <w:t>Sample April 2021 – January 2025 (placebo: April 2021 – October 2023). δ is the change in the monthly growth gap between treated and control categories after the policy date.</w:t>
      </w:r>
    </w:p>
    <w:p>
      <w:pPr>
        <w:pStyle w:val="Normal"/>
        <w:spacing w:lineRule="exact" w:line="360" w:before="0" w:after="120"/>
        <w:jc w:val="both"/>
        <w:rPr/>
      </w:pPr>
      <w:r>
        <w:rPr/>
        <w:t>The estimates support H1. After the policy, monthly growth of the targeted categories fell by 0.66 percentage points relative to exempt categories (p = 0.002); the panel specification gives the same point estimate with p = 0.008. Annualised, this is a slowdown of about 7.9 percentage points a year in targeted credit growth relative to exempt credit — large compared with the pre-policy growth rates of 20–23 per cent. The placebo estimates are positive and insignificant (p = 0.175 and 0.231): before the policy, if anything, the targeted categories were accelerating relative to the controls. The significance of the main estimate relies on autocorrelation-robust standard errors; Sections 7.3 and 8.5 report the classical ANOVA results and alternative inference methods, under which the evidence for H1 is weaker.</w:t>
      </w:r>
    </w:p>
    <w:p>
      <w:pPr>
        <w:pStyle w:val="Normal"/>
        <w:keepNext w:val="true"/>
        <w:keepLines/>
        <w:spacing w:before="120" w:after="60"/>
        <w:jc w:val="left"/>
        <w:rPr/>
      </w:pPr>
      <w:r>
        <w:rPr>
          <w:b/>
          <w:bCs/>
          <w:sz w:val="22"/>
          <w:szCs w:val="22"/>
        </w:rPr>
        <w:t>Figure 7.2: Monthly growth gap, targeted minus exempt consumer credit (quarterly averages)</w:t>
      </w:r>
    </w:p>
    <w:p>
      <w:pPr>
        <w:pStyle w:val="Normal"/>
        <w:keepNext w:val="true"/>
        <w:jc w:val="center"/>
        <w:rPr/>
      </w:pPr>
      <w:r>
        <w:rPr/>
        <w:drawing>
          <wp:inline distT="0" distB="0" distL="0" distR="0">
            <wp:extent cx="5334000" cy="2266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Dashed line: pre-policy average gap.</w:t>
      </w:r>
    </w:p>
    <w:p>
      <w:pPr>
        <w:pStyle w:val="Heading2"/>
        <w:spacing w:before="240" w:after="120"/>
        <w:rPr/>
      </w:pPr>
      <w:bookmarkStart w:id="41" w:name="__RefHeading___Toc4021_1073874868"/>
      <w:bookmarkEnd w:id="41"/>
      <w:r>
        <w:rPr/>
        <w:t>7.1 Robustness</w:t>
      </w:r>
    </w:p>
    <w:p>
      <w:pPr>
        <w:pStyle w:val="Normal"/>
        <w:keepNext w:val="true"/>
        <w:keepLines/>
        <w:spacing w:before="120" w:after="60"/>
        <w:jc w:val="left"/>
        <w:rPr/>
      </w:pPr>
      <w:r>
        <w:rPr>
          <w:b/>
          <w:bCs/>
          <w:sz w:val="22"/>
          <w:szCs w:val="22"/>
        </w:rPr>
        <w:t>Table 7.2: H1 robustness (panel DiD, Driscoll–Kraay standard errors)</w:t>
      </w:r>
    </w:p>
    <w:tbl>
      <w:tblPr>
        <w:tblW w:w="9026" w:type="dxa"/>
        <w:jc w:val="left"/>
        <w:tblInd w:w="0" w:type="dxa"/>
        <w:tblLayout w:type="fixed"/>
        <w:tblCellMar>
          <w:top w:w="50" w:type="dxa"/>
          <w:left w:w="90" w:type="dxa"/>
          <w:bottom w:w="50" w:type="dxa"/>
          <w:right w:w="90" w:type="dxa"/>
        </w:tblCellMar>
      </w:tblPr>
      <w:tblGrid>
        <w:gridCol w:w="4225"/>
        <w:gridCol w:w="1300"/>
        <w:gridCol w:w="1201"/>
        <w:gridCol w:w="1199"/>
        <w:gridCol w:w="1101"/>
      </w:tblGrid>
      <w:tr>
        <w:trPr>
          <w:tblHeader w:val="true"/>
        </w:trPr>
        <w:tc>
          <w:tcPr>
            <w:tcW w:w="42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2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credit cards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other personal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housing (merger-affected)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184</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vehicle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0.30</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education</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-0.47</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Add gold loans to control</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-1.75</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275</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pre-period (from Apr-2022)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w:t>
            </w:r>
          </w:p>
        </w:tc>
      </w:tr>
      <w:tr>
        <w:trPr/>
        <w:tc>
          <w:tcPr>
            <w:tcW w:w="42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post-period (to Oct-2024)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bl>
    <w:p>
      <w:pPr>
        <w:pStyle w:val="Normal"/>
        <w:spacing w:lineRule="exact" w:line="360" w:before="0" w:after="120"/>
        <w:jc w:val="both"/>
        <w:rPr/>
      </w:pPr>
      <w:r>
        <w:rPr/>
        <w:t>The effect is negative in every specification. It is significant at the 5 per cent level in most, including when credit cards or the merger-affected housing series are dropped, when gold loans are added to the control group, and with shorter pre- or post-periods. Dropping other personal loans (leaving only credit cards as treated) or dropping education from the control group weakens significance to about the 10 per cent level, reflecting the smaller and more volatile series that remain.</w:t>
      </w:r>
    </w:p>
    <w:p>
      <w:pPr>
        <w:pStyle w:val="Heading2"/>
        <w:spacing w:before="240" w:after="120"/>
        <w:rPr/>
      </w:pPr>
      <w:bookmarkStart w:id="42" w:name="__RefHeading___Toc4023_1073874868"/>
      <w:bookmarkEnd w:id="42"/>
      <w:r>
        <w:rPr/>
        <w:t>7.2 Economic magnitude</w:t>
      </w:r>
    </w:p>
    <w:p>
      <w:pPr>
        <w:pStyle w:val="Normal"/>
        <w:spacing w:lineRule="exact" w:line="360" w:before="0" w:after="120"/>
        <w:jc w:val="both"/>
        <w:rPr/>
      </w:pPr>
      <w:r>
        <w:rPr/>
        <w:t>To put the estimate in rupee terms, suppose targeted consumer credit had continued to grow at its pre-policy pace relative to exempt credit. Over the 15 months from November 2023 to January 2025, a monthly shortfall of 0.66 percentage points accumulates to about 10.4 per cent. With ₹18.0 lakh crore of bank credit outstanding to cards and other personal loans in January 2025, this implies roughly ₹1.9 lakh crore less targeted credit than would otherwise have been extended. This is an approximate figure: it assumes the pre-policy relative growth would have continued, which may overstate the counterfactual given how fast unsecured credit had been growing.</w:t>
      </w:r>
    </w:p>
    <w:p>
      <w:pPr>
        <w:pStyle w:val="Heading2"/>
        <w:spacing w:before="240" w:after="120"/>
        <w:rPr/>
      </w:pPr>
      <w:bookmarkStart w:id="43" w:name="__RefHeading___Toc4025_1073874868"/>
      <w:bookmarkEnd w:id="43"/>
      <w:r>
        <w:rPr/>
        <w:t>7.3 Model summary, ANOVA and model equation</w:t>
      </w:r>
    </w:p>
    <w:p>
      <w:pPr>
        <w:pStyle w:val="Normal"/>
        <w:keepNext w:val="true"/>
        <w:keepLines/>
        <w:spacing w:before="120" w:after="60"/>
        <w:jc w:val="left"/>
        <w:rPr/>
      </w:pPr>
      <w:r>
        <w:rPr>
          <w:b/>
          <w:bCs/>
          <w:sz w:val="22"/>
          <w:szCs w:val="22"/>
        </w:rPr>
        <w:t>Table 7.3: Model 1 — model summary</w:t>
      </w:r>
    </w:p>
    <w:tbl>
      <w:tblPr>
        <w:tblW w:w="9360" w:type="dxa"/>
        <w:jc w:val="left"/>
        <w:tblInd w:w="0" w:type="dxa"/>
        <w:tblLayout w:type="fixed"/>
        <w:tblCellMar>
          <w:top w:w="50" w:type="dxa"/>
          <w:left w:w="90" w:type="dxa"/>
          <w:bottom w:w="50" w:type="dxa"/>
          <w:right w:w="90" w:type="dxa"/>
        </w:tblCellMar>
      </w:tblPr>
      <w:tblGrid>
        <w:gridCol w:w="1199"/>
        <w:gridCol w:w="1301"/>
        <w:gridCol w:w="1300"/>
        <w:gridCol w:w="1599"/>
        <w:gridCol w:w="2161"/>
        <w:gridCol w:w="1799"/>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1.52</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2.21</w:t>
            </w:r>
          </w:p>
        </w:tc>
      </w:tr>
    </w:tbl>
    <w:p>
      <w:pPr>
        <w:pStyle w:val="Normal"/>
        <w:spacing w:before="0" w:after="200"/>
        <w:jc w:val="left"/>
        <w:rPr/>
      </w:pPr>
      <w:r>
        <w:rPr>
          <w:i/>
          <w:iCs/>
          <w:sz w:val="18"/>
          <w:szCs w:val="18"/>
        </w:rPr>
        <w:t>Predictor: (Constant), Post. Dependent variable: Gap1 (targeted minus exempt consumer credit growth).</w:t>
      </w:r>
    </w:p>
    <w:p>
      <w:pPr>
        <w:pStyle w:val="Normal"/>
        <w:spacing w:lineRule="exact" w:line="360" w:before="0" w:after="120"/>
        <w:jc w:val="both"/>
        <w:rPr/>
      </w:pPr>
      <w:r>
        <w:rPr>
          <w:b/>
          <w:bCs/>
        </w:rPr>
        <w:t xml:space="preserve">ANOVA. Null hypothesis: </w:t>
      </w:r>
      <w:r>
        <w:rPr/>
        <w:t xml:space="preserve">Post has no effect on the growth gap (δ = 0). </w:t>
      </w:r>
      <w:r>
        <w:rPr>
          <w:b/>
          <w:bCs/>
        </w:rPr>
        <w:t xml:space="preserve">Alternative hypothesis: </w:t>
      </w:r>
      <w:r>
        <w:rPr/>
        <w:t>δ ≠ 0.</w:t>
      </w:r>
    </w:p>
    <w:p>
      <w:pPr>
        <w:pStyle w:val="Normal"/>
        <w:keepNext w:val="true"/>
        <w:keepLines/>
        <w:spacing w:before="120" w:after="60"/>
        <w:jc w:val="left"/>
        <w:rPr/>
      </w:pPr>
      <w:r>
        <w:rPr>
          <w:b/>
          <w:bCs/>
          <w:sz w:val="22"/>
          <w:szCs w:val="22"/>
        </w:rPr>
        <w:t>Table 7.4: Model 1 — ANOVA</w:t>
      </w:r>
    </w:p>
    <w:tbl>
      <w:tblPr>
        <w:tblW w:w="9360" w:type="dxa"/>
        <w:jc w:val="left"/>
        <w:tblInd w:w="0" w:type="dxa"/>
        <w:tblLayout w:type="fixed"/>
        <w:tblCellMar>
          <w:top w:w="50" w:type="dxa"/>
          <w:left w:w="90" w:type="dxa"/>
          <w:bottom w:w="50" w:type="dxa"/>
          <w:right w:w="90" w:type="dxa"/>
        </w:tblCellMar>
      </w:tblPr>
      <w:tblGrid>
        <w:gridCol w:w="1959"/>
        <w:gridCol w:w="1700"/>
        <w:gridCol w:w="901"/>
        <w:gridCol w:w="1699"/>
        <w:gridCol w:w="1501"/>
        <w:gridCol w:w="1599"/>
      </w:tblGrid>
      <w:tr>
        <w:trPr>
          <w:tblHeader w:val="true"/>
        </w:trPr>
        <w:tc>
          <w:tcPr>
            <w:tcW w:w="1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Regression</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0.181</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Residual</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105.78</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spacing w:before="0" w:after="200"/>
        <w:jc w:val="left"/>
        <w:rPr/>
      </w:pPr>
      <w:r>
        <w:rPr>
          <w:i/>
          <w:iCs/>
          <w:sz w:val="18"/>
          <w:szCs w:val="18"/>
        </w:rPr>
        <w:t>Classical OLS F-test, which assumes serially uncorrelated, homoskedastic errors.</w:t>
      </w:r>
    </w:p>
    <w:p>
      <w:pPr>
        <w:pStyle w:val="Normal"/>
        <w:keepNext w:val="true"/>
        <w:keepLines/>
        <w:spacing w:before="120" w:after="60"/>
        <w:jc w:val="left"/>
        <w:rPr/>
      </w:pPr>
      <w:r>
        <w:rPr>
          <w:b/>
          <w:bCs/>
          <w:sz w:val="22"/>
          <w:szCs w:val="22"/>
        </w:rPr>
        <w:t>Table 7.5: Model 1 — coefficients</w:t>
      </w:r>
    </w:p>
    <w:tbl>
      <w:tblPr>
        <w:tblW w:w="9360" w:type="dxa"/>
        <w:jc w:val="left"/>
        <w:tblInd w:w="0" w:type="dxa"/>
        <w:tblLayout w:type="fixed"/>
        <w:tblCellMar>
          <w:top w:w="50" w:type="dxa"/>
          <w:left w:w="90" w:type="dxa"/>
          <w:bottom w:w="50" w:type="dxa"/>
          <w:right w:w="90" w:type="dxa"/>
        </w:tblCellMar>
      </w:tblPr>
      <w:tblGrid>
        <w:gridCol w:w="1959"/>
        <w:gridCol w:w="1301"/>
        <w:gridCol w:w="2299"/>
        <w:gridCol w:w="1200"/>
        <w:gridCol w:w="1300"/>
        <w:gridCol w:w="1300"/>
      </w:tblGrid>
      <w:tr>
        <w:trPr>
          <w:tblHeader w:val="true"/>
        </w:trPr>
        <w:tc>
          <w:tcPr>
            <w:tcW w:w="1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w:t>
            </w:r>
          </w:p>
        </w:tc>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(Newey–West)</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VIF</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(Constant)</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2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2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-3.07</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lineRule="exact" w:line="360" w:before="0" w:after="120"/>
        <w:jc w:val="both"/>
        <w:rPr/>
      </w:pPr>
      <w:r>
        <w:rPr>
          <w:b/>
          <w:bCs/>
        </w:rPr>
        <w:t xml:space="preserve">Model equation: </w:t>
      </w:r>
      <w:r>
        <w:rPr>
          <w:i/>
          <w:iCs/>
        </w:rPr>
        <w:t>Gap1(t) = 0.67 − 0.66 · Post(t)</w:t>
      </w:r>
    </w:p>
    <w:p>
      <w:pPr>
        <w:pStyle w:val="Normal"/>
        <w:spacing w:lineRule="exact" w:line="360" w:before="0" w:after="120"/>
        <w:jc w:val="both"/>
        <w:rPr/>
      </w:pPr>
      <w:r>
        <w:rPr/>
        <w:t>Interpretation. Model 1 explains only 4.0 per cent of the month-to-month variation in the growth gap (R² = 0.04), and the classical F-test does not reject the null at conventional levels (F = 1.85, p = 0.181). This is expected for monthly growth data, which are dominated by short-term noise and seasonal swings that the policy dummy is not meant to explain; the relevant question is whether the average gap shifted, not whether the model predicts each month. The classical F-test also assumes serially independent errors, which the diagnostic tests in Section 8.4 do not fully support. With Newey–West standard errors the post-policy coefficient is significant (t = -3.07, p = 0.002), and the panel version with Driscoll–Kraay standard errors gives p = 0.008. Section 8.5 shows how much this conclusion depends on the choice of standard errors.</w:t>
      </w:r>
      <w:r>
        <w:br w:type="page"/>
      </w:r>
    </w:p>
    <w:p>
      <w:pPr>
        <w:pStyle w:val="Heading1"/>
        <w:spacing w:before="240" w:after="120"/>
        <w:jc w:val="center"/>
        <w:rPr/>
      </w:pPr>
      <w:bookmarkStart w:id="44" w:name="__RefHeading___Toc4027_1073874868"/>
      <w:bookmarkEnd w:id="44"/>
      <w:r>
        <w:rPr/>
        <w:t>8. EMPIRICAL FINDINGS AND RESULTS: H2 — BANK-FUNDING CHANNEL AND FIRM-LEVEL EVIDENCE</w:t>
      </w:r>
    </w:p>
    <w:p>
      <w:pPr>
        <w:pStyle w:val="Heading2"/>
        <w:spacing w:before="240" w:after="120"/>
        <w:rPr/>
      </w:pPr>
      <w:bookmarkStart w:id="45" w:name="__RefHeading___Toc4029_1073874868"/>
      <w:bookmarkEnd w:id="45"/>
      <w:r>
        <w:rPr/>
        <w:t>8.1 Aggregate evidence</w:t>
      </w:r>
    </w:p>
    <w:p>
      <w:pPr>
        <w:pStyle w:val="Normal"/>
        <w:spacing w:lineRule="exact" w:line="360" w:before="0" w:after="120"/>
        <w:jc w:val="both"/>
        <w:rPr/>
      </w:pPr>
      <w:r>
        <w:rPr/>
        <w:t>The right panel of Figure 7.1 compares bank credit to NBFCs (excluding HFCs) with total non-food bank credit. Before the policy, bank credit to NBFCs grew much faster than overall bank credit. After November 2023 it grew more slowly, and it accelerated sharply again after the April 2025 rollback.</w:t>
      </w:r>
    </w:p>
    <w:p>
      <w:pPr>
        <w:pStyle w:val="Normal"/>
        <w:keepNext w:val="true"/>
        <w:keepLines/>
        <w:spacing w:before="120" w:after="60"/>
        <w:jc w:val="left"/>
        <w:rPr/>
      </w:pPr>
      <w:r>
        <w:rPr>
          <w:b/>
          <w:bCs/>
          <w:sz w:val="22"/>
          <w:szCs w:val="22"/>
        </w:rPr>
        <w:t>Table 8.1: H2 — effect of the risk weight on bank exposures to NBFCs</w:t>
      </w:r>
    </w:p>
    <w:tbl>
      <w:tblPr>
        <w:tblW w:w="9026" w:type="dxa"/>
        <w:jc w:val="left"/>
        <w:tblInd w:w="0" w:type="dxa"/>
        <w:tblLayout w:type="fixed"/>
        <w:tblCellMar>
          <w:top w:w="50" w:type="dxa"/>
          <w:left w:w="90" w:type="dxa"/>
          <w:bottom w:w="50" w:type="dxa"/>
          <w:right w:w="90" w:type="dxa"/>
        </w:tblCellMar>
      </w:tblPr>
      <w:tblGrid>
        <w:gridCol w:w="3426"/>
        <w:gridCol w:w="1250"/>
        <w:gridCol w:w="1050"/>
        <w:gridCol w:w="1049"/>
        <w:gridCol w:w="1250"/>
        <w:gridCol w:w="1000"/>
      </w:tblGrid>
      <w:tr>
        <w:trPr>
          <w:tblHeader w:val="true"/>
        </w:trPr>
        <w:tc>
          <w:tcPr>
            <w:tcW w:w="34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2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0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2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4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NBFCs ex-HFC minus total non-food credit</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0.049</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4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0.659</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w:t>
            </w:r>
          </w:p>
        </w:tc>
      </w:tr>
      <w:tr>
        <w:trPr/>
        <w:tc>
          <w:tcPr>
            <w:tcW w:w="34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NBFCs ex-HFC minus HFCs</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0.109</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4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all NBFCs (incl. HFCs) minus non-food</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0.130</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4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change after Apr-2025 (Dec-23 to Jul-26)</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0.72</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0.186</w:t>
            </w:r>
          </w:p>
        </w:tc>
        <w:tc>
          <w:tcPr>
            <w:tcW w:w="12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Interrupted time series on the monthly growth gap with Newey–West standard errors (6 lags). Main sample April 2021 – January 2025.</w:t>
      </w:r>
    </w:p>
    <w:p>
      <w:pPr>
        <w:pStyle w:val="Normal"/>
        <w:spacing w:lineRule="exact" w:line="360" w:before="0" w:after="120"/>
        <w:jc w:val="both"/>
        <w:rPr/>
      </w:pPr>
      <w:r>
        <w:rPr/>
        <w:t>The main estimate supports H2: after the policy, monthly growth of bank credit to NBFCs (excluding HFCs) fell by 1.00 percentage points relative to total non-food credit (p = 0.049), about 11.9 percentage points a year. The placebo estimate is small, positive and insignificant (p = 0.659).</w:t>
      </w:r>
    </w:p>
    <w:p>
      <w:pPr>
        <w:pStyle w:val="Normal"/>
        <w:spacing w:lineRule="exact" w:line="360" w:before="0" w:after="120"/>
        <w:jc w:val="both"/>
        <w:rPr/>
      </w:pPr>
      <w:r>
        <w:rPr/>
        <w:t>In rupee terms, a monthly shortfall of 1.00 percentage points over 15 months cumulates to about 16.1 per cent. With ₹12.9 lakh crore of bank credit to NBFCs (excluding HFCs) outstanding in January 2025, this implies roughly ₹2.1 lakh crore less bank funding to NBFCs than if the pre-policy relationship had continued — a substantial amount relative to the sector's funding needs, which NBFCs had to raise elsewhere or forgo.</w:t>
      </w:r>
    </w:p>
    <w:p>
      <w:pPr>
        <w:pStyle w:val="Normal"/>
        <w:spacing w:lineRule="exact" w:line="360" w:before="0" w:after="120"/>
        <w:jc w:val="both"/>
        <w:rPr/>
      </w:pPr>
      <w:r>
        <w:rPr/>
        <w:t>Two alternative comparisons point in the same direction but are less precise. Against bank credit to the exempt HFCs, the slowdown is larger (16.9 percentage points a year) but noisier (p = 0.109), because the HFC series is small and was disrupted by the HDFC merger. Including HFCs in the treated group dilutes the effect (p = 0.130), as expected when exempt borrowers are mixed into the treated group. After the April 2025 rollback the gap widened again in favour of NBFCs by 0.95 percentage points a month (p = 0.186); the rebound is economically large but, with only 16 months of post-rollback data, not yet statistically significant. Bank credit to NBFCs is volatile from month to month because banks lend heavily at quarter-ends, which limits the precision of all H2 estimates.</w:t>
      </w:r>
    </w:p>
    <w:p>
      <w:pPr>
        <w:pStyle w:val="Normal"/>
        <w:keepNext w:val="true"/>
        <w:keepLines/>
        <w:spacing w:before="120" w:after="60"/>
        <w:jc w:val="left"/>
        <w:rPr/>
      </w:pPr>
      <w:r>
        <w:rPr>
          <w:b/>
          <w:bCs/>
          <w:sz w:val="22"/>
          <w:szCs w:val="22"/>
        </w:rPr>
        <w:t>Figure 8.1: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6" w:name="__RefHeading___Toc4031_1073874868"/>
      <w:bookmarkEnd w:id="46"/>
      <w:r>
        <w:rPr/>
        <w:t>8.2 How did listed NBFCs adjust? Firm-level evidence</w:t>
      </w:r>
    </w:p>
    <w:p>
      <w:pPr>
        <w:pStyle w:val="Normal"/>
        <w:spacing w:lineRule="exact" w:line="360" w:before="0" w:after="120"/>
        <w:jc w:val="both"/>
        <w:rPr/>
      </w:pPr>
      <w:r>
        <w:rPr>
          <w:b/>
          <w:bCs/>
        </w:rPr>
        <w:t xml:space="preserve">Company disclosures. </w:t>
      </w:r>
      <w:r>
        <w:rPr/>
        <w:t>Two lenders quantified the immediate capital impact of the rule in their December 2023 presentations, and one disclosed a pricing response (Table 8.2).</w:t>
      </w:r>
    </w:p>
    <w:p>
      <w:pPr>
        <w:pStyle w:val="Normal"/>
        <w:keepNext w:val="true"/>
        <w:keepLines/>
        <w:spacing w:before="120" w:after="60"/>
        <w:jc w:val="left"/>
        <w:rPr/>
      </w:pPr>
      <w:r>
        <w:rPr>
          <w:b/>
          <w:bCs/>
          <w:sz w:val="22"/>
          <w:szCs w:val="22"/>
        </w:rPr>
        <w:t>Table 8.2: Company statements on the effect of the November 2023 measures</w:t>
      </w:r>
    </w:p>
    <w:tbl>
      <w:tblPr>
        <w:tblW w:w="9026" w:type="dxa"/>
        <w:jc w:val="left"/>
        <w:tblInd w:w="0" w:type="dxa"/>
        <w:tblLayout w:type="fixed"/>
        <w:tblCellMar>
          <w:top w:w="50" w:type="dxa"/>
          <w:left w:w="90" w:type="dxa"/>
          <w:bottom w:w="50" w:type="dxa"/>
          <w:right w:w="90" w:type="dxa"/>
        </w:tblCellMar>
      </w:tblPr>
      <w:tblGrid>
        <w:gridCol w:w="2000"/>
        <w:gridCol w:w="5226"/>
        <w:gridCol w:w="18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1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2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2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+0.20–0.30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2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confirm the mechanism behind H1: the higher risk weights immediately reduced the capital ratios of consumer lenders, and at least one passed part of the cost on to borrowers.</w:t>
      </w:r>
    </w:p>
    <w:p>
      <w:pPr>
        <w:pStyle w:val="Normal"/>
        <w:spacing w:lineRule="exact" w:line="360" w:before="0" w:after="120"/>
        <w:jc w:val="both"/>
        <w:rPr/>
      </w:pPr>
      <w:r>
        <w:rPr>
          <w:b/>
          <w:bCs/>
        </w:rPr>
        <w:t xml:space="preserve">Cost of funds. </w:t>
      </w:r>
      <w:r>
        <w:rPr/>
        <w:t>Using 366 company-quarters for 16 firms, NBFCs that were more dependent on bank borrowing before the policy saw their cost of funds rise relative to others: the estimate implies about 0.23 percentage points higher cost of funds for a firm with 30 percentage points more bank funding. The effect builds up after the policy (Figure 8.2), but it is not statistically significant (wild-bootstrap p = 0.283), and part of it may reflect the slower repricing of bank loans after the 2022–23 rate rises.</w:t>
      </w:r>
    </w:p>
    <w:p>
      <w:pPr>
        <w:pStyle w:val="Normal"/>
        <w:keepNext w:val="true"/>
        <w:keepLines/>
        <w:spacing w:before="120" w:after="60"/>
        <w:jc w:val="left"/>
        <w:rPr/>
      </w:pPr>
      <w:r>
        <w:rPr>
          <w:b/>
          <w:bCs/>
          <w:sz w:val="22"/>
          <w:szCs w:val="22"/>
        </w:rPr>
        <w:t>Figure 8.2: Cost of funds of bank-dependent versus other NBFCs, by half-year</w:t>
      </w:r>
    </w:p>
    <w:p>
      <w:pPr>
        <w:pStyle w:val="Normal"/>
        <w:keepNext w:val="true"/>
        <w:jc w:val="center"/>
        <w:rPr/>
      </w:pPr>
      <w:r>
        <w:rPr/>
        <w:drawing>
          <wp:inline distT="0" distB="0" distL="0" distR="0">
            <wp:extent cx="5334000" cy="23336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334000" cy="2333625"/>
                    </a:xfrm>
                    <a:prstGeom prst="rect">
                      <a:avLst/>
                    </a:prstGeom>
                  </pic:spPr>
                </pic:pic>
              </a:graphicData>
            </a:graphic>
          </wp:inline>
        </w:drawing>
      </w:r>
    </w:p>
    <w:p>
      <w:pPr>
        <w:pStyle w:val="Normal"/>
        <w:spacing w:before="0" w:after="200"/>
        <w:jc w:val="left"/>
        <w:rPr/>
      </w:pPr>
      <w:r>
        <w:rPr>
          <w:i/>
          <w:iCs/>
          <w:sz w:val="18"/>
          <w:szCs w:val="18"/>
        </w:rPr>
        <w:t>Coefficients on bank share × half-year, scaled to a 30 pp difference in bank share; reference period FY23 H2; 95% wild-cluster-bootstrap intervals.</w:t>
      </w:r>
    </w:p>
    <w:p>
      <w:pPr>
        <w:pStyle w:val="Normal"/>
        <w:spacing w:lineRule="exact" w:line="360" w:before="0" w:after="120"/>
        <w:jc w:val="both"/>
        <w:rPr/>
      </w:pPr>
      <w:r>
        <w:rPr>
          <w:b/>
          <w:bCs/>
        </w:rPr>
        <w:t xml:space="preserve">Bank share of borrowings. </w:t>
      </w:r>
      <w:r>
        <w:rPr/>
        <w:t>Exempt HFCs increased their reliance on bank borrowing after the policy, while non-HFC NBFCs did not (Figure 8.3). Relative to HFCs, the bank share of non-HFC NBFCs' borrowings fell by 3.3 percentage points before the rollback (p = 0.280) and by about 6.1 percentage points by the second half of FY2026 (p = 0.119). The placebo is insignificant (p = 0.565). The direction is consistent with the aggregate H2 result — banks lent less to NBFCs, so NBFCs relied more on bonds, commercial paper and external borrowing — but with 15 firms the firm-level difference is not statistically significant.</w:t>
      </w:r>
    </w:p>
    <w:p>
      <w:pPr>
        <w:pStyle w:val="Normal"/>
        <w:keepNext w:val="true"/>
        <w:keepLines/>
        <w:spacing w:before="120" w:after="60"/>
        <w:jc w:val="left"/>
        <w:rPr/>
      </w:pPr>
      <w:r>
        <w:rPr>
          <w:b/>
          <w:bCs/>
          <w:sz w:val="22"/>
          <w:szCs w:val="22"/>
        </w:rPr>
        <w:t>Figure 8.3: Average bank share of borrowings, non-HFC NBFCs versus HFCs</w:t>
      </w:r>
    </w:p>
    <w:p>
      <w:pPr>
        <w:pStyle w:val="Normal"/>
        <w:keepNext w:val="true"/>
        <w:jc w:val="center"/>
        <w:rPr/>
      </w:pPr>
      <w:r>
        <w:rPr/>
        <w:drawing>
          <wp:inline distT="0" distB="0" distL="0" distR="0">
            <wp:extent cx="5334000" cy="23336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334000" cy="2333625"/>
                    </a:xfrm>
                    <a:prstGeom prst="rect">
                      <a:avLst/>
                    </a:prstGeom>
                  </pic:spPr>
                </pic:pic>
              </a:graphicData>
            </a:graphic>
          </wp:inline>
        </w:drawing>
      </w:r>
    </w:p>
    <w:p>
      <w:pPr>
        <w:pStyle w:val="Normal"/>
        <w:spacing w:before="0" w:after="200"/>
        <w:jc w:val="left"/>
        <w:rPr/>
      </w:pPr>
      <w:r>
        <w:rPr>
          <w:i/>
          <w:iCs/>
          <w:sz w:val="18"/>
          <w:szCs w:val="18"/>
        </w:rPr>
        <w:t>Hand-collected from borrowing-mix slides of quarterly investor presentations; definitions follow each company's disclosure.</w:t>
      </w:r>
    </w:p>
    <w:p>
      <w:pPr>
        <w:pStyle w:val="Normal"/>
        <w:spacing w:lineRule="exact" w:line="360" w:before="0" w:after="120"/>
        <w:jc w:val="both"/>
        <w:rPr/>
      </w:pPr>
      <w:r>
        <w:rPr>
          <w:b/>
          <w:bCs/>
        </w:rPr>
        <w:t xml:space="preserve">Within-firm lending: Bajaj Finance. </w:t>
      </w:r>
      <w:r>
        <w:rPr/>
        <w:t>Bajaj Finance is the largest NBFC consumer lender in the sample and reports assets by business segment every quarter. Its consumer segments (sales finance and B2C personal loans) made up 37.1 per cent of assets in September 2023, dipped to 35.7 per cent by March 2024 and recovered to 37.1 per cent by March 2025. Comparing the growth of affected and exempt segments within the firm, there is no significant relative slowdown (0.58 pp per quarter, p = 0.749). Bajaj absorbed the capital impact, raised its rates and continued to grow its consumer book.</w:t>
      </w:r>
    </w:p>
    <w:p>
      <w:pPr>
        <w:pStyle w:val="Normal"/>
        <w:keepNext w:val="true"/>
        <w:keepLines/>
        <w:spacing w:before="120" w:after="60"/>
        <w:jc w:val="left"/>
        <w:rPr/>
      </w:pPr>
      <w:r>
        <w:rPr>
          <w:b/>
          <w:bCs/>
          <w:sz w:val="22"/>
          <w:szCs w:val="22"/>
        </w:rPr>
        <w:t>Table 8.3: Firm-level tests (hand-collected data)</w:t>
      </w:r>
    </w:p>
    <w:tbl>
      <w:tblPr>
        <w:tblW w:w="9026" w:type="dxa"/>
        <w:jc w:val="left"/>
        <w:tblInd w:w="0" w:type="dxa"/>
        <w:tblLayout w:type="fixed"/>
        <w:tblCellMar>
          <w:top w:w="50" w:type="dxa"/>
          <w:left w:w="90" w:type="dxa"/>
          <w:bottom w:w="50" w:type="dxa"/>
          <w:right w:w="90" w:type="dxa"/>
        </w:tblCellMar>
      </w:tblPr>
      <w:tblGrid>
        <w:gridCol w:w="3725"/>
        <w:gridCol w:w="2101"/>
        <w:gridCol w:w="1099"/>
        <w:gridCol w:w="1000"/>
        <w:gridCol w:w="1101"/>
      </w:tblGrid>
      <w:tr>
        <w:trPr>
          <w:tblHeader w:val="true"/>
        </w:trPr>
        <w:tc>
          <w:tcPr>
            <w:tcW w:w="37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Firms</w:t>
            </w:r>
          </w:p>
        </w:tc>
      </w:tr>
      <w:tr>
        <w:trPr/>
        <w:tc>
          <w:tcPr>
            <w:tcW w:w="37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pre-policy bank share</w:t>
            </w:r>
          </w:p>
        </w:tc>
        <w:tc>
          <w:tcPr>
            <w:tcW w:w="2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pp per 30 pp share</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37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 Post × non-HFC (to Mar-2025)</w:t>
            </w:r>
          </w:p>
        </w:tc>
        <w:tc>
          <w:tcPr>
            <w:tcW w:w="2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-3.29 pp</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37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placebo Nov-2022</w:t>
            </w:r>
          </w:p>
        </w:tc>
        <w:tc>
          <w:tcPr>
            <w:tcW w:w="2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 pp</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37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affected vs exempt segment growth</w:t>
            </w:r>
          </w:p>
        </w:tc>
        <w:tc>
          <w:tcPr>
            <w:tcW w:w="2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 pp per quarter</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0.749</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bl>
    <w:p>
      <w:pPr>
        <w:pStyle w:val="Normal"/>
        <w:spacing w:before="0" w:after="200"/>
        <w:jc w:val="left"/>
        <w:rPr/>
      </w:pPr>
      <w:r>
        <w:rPr>
          <w:i/>
          <w:iCs/>
          <w:sz w:val="18"/>
          <w:szCs w:val="18"/>
        </w:rPr>
        <w:t>Two-way fixed effects (firm/segment and quarter). Firm tests: wild cluster bootstrap-t by firm. Bajaj: Driscoll–Kraay standard errors.</w:t>
      </w:r>
    </w:p>
    <w:p>
      <w:pPr>
        <w:pStyle w:val="Heading2"/>
        <w:spacing w:before="240" w:after="120"/>
        <w:rPr/>
      </w:pPr>
      <w:bookmarkStart w:id="47" w:name="__RefHeading___Toc4033_1073874868"/>
      <w:bookmarkEnd w:id="47"/>
      <w:r>
        <w:rPr/>
        <w:t>8.3 Model summary, ANOVA and model equation for Model 2</w:t>
      </w:r>
    </w:p>
    <w:p>
      <w:pPr>
        <w:pStyle w:val="Normal"/>
        <w:keepNext w:val="true"/>
        <w:keepLines/>
        <w:spacing w:before="120" w:after="60"/>
        <w:jc w:val="left"/>
        <w:rPr/>
      </w:pPr>
      <w:r>
        <w:rPr>
          <w:b/>
          <w:bCs/>
          <w:sz w:val="22"/>
          <w:szCs w:val="22"/>
        </w:rPr>
        <w:t>Table 8.4: Model 2 — model summary</w:t>
      </w:r>
    </w:p>
    <w:tbl>
      <w:tblPr>
        <w:tblW w:w="9360" w:type="dxa"/>
        <w:jc w:val="left"/>
        <w:tblInd w:w="0" w:type="dxa"/>
        <w:tblLayout w:type="fixed"/>
        <w:tblCellMar>
          <w:top w:w="50" w:type="dxa"/>
          <w:left w:w="90" w:type="dxa"/>
          <w:bottom w:w="50" w:type="dxa"/>
          <w:right w:w="90" w:type="dxa"/>
        </w:tblCellMar>
      </w:tblPr>
      <w:tblGrid>
        <w:gridCol w:w="1199"/>
        <w:gridCol w:w="1301"/>
        <w:gridCol w:w="1300"/>
        <w:gridCol w:w="1599"/>
        <w:gridCol w:w="2161"/>
        <w:gridCol w:w="1799"/>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2.27</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bl>
    <w:p>
      <w:pPr>
        <w:pStyle w:val="Normal"/>
        <w:spacing w:before="0" w:after="200"/>
        <w:jc w:val="left"/>
        <w:rPr/>
      </w:pPr>
      <w:r>
        <w:rPr>
          <w:i/>
          <w:iCs/>
          <w:sz w:val="18"/>
          <w:szCs w:val="18"/>
        </w:rPr>
        <w:t>Predictor: (Constant), Post. Dependent variable: Gap2 (NBFC ex-HFC minus non-food credit growth).</w:t>
      </w:r>
    </w:p>
    <w:p>
      <w:pPr>
        <w:pStyle w:val="Normal"/>
        <w:spacing w:lineRule="exact" w:line="360" w:before="0" w:after="120"/>
        <w:jc w:val="both"/>
        <w:rPr/>
      </w:pPr>
      <w:r>
        <w:rPr>
          <w:b/>
          <w:bCs/>
        </w:rPr>
        <w:t xml:space="preserve">ANOVA. Null hypothesis: </w:t>
      </w:r>
      <w:r>
        <w:rPr/>
        <w:t xml:space="preserve">Post has no effect on the growth gap (δ = 0). </w:t>
      </w:r>
      <w:r>
        <w:rPr>
          <w:b/>
          <w:bCs/>
        </w:rPr>
        <w:t xml:space="preserve">Alternative hypothesis: </w:t>
      </w:r>
      <w:r>
        <w:rPr/>
        <w:t>δ ≠ 0.</w:t>
      </w:r>
    </w:p>
    <w:p>
      <w:pPr>
        <w:pStyle w:val="Normal"/>
        <w:keepNext w:val="true"/>
        <w:keepLines/>
        <w:spacing w:before="120" w:after="60"/>
        <w:jc w:val="left"/>
        <w:rPr/>
      </w:pPr>
      <w:r>
        <w:rPr>
          <w:b/>
          <w:bCs/>
          <w:sz w:val="22"/>
          <w:szCs w:val="22"/>
        </w:rPr>
        <w:t>Table 8.5: Model 2 — ANOVA</w:t>
      </w:r>
    </w:p>
    <w:tbl>
      <w:tblPr>
        <w:tblW w:w="9360" w:type="dxa"/>
        <w:jc w:val="left"/>
        <w:tblInd w:w="0" w:type="dxa"/>
        <w:tblLayout w:type="fixed"/>
        <w:tblCellMar>
          <w:top w:w="50" w:type="dxa"/>
          <w:left w:w="90" w:type="dxa"/>
          <w:bottom w:w="50" w:type="dxa"/>
          <w:right w:w="90" w:type="dxa"/>
        </w:tblCellMar>
      </w:tblPr>
      <w:tblGrid>
        <w:gridCol w:w="1959"/>
        <w:gridCol w:w="1700"/>
        <w:gridCol w:w="901"/>
        <w:gridCol w:w="1699"/>
        <w:gridCol w:w="1501"/>
        <w:gridCol w:w="1599"/>
      </w:tblGrid>
      <w:tr>
        <w:trPr>
          <w:tblHeader w:val="true"/>
        </w:trPr>
        <w:tc>
          <w:tcPr>
            <w:tcW w:w="1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Regression</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9.55</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9.55</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1.86</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0.180</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Residual</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220.89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230.45</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spacing w:before="0" w:after="200"/>
        <w:jc w:val="left"/>
        <w:rPr/>
      </w:pPr>
      <w:r>
        <w:rPr>
          <w:i/>
          <w:iCs/>
          <w:sz w:val="18"/>
          <w:szCs w:val="18"/>
        </w:rPr>
        <w:t>Classical OLS F-test, which assumes serially uncorrelated, homoskedastic errors.</w:t>
      </w:r>
    </w:p>
    <w:p>
      <w:pPr>
        <w:pStyle w:val="Normal"/>
        <w:keepNext w:val="true"/>
        <w:keepLines/>
        <w:spacing w:before="120" w:after="60"/>
        <w:jc w:val="left"/>
        <w:rPr/>
      </w:pPr>
      <w:r>
        <w:rPr>
          <w:b/>
          <w:bCs/>
          <w:sz w:val="22"/>
          <w:szCs w:val="22"/>
        </w:rPr>
        <w:t>Table 8.6: Model 2 — coefficients</w:t>
      </w:r>
    </w:p>
    <w:tbl>
      <w:tblPr>
        <w:tblW w:w="9360" w:type="dxa"/>
        <w:jc w:val="left"/>
        <w:tblInd w:w="0" w:type="dxa"/>
        <w:tblLayout w:type="fixed"/>
        <w:tblCellMar>
          <w:top w:w="50" w:type="dxa"/>
          <w:left w:w="90" w:type="dxa"/>
          <w:bottom w:w="50" w:type="dxa"/>
          <w:right w:w="90" w:type="dxa"/>
        </w:tblCellMar>
      </w:tblPr>
      <w:tblGrid>
        <w:gridCol w:w="1959"/>
        <w:gridCol w:w="1301"/>
        <w:gridCol w:w="2299"/>
        <w:gridCol w:w="1200"/>
        <w:gridCol w:w="1300"/>
        <w:gridCol w:w="1300"/>
      </w:tblGrid>
      <w:tr>
        <w:trPr>
          <w:tblHeader w:val="true"/>
        </w:trPr>
        <w:tc>
          <w:tcPr>
            <w:tcW w:w="1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w:t>
            </w:r>
          </w:p>
        </w:tc>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(Newey–West)</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VIF</w:t>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(Constant)</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2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2.08</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0.037</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1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2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lineRule="exact" w:line="360" w:before="0" w:after="120"/>
        <w:jc w:val="both"/>
        <w:rPr/>
      </w:pPr>
      <w:r>
        <w:rPr>
          <w:b/>
          <w:bCs/>
        </w:rPr>
        <w:t xml:space="preserve">Model equation: </w:t>
      </w:r>
      <w:r>
        <w:rPr>
          <w:i/>
          <w:iCs/>
        </w:rPr>
        <w:t>Gap2(t) = 0.89 − 1.00 · Post(t)</w:t>
      </w:r>
    </w:p>
    <w:p>
      <w:pPr>
        <w:pStyle w:val="Normal"/>
        <w:spacing w:lineRule="exact" w:line="360" w:before="0" w:after="120"/>
        <w:jc w:val="both"/>
        <w:rPr/>
      </w:pPr>
      <w:r>
        <w:rPr/>
        <w:t>Interpretation. As with Model 1, the policy dummy explains only a small share of monthly variation (R² = 0.04) and the classical F-test is not significant (F = 1.86, p = 0.180). Bank lending to NBFCs surges at quarter-ends and falls back in the following month, so much of the residual variation is seasonal. With Newey–West standard errors the post-policy coefficient is significant at the 5 per cent level (p = 0.049), and Section 8.5 shows that the result is significant under several methods once calendar-month seasonality is controlled for.</w:t>
      </w:r>
    </w:p>
    <w:p>
      <w:pPr>
        <w:pStyle w:val="Heading2"/>
        <w:spacing w:before="240" w:after="120"/>
        <w:rPr/>
      </w:pPr>
      <w:bookmarkStart w:id="48" w:name="__RefHeading___Toc4035_1073874868"/>
      <w:bookmarkEnd w:id="48"/>
      <w:r>
        <w:rPr/>
        <w:t>8.4 Diagnostic tests</w:t>
      </w:r>
    </w:p>
    <w:p>
      <w:pPr>
        <w:pStyle w:val="Normal"/>
        <w:keepNext w:val="true"/>
        <w:keepLines/>
        <w:spacing w:before="120" w:after="60"/>
        <w:jc w:val="left"/>
        <w:rPr/>
      </w:pPr>
      <w:r>
        <w:rPr>
          <w:b/>
          <w:bCs/>
          <w:sz w:val="22"/>
          <w:szCs w:val="22"/>
        </w:rPr>
        <w:t>Table 8.7: Diagnostic tests on the residuals of Models 1 and 2</w:t>
      </w:r>
    </w:p>
    <w:tbl>
      <w:tblPr>
        <w:tblW w:w="9360" w:type="dxa"/>
        <w:jc w:val="left"/>
        <w:tblInd w:w="0" w:type="dxa"/>
        <w:tblLayout w:type="fixed"/>
        <w:tblCellMar>
          <w:top w:w="50" w:type="dxa"/>
          <w:left w:w="90" w:type="dxa"/>
          <w:bottom w:w="50" w:type="dxa"/>
          <w:right w:w="90" w:type="dxa"/>
        </w:tblCellMar>
      </w:tblPr>
      <w:tblGrid>
        <w:gridCol w:w="2899"/>
        <w:gridCol w:w="2660"/>
        <w:gridCol w:w="1900"/>
        <w:gridCol w:w="1900"/>
      </w:tblGrid>
      <w:tr>
        <w:trPr>
          <w:tblHeader w:val="true"/>
        </w:trPr>
        <w:tc>
          <w:tcPr>
            <w:tcW w:w="2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 (normality)</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2.27 (0.322)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 (0.181)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Skewness / kurtosis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 / 3.64</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 / 3.27</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Ljung–Box Q (12 lags)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autocorrelation up to lag 12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19.61 (0.075)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 (0.771)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Homoskedastic residuals</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 (0.076)</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 (0.226)</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 (Post)</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 (Treated × Post, H1 panel with fixed effects)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Normal"/>
        <w:spacing w:lineRule="exact" w:line="360" w:before="0" w:after="120"/>
        <w:jc w:val="both"/>
        <w:rPr/>
      </w:pPr>
      <w:r>
        <w:rPr/>
        <w:t>Residuals are consistent with normality in both models (Jarque–Bera p = 0.322 and 0.181), and multicollinearity is not a concern (all VIFs well below 10; a single regressor has VIF = 1). The Durbin–Watson statistics are close to 2, indicating no first-order autocorrelation. For Model 1, however, the Ljung–Box test points to autocorrelation at longer lags (p = 0.075, driven by a negative correlation at lag 2) and the Breusch–Pagan test to some heteroskedasticity (p = 0.076), both significant at the 10 per cent level. Model 2 shows neither. These results justify autocorrelation- and heteroskedasticity-robust standard errors for Model 1, but they also mean that Model 1's significance depends on how that correction is made.</w:t>
      </w:r>
    </w:p>
    <w:p>
      <w:pPr>
        <w:pStyle w:val="Heading2"/>
        <w:spacing w:before="240" w:after="120"/>
        <w:rPr/>
      </w:pPr>
      <w:bookmarkStart w:id="49" w:name="__RefHeading___Toc4037_1073874868"/>
      <w:bookmarkEnd w:id="49"/>
      <w:r>
        <w:rPr/>
        <w:t>8.5 Sensitivity of inference to the choice of standard errors</w:t>
      </w:r>
    </w:p>
    <w:p>
      <w:pPr>
        <w:pStyle w:val="Normal"/>
        <w:spacing w:lineRule="exact" w:line="360" w:before="0" w:after="120"/>
        <w:jc w:val="both"/>
        <w:rPr/>
      </w:pPr>
      <w:r>
        <w:rPr/>
        <w:t>Because each main test uses only 45–46 monthly observations, it is important to check whether the conclusions depend on the method used to compute standard errors. Table 8.8 re-estimates the post-policy shift for both models under eleven methods: classical OLS; White heteroskedasticity-robust errors; Newey–West errors with 1, 3 (the common rule of thumb for this sample size), 6 (the main specification) and 12 lags; the same model with calendar-month dummies to remove seasonality; and a moving-block bootstrap (blocks of three months, 10,000 replications) that does not rely on any asymptotic formula.</w:t>
      </w:r>
    </w:p>
    <w:p>
      <w:pPr>
        <w:pStyle w:val="Normal"/>
        <w:keepNext w:val="true"/>
        <w:keepLines/>
        <w:spacing w:before="120" w:after="60"/>
        <w:jc w:val="left"/>
        <w:rPr/>
      </w:pPr>
      <w:r>
        <w:rPr>
          <w:b/>
          <w:bCs/>
          <w:sz w:val="22"/>
          <w:szCs w:val="22"/>
        </w:rPr>
        <w:t>Table 8.8: Post-policy coefficient and p-value under alternative inference methods</w:t>
      </w:r>
    </w:p>
    <w:tbl>
      <w:tblPr>
        <w:tblW w:w="9360" w:type="dxa"/>
        <w:jc w:val="left"/>
        <w:tblInd w:w="0" w:type="dxa"/>
        <w:tblLayout w:type="fixed"/>
        <w:tblCellMar>
          <w:top w:w="50" w:type="dxa"/>
          <w:left w:w="90" w:type="dxa"/>
          <w:bottom w:w="50" w:type="dxa"/>
          <w:right w:w="90" w:type="dxa"/>
        </w:tblCellMar>
      </w:tblPr>
      <w:tblGrid>
        <w:gridCol w:w="4159"/>
        <w:gridCol w:w="1300"/>
        <w:gridCol w:w="1300"/>
        <w:gridCol w:w="1300"/>
        <w:gridCol w:w="1301"/>
      </w:tblGrid>
      <w:tr>
        <w:trPr>
          <w:tblHeader w:val="true"/>
        </w:trPr>
        <w:tc>
          <w:tcPr>
            <w:tcW w:w="41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Method</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δ</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p</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δ</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p</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Classical OLS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0.180</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White (HC1)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0.122</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 lag</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0.104</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3 lags (rule of thumb)</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0.086</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6 lags (main)</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0.049</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12 lags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0.026</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classical OLS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0.107</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0.065</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White (HC1)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0.043</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Newey-West 3 lags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0.007</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0.012</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Moving-block bootstrap (block 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0.180</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moving-block bootstrap</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r>
    </w:tbl>
    <w:p>
      <w:pPr>
        <w:pStyle w:val="Normal"/>
        <w:spacing w:before="0" w:after="200"/>
        <w:jc w:val="left"/>
        <w:rPr/>
      </w:pPr>
      <w:r>
        <w:rPr>
          <w:i/>
          <w:iCs/>
          <w:sz w:val="18"/>
          <w:szCs w:val="18"/>
        </w:rPr>
        <w:t>Sample April 2021 – January 2025. Month dummies: eleven calendar-month indicators added to the regression. Block bootstrap: residuals resampled in blocks of three months under the null of no effect.</w:t>
      </w:r>
    </w:p>
    <w:p>
      <w:pPr>
        <w:pStyle w:val="Normal"/>
        <w:spacing w:lineRule="exact" w:line="360" w:before="0" w:after="120"/>
        <w:jc w:val="both"/>
        <w:rPr/>
      </w:pPr>
      <w:r>
        <w:rPr/>
        <w:t>Three conclusions follow. First, the size and sign of the estimates are stable: every method gives a negative post-policy shift of about 0.66–0.69 percentage points a month for Model 1 and 0.99–1.18 for Model 2. Second, Model 2 is robust once seasonality is removed: with calendar-month dummies it is significant at the 5 per cent level with White errors (p = 0.043), Newey–West errors (p = 0.012) and the block bootstrap (p = 0.047). Third, Model 1 is less robust: it is significant at the 1–5 per cent level with Newey–West errors of three or more lags (with or without seasonal dummies) and in the panel specification, but only at about the 6–11 per cent level with White errors or the block bootstrap, and not significant with classical OLS errors (p = 0.181).</w:t>
      </w:r>
    </w:p>
    <w:p>
      <w:pPr>
        <w:pStyle w:val="Normal"/>
        <w:spacing w:lineRule="exact" w:line="360" w:before="0" w:after="120"/>
        <w:jc w:val="both"/>
        <w:rPr/>
      </w:pPr>
      <w:r>
        <w:rPr/>
        <w:t>H2 is therefore supported with reasonable confidence. H1 is supported in the main specifications and is consistent in direction, magnitude, placebo tests and company disclosures, but its statistical significance should be described as moderate: it depends on correcting for the serial correlation in the monthly data, and a cautious reader could regard it as significant only at the 10 per cent level.</w:t>
      </w:r>
      <w:r>
        <w:br w:type="page"/>
      </w:r>
    </w:p>
    <w:p>
      <w:pPr>
        <w:pStyle w:val="Heading1"/>
        <w:spacing w:before="240" w:after="120"/>
        <w:jc w:val="center"/>
        <w:rPr/>
      </w:pPr>
      <w:bookmarkStart w:id="50" w:name="__RefHeading___Toc4039_1073874868"/>
      <w:bookmarkEnd w:id="50"/>
      <w:r>
        <w:rPr/>
        <w:t>9. DISCUSSION</w:t>
      </w:r>
    </w:p>
    <w:p>
      <w:pPr>
        <w:pStyle w:val="Heading2"/>
        <w:spacing w:before="240" w:after="120"/>
        <w:rPr/>
      </w:pPr>
      <w:bookmarkStart w:id="51" w:name="__RefHeading___Toc4041_1073874868"/>
      <w:bookmarkEnd w:id="51"/>
      <w:r>
        <w:rPr/>
        <w:t>9.1 Interpretation</w:t>
      </w:r>
    </w:p>
    <w:p>
      <w:pPr>
        <w:pStyle w:val="Normal"/>
        <w:spacing w:lineRule="exact" w:line="360" w:before="0" w:after="120"/>
        <w:jc w:val="both"/>
        <w:rPr/>
      </w:pPr>
      <w:r>
        <w:rPr/>
        <w:t>Both hypotheses are supported at the system level, H2 with reasonable confidence and H1 with moderate confidence (its significance depends on correcting for serial correlation; Section 8.5). Raising the capital requirement on unsecured consumer credit slowed bank credit to cards and personal loans by about eight percentage points a year relative to exempt household credit. Raising the capital requirement on bank loans to NBFCs slowed bank lending to NBFCs by about twelve percentage points a year relative to total bank credit, and the partial reversal in April 2025 was followed by a rapid recovery in NBFC funding while card credit — still subject to the higher risk weight — stayed weak. These patterns are what a targeted capital-requirement shock would produce, and they are not visible before the policy.</w:t>
      </w:r>
    </w:p>
    <w:p>
      <w:pPr>
        <w:pStyle w:val="Normal"/>
        <w:spacing w:lineRule="exact" w:line="360" w:before="0" w:after="120"/>
        <w:jc w:val="both"/>
        <w:rPr/>
      </w:pPr>
      <w:r>
        <w:rPr/>
        <w:t>At the level of listed NBFCs, the adjustment looks different. The rule cut capital ratios immediately (by about 3 to 4 percentage points at the two lenders that disclosed it), and at least one lender raised its lending rates. Bank-dependent NBFCs saw somewhat higher funding costs, and non-HFC NBFCs gradually reduced their reliance on bank borrowing. But large listed NBFCs did not shrink their consumer lending relative to their other lending. These firms are well capitalised, rated AAA or AA, and can raise equity and bond finance: Bajaj Finance and Cholamandalam both raised fresh equity around the time of the policy. The policy therefore appears to have bitten mainly through banks' own lending decisions, while large NBFCs absorbed the shock through capital, pricing and funding substitution.</w:t>
      </w:r>
    </w:p>
    <w:p>
      <w:pPr>
        <w:pStyle w:val="Normal"/>
        <w:spacing w:lineRule="exact" w:line="360" w:before="0" w:after="120"/>
        <w:jc w:val="both"/>
        <w:rPr/>
      </w:pPr>
      <w:r>
        <w:rPr/>
        <w:t>This answers the question posed in the synopsis — whether NBFCs reduced overall lending or adjusted in other ways. For the large listed NBFCs studied here, the answer is the latter. The very rapid growth of exempt, secured gold loans in the banking data after the policy is also consistent with lenders shifting toward secured credit.</w:t>
      </w:r>
    </w:p>
    <w:p>
      <w:pPr>
        <w:pStyle w:val="Heading2"/>
        <w:spacing w:before="240" w:after="120"/>
        <w:rPr/>
      </w:pPr>
      <w:bookmarkStart w:id="52" w:name="__RefHeading___Toc4043_1073874868"/>
      <w:bookmarkEnd w:id="52"/>
      <w:r>
        <w:rPr/>
        <w:t>9.2 Relation to the synopsis hypotheses</w:t>
      </w:r>
    </w:p>
    <w:p>
      <w:pPr>
        <w:pStyle w:val="Normal"/>
        <w:spacing w:lineRule="exact" w:line="360" w:before="0" w:after="120"/>
        <w:jc w:val="both"/>
        <w:rPr/>
      </w:pPr>
      <w:r>
        <w:rPr/>
        <w:t>The synopsis proposed five hypotheses. Following the guide's advice the formal tests focus on two, but the evidence speaks to all five:</w:t>
      </w:r>
    </w:p>
    <w:p>
      <w:pPr>
        <w:pStyle w:val="ListParagraph"/>
        <w:numPr>
          <w:ilvl w:val="0"/>
          <w:numId w:val="1"/>
        </w:numPr>
        <w:spacing w:lineRule="exact" w:line="340" w:before="0" w:after="80"/>
        <w:rPr/>
      </w:pPr>
      <w:r>
        <w:rPr>
          <w:b/>
          <w:bCs/>
        </w:rPr>
        <w:t xml:space="preserve">H1 (unsecured exposure and loan growth): </w:t>
      </w:r>
      <w:r>
        <w:rPr/>
        <w:t>supported at the system level — bank credit to the targeted unsecured categories slowed significantly. Within Bajaj Finance, the largest NBFC consumer lender, consumer segments did not slow relative to other segments.</w:t>
      </w:r>
    </w:p>
    <w:p>
      <w:pPr>
        <w:pStyle w:val="ListParagraph"/>
        <w:numPr>
          <w:ilvl w:val="0"/>
          <w:numId w:val="1"/>
        </w:numPr>
        <w:spacing w:lineRule="exact" w:line="340" w:before="0" w:after="80"/>
        <w:rPr/>
      </w:pPr>
      <w:r>
        <w:rPr>
          <w:b/>
          <w:bCs/>
        </w:rPr>
        <w:t xml:space="preserve">H2 (bank dependence and borrowing costs): </w:t>
      </w:r>
      <w:r>
        <w:rPr/>
        <w:t>the banking system cut its lending to NBFCs significantly. Firm-level funding costs of bank-dependent NBFCs rose somewhat more than others, but not significantly; the 2022–23 rate cycle dominated funding costs.</w:t>
      </w:r>
    </w:p>
    <w:p>
      <w:pPr>
        <w:pStyle w:val="ListParagraph"/>
        <w:numPr>
          <w:ilvl w:val="0"/>
          <w:numId w:val="1"/>
        </w:numPr>
        <w:spacing w:lineRule="exact" w:line="340" w:before="0" w:after="80"/>
        <w:rPr/>
      </w:pPr>
      <w:r>
        <w:rPr>
          <w:b/>
          <w:bCs/>
        </w:rPr>
        <w:t xml:space="preserve">H3 (capital): </w:t>
      </w:r>
      <w:r>
        <w:rPr/>
        <w:t>company disclosures show the policy reduced capital ratios of consumer lenders by about 3–4 percentage points; the largest affected lenders responded by raising equity, so the slowdown did not need to come from their lending.</w:t>
      </w:r>
    </w:p>
    <w:p>
      <w:pPr>
        <w:pStyle w:val="ListParagraph"/>
        <w:numPr>
          <w:ilvl w:val="0"/>
          <w:numId w:val="1"/>
        </w:numPr>
        <w:spacing w:lineRule="exact" w:line="340" w:before="0" w:after="80"/>
        <w:rPr/>
      </w:pPr>
      <w:r>
        <w:rPr>
          <w:b/>
          <w:bCs/>
        </w:rPr>
        <w:t xml:space="preserve">H4 (shift to secured lending): </w:t>
      </w:r>
      <w:r>
        <w:rPr/>
        <w:t>in the banking data, exempt and secured gold loans grew by 62.4 per cent a year after the policy, far faster than before (6.8 per cent), consistent with a shift toward secured credit.</w:t>
      </w:r>
    </w:p>
    <w:p>
      <w:pPr>
        <w:pStyle w:val="ListParagraph"/>
        <w:numPr>
          <w:ilvl w:val="0"/>
          <w:numId w:val="1"/>
        </w:numPr>
        <w:spacing w:lineRule="exact" w:line="340" w:before="0" w:after="80"/>
        <w:rPr/>
      </w:pPr>
      <w:r>
        <w:rPr>
          <w:b/>
          <w:bCs/>
        </w:rPr>
        <w:t xml:space="preserve">H5 (recovery after February 2025): </w:t>
      </w:r>
      <w:r>
        <w:rPr/>
        <w:t>bank credit to NBFCs recovered quickly in aggregate after the April 2025 rollback (21.4 per cent a year), but at the firm level non-HFC NBFCs continued to reduce their reliance on bank borrowing, consistent with the synopsis expectation that the relaxation would not bring an immediate full return to bank funding.</w:t>
      </w:r>
    </w:p>
    <w:p>
      <w:pPr>
        <w:pStyle w:val="Heading2"/>
        <w:spacing w:before="240" w:after="120"/>
        <w:rPr/>
      </w:pPr>
      <w:bookmarkStart w:id="53" w:name="__RefHeading___Toc4045_1073874868"/>
      <w:bookmarkEnd w:id="53"/>
      <w:r>
        <w:rPr/>
        <w:t>9.3 Policy implications</w:t>
      </w:r>
    </w:p>
    <w:p>
      <w:pPr>
        <w:pStyle w:val="ListParagraph"/>
        <w:numPr>
          <w:ilvl w:val="0"/>
          <w:numId w:val="1"/>
        </w:numPr>
        <w:spacing w:lineRule="exact" w:line="340" w:before="0" w:after="80"/>
        <w:rPr/>
      </w:pPr>
      <w:r>
        <w:rPr/>
        <w:t>Targeted risk weights are an effective tool for slowing specific segments of bank credit without a broad tightening: exempt categories continued to grow.</w:t>
      </w:r>
    </w:p>
    <w:p>
      <w:pPr>
        <w:pStyle w:val="ListParagraph"/>
        <w:numPr>
          <w:ilvl w:val="0"/>
          <w:numId w:val="1"/>
        </w:numPr>
        <w:spacing w:lineRule="exact" w:line="340" w:before="0" w:after="80"/>
        <w:rPr/>
      </w:pPr>
      <w:r>
        <w:rPr/>
        <w:t>The bank-to-NBFC lever transmits quickly and reverses quickly: bank credit to NBFCs slowed after November 2023 and recovered after April 2025.</w:t>
      </w:r>
    </w:p>
    <w:p>
      <w:pPr>
        <w:pStyle w:val="ListParagraph"/>
        <w:numPr>
          <w:ilvl w:val="0"/>
          <w:numId w:val="1"/>
        </w:numPr>
        <w:spacing w:lineRule="exact" w:line="340" w:before="0" w:after="80"/>
        <w:rPr/>
      </w:pPr>
      <w:r>
        <w:rPr/>
        <w:t>For NBFC managers, diversified funding (bonds, external commercial borrowing, securitisation) reduced exposure to the bank-funding channel; firms with concentrated bank funding were most exposed to this kind of regulatory change.</w:t>
      </w:r>
    </w:p>
    <w:p>
      <w:pPr>
        <w:pStyle w:val="ListParagraph"/>
        <w:numPr>
          <w:ilvl w:val="0"/>
          <w:numId w:val="1"/>
        </w:numPr>
        <w:spacing w:lineRule="exact" w:line="340" w:before="0" w:after="80"/>
        <w:rPr/>
      </w:pPr>
      <w:r>
        <w:rPr/>
        <w:t>Well-capitalised NBFCs can offset part of the intended effect through capital raising and alternative funding; regulators assessing the policy should look at NBFC balance sheets as well as bank credit data.</w:t>
      </w:r>
    </w:p>
    <w:p>
      <w:pPr>
        <w:pStyle w:val="Heading2"/>
        <w:spacing w:before="240" w:after="120"/>
        <w:rPr/>
      </w:pPr>
      <w:bookmarkStart w:id="54" w:name="__RefHeading___Toc4047_1073874868"/>
      <w:bookmarkEnd w:id="54"/>
      <w:r>
        <w:rPr/>
        <w:t>9.4 Limitations</w:t>
      </w:r>
    </w:p>
    <w:p>
      <w:pPr>
        <w:pStyle w:val="ListParagraph"/>
        <w:numPr>
          <w:ilvl w:val="0"/>
          <w:numId w:val="1"/>
        </w:numPr>
        <w:spacing w:lineRule="exact" w:line="340" w:before="0" w:after="80"/>
        <w:rPr/>
      </w:pPr>
      <w:r>
        <w:rPr/>
        <w:t>The RBI data measure bank credit, not NBFCs' own lending; the aggregate tests capture the banking system's response.</w:t>
      </w:r>
    </w:p>
    <w:p>
      <w:pPr>
        <w:pStyle w:val="ListParagraph"/>
        <w:numPr>
          <w:ilvl w:val="0"/>
          <w:numId w:val="1"/>
        </w:numPr>
        <w:spacing w:lineRule="exact" w:line="340" w:before="0" w:after="80"/>
        <w:rPr/>
      </w:pPr>
      <w:r>
        <w:rPr/>
        <w:t>The difference-in-differences design assumes that, without the policy, the growth gap between treated and control categories would have remained at its pre-policy average. The placebo tests support this, but it cannot be proven.</w:t>
      </w:r>
    </w:p>
    <w:p>
      <w:pPr>
        <w:pStyle w:val="ListParagraph"/>
        <w:numPr>
          <w:ilvl w:val="0"/>
          <w:numId w:val="1"/>
        </w:numPr>
        <w:spacing w:lineRule="exact" w:line="340" w:before="0" w:after="80"/>
        <w:rPr/>
      </w:pPr>
      <w:r>
        <w:rPr/>
        <w:t>Bank credit to NBFCs is volatile from month to month and seasonal (quarter-end lending); alternative comparison groups for H2 give p-values of about 0.11–0.13.</w:t>
      </w:r>
    </w:p>
    <w:p>
      <w:pPr>
        <w:pStyle w:val="ListParagraph"/>
        <w:numPr>
          <w:ilvl w:val="0"/>
          <w:numId w:val="1"/>
        </w:numPr>
        <w:spacing w:lineRule="exact" w:line="340" w:before="0" w:after="80"/>
        <w:rPr/>
      </w:pPr>
      <w:r>
        <w:rPr/>
        <w:t>With 45–46 monthly observations, the significance of the aggregate tests depends on the standard-error method. The classical OLS F-test is not significant for either model (p ≈ 0.18); H2 is significant under several methods once seasonality is controlled for, while H1 is significant with Newey–West and Driscoll–Kraay standard errors but only at about the 10 per cent level with White errors or a block bootstrap (Table 8.8).</w:t>
      </w:r>
    </w:p>
    <w:p>
      <w:pPr>
        <w:pStyle w:val="ListParagraph"/>
        <w:numPr>
          <w:ilvl w:val="0"/>
          <w:numId w:val="1"/>
        </w:numPr>
        <w:spacing w:lineRule="exact" w:line="340" w:before="0" w:after="80"/>
        <w:rPr/>
      </w:pPr>
      <w:r>
        <w:rPr/>
        <w:t>The firm-level sample has only 16 firms, which limits statistical power; firm definitions of cost of funds and bank borrowing differ, which is why all firm-level comparisons are within-firm over time.</w:t>
      </w:r>
    </w:p>
    <w:p>
      <w:pPr>
        <w:pStyle w:val="ListParagraph"/>
        <w:numPr>
          <w:ilvl w:val="0"/>
          <w:numId w:val="1"/>
        </w:numPr>
        <w:spacing w:lineRule="exact" w:line="340" w:before="0" w:after="80"/>
        <w:rPr/>
      </w:pPr>
      <w:r>
        <w:rPr/>
        <w:t>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w:t>
      </w:r>
    </w:p>
    <w:p>
      <w:pPr>
        <w:pStyle w:val="ListParagraph"/>
        <w:numPr>
          <w:ilvl w:val="0"/>
          <w:numId w:val="1"/>
        </w:numPr>
        <w:spacing w:lineRule="exact" w:line="340" w:before="0" w:after="80"/>
        <w:rPr/>
      </w:pPr>
      <w:r>
        <w:rPr/>
        <w:t>Following the guide's advice, the study focuses on two hypotheses. Synopsis hypotheses on capital buffers (H3), secured-loan substitution (H4) and the speed of recovery after the 2025 relaxation (H5) are addressed only descriptively.</w:t>
      </w:r>
      <w:r>
        <w:br w:type="page"/>
      </w:r>
    </w:p>
    <w:p>
      <w:pPr>
        <w:pStyle w:val="Heading1"/>
        <w:spacing w:before="240" w:after="120"/>
        <w:jc w:val="center"/>
        <w:rPr/>
      </w:pPr>
      <w:bookmarkStart w:id="55" w:name="__RefHeading___Toc4049_1073874868"/>
      <w:bookmarkEnd w:id="55"/>
      <w:r>
        <w:rPr/>
        <w:t>10. CONCLUSION</w:t>
      </w:r>
    </w:p>
    <w:p>
      <w:pPr>
        <w:pStyle w:val="Normal"/>
        <w:spacing w:lineRule="exact" w:line="360" w:before="0" w:after="120"/>
        <w:jc w:val="both"/>
        <w:rPr/>
      </w:pPr>
      <w:r>
        <w:rPr/>
        <w:t>This dissertation evaluated the RBI's November 2023 increase in risk weights on consumer credit and on bank lending to NBFCs. Using RBI sectoral credit data and a difference-in-differences design, it finds that both measures reduced the targeted flows of bank credit: targeted consumer credit grew about 7.9 percentage points a year more slowly than exempt household credit (p = 0.002), and bank credit to NBFCs grew about 11.9 percentage points a year more slowly than total bank credit (p = 0.049). Placebo tests show no such effects before the policy. The bank-funding result is robust across inference methods once seasonality is controlled for; the consumer-credit result is consistent in direction and size but statistically more fragile, being significant with autocorrelation-robust standard errors and at about the 10 per cent level under more conservative methods. A firm-level dataset hand-collected from 382 investor presentations shows how listed NBFCs absorbed the shock — through lower capital ratios, higher lending rates, somewhat higher funding costs and a gradual shift away from bank borrowing — rather than by cutting their own lending. The results suggest that targeted capital requirements are a precise and reversible tool for managing credit risk in specific segments, and that their effect on the NBFC sector depends on how easily NBFCs can replace bank funding.</w:t>
      </w:r>
    </w:p>
    <w:p>
      <w:pPr>
        <w:pStyle w:val="Normal"/>
        <w:spacing w:lineRule="exact" w:line="360" w:before="0" w:after="120"/>
        <w:jc w:val="both"/>
        <w:rPr/>
      </w:pPr>
      <w:r>
        <w:rPr/>
        <w:t>Future work could extend the firm-level dataset to unlisted and smaller NBFCs, which are more likely to be funding-constrained, and use loan-level or bureau data to measure NBFCs' consumer lending directly.</w:t>
      </w:r>
      <w:r>
        <w:br w:type="page"/>
      </w:r>
    </w:p>
    <w:p>
      <w:pPr>
        <w:pStyle w:val="Heading1"/>
        <w:spacing w:before="240" w:after="120"/>
        <w:jc w:val="center"/>
        <w:rPr/>
      </w:pPr>
      <w:bookmarkStart w:id="56" w:name="__RefHeading___Toc4051_1073874868"/>
      <w:bookmarkEnd w:id="56"/>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Callaway, B., Goodman-Bacon, A., &amp; Sant'Anna, P. H. C. (2024). Difference-in-differences with a continuous treatment. NBER Working Paper No. 32117.</w:t>
      </w:r>
    </w:p>
    <w:p>
      <w:pPr>
        <w:pStyle w:val="Normal"/>
        <w:spacing w:lineRule="exact" w:line="300" w:before="0" w:after="120"/>
        <w:ind w:hanging="720" w:left="720"/>
        <w:rPr/>
      </w:pPr>
      <w:r>
        <w:rPr/>
        <w:t>Cameron, A. C., Gelbach, J. B., &amp; Miller, D. L. (2008). Bootstrap-based improvements for inference with clustered errors. Review of Economics and Statistics, 90(3), 414–427.</w:t>
      </w:r>
    </w:p>
    <w:p>
      <w:pPr>
        <w:pStyle w:val="Normal"/>
        <w:spacing w:lineRule="exact" w:line="300" w:before="0" w:after="120"/>
        <w:ind w:hanging="720" w:left="720"/>
        <w:rPr/>
      </w:pPr>
      <w:r>
        <w:rPr/>
        <w:t>Driscoll, J. C., &amp; Kraay, A. C. (1998). Consistent covariance matrix estimation with spatially dependent panel data. Review of Economics and Statistics, 80(4), 549–560.</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(2023). Regulatory measures towards consumer credit and bank credit to NBFCs. Circular RBI/2023-24/85, 16 November 2023.</w:t>
      </w:r>
    </w:p>
    <w:p>
      <w:pPr>
        <w:pStyle w:val="Normal"/>
        <w:spacing w:lineRule="exact" w:line="300" w:before="0" w:after="120"/>
        <w:ind w:hanging="720" w:left="720"/>
        <w:rPr/>
      </w:pPr>
      <w:r>
        <w:rPr/>
        <w:t>Reserve Bank of India (2025). Risk weights on exposures of scheduled commercial banks to NBFCs and microfinance loans. Circular RBI/2024-25/119,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Webb, M. D. (2023). Reworking wild bootstrap-based inference for clustered errors. Canadian Journal of Economics, 56(3), 839–858.</w:t>
      </w:r>
    </w:p>
    <w:p>
      <w:pPr>
        <w:pStyle w:val="Normal"/>
        <w:spacing w:lineRule="exact" w:line="300" w:before="0" w:after="120"/>
        <w:ind w:hanging="720" w:left="720"/>
        <w:rPr/>
      </w:pPr>
      <w:r>
        <w:rPr/>
        <w:t>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w:t>
      </w:r>
      <w:r>
        <w:br w:type="page"/>
      </w:r>
    </w:p>
    <w:p>
      <w:pPr>
        <w:pStyle w:val="Heading1"/>
        <w:spacing w:before="240" w:after="120"/>
        <w:jc w:val="center"/>
        <w:rPr/>
      </w:pPr>
      <w:bookmarkStart w:id="57" w:name="__RefHeading___Toc4053_1073874868"/>
      <w:bookmarkEnd w:id="57"/>
      <w:r>
        <w:rPr/>
        <w:t>APPENDICES</w:t>
      </w:r>
    </w:p>
    <w:p>
      <w:pPr>
        <w:pStyle w:val="Heading2"/>
        <w:spacing w:before="240" w:after="120"/>
        <w:rPr/>
      </w:pPr>
      <w:bookmarkStart w:id="58" w:name="__RefHeading___Toc4055_1073874868"/>
      <w:bookmarkEnd w:id="58"/>
      <w:r>
        <w:rPr/>
        <w:t>Appendix A: Data Files and Reproducibility</w:t>
      </w:r>
    </w:p>
    <w:p>
      <w:pPr>
        <w:pStyle w:val="Normal"/>
        <w:spacing w:lineRule="exact" w:line="360" w:before="0" w:after="120"/>
        <w:jc w:val="both"/>
        <w:rPr/>
      </w:pPr>
      <w:r>
        <w:rPr/>
        <w:t>All data used in this dissertation are provided in the accompanying workbook Dissertation_Data.xlsx, which contains the following sheets:</w:t>
      </w:r>
    </w:p>
    <w:p>
      <w:pPr>
        <w:pStyle w:val="ListParagraph"/>
        <w:numPr>
          <w:ilvl w:val="0"/>
          <w:numId w:val="1"/>
        </w:numPr>
        <w:spacing w:lineRule="exact" w:line="340" w:before="0" w:after="80"/>
        <w:rPr/>
      </w:pPr>
      <w:r>
        <w:rPr/>
        <w:t>README — definitions and sources of all variables.</w:t>
      </w:r>
    </w:p>
    <w:p>
      <w:pPr>
        <w:pStyle w:val="ListParagraph"/>
        <w:numPr>
          <w:ilvl w:val="0"/>
          <w:numId w:val="1"/>
        </w:numPr>
        <w:spacing w:lineRule="exact" w:line="340" w:before="0" w:after="80"/>
        <w:rPr/>
      </w:pPr>
      <w:r>
        <w:rPr/>
        <w:t>RBI_Monthly — outstanding bank credit by category and monthly growth rates.</w:t>
      </w:r>
    </w:p>
    <w:p>
      <w:pPr>
        <w:pStyle w:val="ListParagraph"/>
        <w:numPr>
          <w:ilvl w:val="0"/>
          <w:numId w:val="1"/>
        </w:numPr>
        <w:spacing w:lineRule="exact" w:line="340" w:before="0" w:after="80"/>
        <w:rPr/>
      </w:pPr>
      <w:r>
        <w:rPr/>
        <w:t>RBI_Growth_Table — the figures in Table 4.1.</w:t>
      </w:r>
    </w:p>
    <w:p>
      <w:pPr>
        <w:pStyle w:val="ListParagraph"/>
        <w:numPr>
          <w:ilvl w:val="0"/>
          <w:numId w:val="1"/>
        </w:numPr>
        <w:spacing w:lineRule="exact" w:line="340" w:before="0" w:after="80"/>
        <w:rPr/>
      </w:pPr>
      <w:r>
        <w:rPr/>
        <w:t>COF_Quarterly and BankShare_Quarterly — hand-collected firm data, with the presentation and page each value came from.</w:t>
      </w:r>
    </w:p>
    <w:p>
      <w:pPr>
        <w:pStyle w:val="ListParagraph"/>
        <w:numPr>
          <w:ilvl w:val="0"/>
          <w:numId w:val="1"/>
        </w:numPr>
        <w:spacing w:lineRule="exact" w:line="340" w:before="0" w:after="80"/>
        <w:rPr/>
      </w:pPr>
      <w:r>
        <w:rPr/>
        <w:t>Bank_Exposure_Sep2023 — verified pre-policy bank shares and the values in the original dataset.</w:t>
      </w:r>
    </w:p>
    <w:p>
      <w:pPr>
        <w:pStyle w:val="ListParagraph"/>
        <w:numPr>
          <w:ilvl w:val="0"/>
          <w:numId w:val="1"/>
        </w:numPr>
        <w:spacing w:lineRule="exact" w:line="340" w:before="0" w:after="80"/>
        <w:rPr/>
      </w:pPr>
      <w:r>
        <w:rPr/>
        <w:t>Bajaj_Segments — segment-wise assets of Bajaj Finance.</w:t>
      </w:r>
    </w:p>
    <w:p>
      <w:pPr>
        <w:pStyle w:val="ListParagraph"/>
        <w:numPr>
          <w:ilvl w:val="0"/>
          <w:numId w:val="1"/>
        </w:numPr>
        <w:spacing w:lineRule="exact" w:line="340" w:before="0" w:after="80"/>
        <w:rPr/>
      </w:pPr>
      <w:r>
        <w:rPr/>
        <w:t>Company_Disclosures — verbatim company statements in Table 8.2.</w:t>
      </w:r>
    </w:p>
    <w:p>
      <w:pPr>
        <w:pStyle w:val="ListParagraph"/>
        <w:numPr>
          <w:ilvl w:val="0"/>
          <w:numId w:val="1"/>
        </w:numPr>
        <w:spacing w:lineRule="exact" w:line="340" w:before="0" w:after="80"/>
        <w:rPr/>
      </w:pPr>
      <w:r>
        <w:rPr/>
        <w:t>Results_* — all regression results reported in Chapters 7 and 8.</w:t>
      </w:r>
    </w:p>
    <w:p>
      <w:pPr>
        <w:pStyle w:val="Normal"/>
        <w:spacing w:lineRule="exact" w:line="360" w:before="0" w:after="120"/>
        <w:jc w:val="both"/>
        <w:rPr/>
      </w:pPr>
      <w:r>
        <w:rPr/>
        <w:t>The analysis was carried out in Python (pandas, statsmodels and linearmodels). The scripts are 05_final_analysis.py (all results, tables and figures) and did_tools.py (two-way fixed-effects estimation with wild cluster bootstrap-t inference).</w:t>
      </w:r>
    </w:p>
    <w:p>
      <w:pPr>
        <w:pStyle w:val="Heading2"/>
        <w:spacing w:before="240" w:after="120"/>
        <w:rPr/>
      </w:pPr>
      <w:bookmarkStart w:id="59" w:name="__RefHeading___Toc4057_1073874868"/>
      <w:bookmarkEnd w:id="59"/>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60" w:name="__RefHeading___Toc4059_1073874868"/>
      <w:bookmarkEnd w:id="60"/>
      <w:r>
        <w:rPr/>
        <w:t>Appendix C: Data Tables</w:t>
      </w:r>
    </w:p>
    <w:p>
      <w:pPr>
        <w:pStyle w:val="Normal"/>
        <w:keepNext w:val="true"/>
        <w:keepLines/>
        <w:spacing w:before="120" w:after="60"/>
        <w:jc w:val="left"/>
        <w:rPr/>
      </w:pPr>
      <w:r>
        <w:rPr>
          <w:b/>
          <w:bCs/>
          <w:sz w:val="22"/>
          <w:szCs w:val="22"/>
        </w:rPr>
        <w:t>Table C.1: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hand-collected from quarterly investor presentations (see Appendix B for definitions).</w:t>
      </w:r>
    </w:p>
    <w:p>
      <w:pPr>
        <w:pStyle w:val="Normal"/>
        <w:keepNext w:val="true"/>
        <w:keepLines/>
        <w:spacing w:before="120" w:after="60"/>
        <w:jc w:val="left"/>
        <w:rPr/>
      </w:pPr>
      <w:r>
        <w:rPr>
          <w:b/>
          <w:bCs/>
          <w:sz w:val="22"/>
          <w:szCs w:val="22"/>
        </w:rPr>
        <w:t>Table C.2: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hand-collected from quarterly investor presentations.</w:t>
      </w:r>
    </w:p>
    <w:p>
      <w:pPr>
        <w:pStyle w:val="Normal"/>
        <w:keepNext w:val="true"/>
        <w:keepLines/>
        <w:spacing w:before="120" w:after="60"/>
        <w:jc w:val="left"/>
        <w:rPr/>
      </w:pPr>
      <w:r>
        <w:rPr>
          <w:b/>
          <w:bCs/>
          <w:sz w:val="22"/>
          <w:szCs w:val="22"/>
        </w:rPr>
        <w:t>Table C.3: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Figures from July 2023 include the effect of the HDFC merger (housing up, HFC and NBFC credit down).</w:t>
      </w:r>
    </w:p>
    <w:sectPr>
      <w:footerReference w:type="even" r:id="rId10"/>
      <w:footerReference w:type="default" r:id="rId11"/>
      <w:footerReference w:type="first" r:id="rId12"/>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vii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36</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44</Pages>
  <Words>11946</Words>
  <Characters>63643</Characters>
  <CharactersWithSpaces>73995</CharactersWithSpaces>
  <Paragraphs>1528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2026-10-03T10:47:22Z</dcterms:created>
  <dc:creator>Nityam Gupta</dc:creator>
  <dc:description/>
  <dc:language>en-US</dc:language>
  <cp:lastModifiedBy/>
  <dcterms:modified xsi:type="dcterms:W3CDTF">2026-10-03T10:47:29Z</dcterms:modified>
  <cp:revision>2</cp:revision>
  <dc:subject/>
  <dc:title>Capital Requirements and Credit Supply</dc:title>
</cp:coreProperties>
</file>