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8BA66" w14:textId="77777777" w:rsidR="00D70788" w:rsidRPr="003F2DB9" w:rsidRDefault="00D70788" w:rsidP="00D70788">
      <w:pPr>
        <w:spacing w:after="0" w:line="240" w:lineRule="auto"/>
        <w:ind w:left="46"/>
        <w:jc w:val="center"/>
        <w:rPr>
          <w:rFonts w:ascii="Palatino Linotype" w:eastAsia="Palatino Linotype" w:hAnsi="Palatino Linotype" w:cs="Palatino Linotype"/>
          <w:b/>
          <w:sz w:val="32"/>
          <w:szCs w:val="8"/>
          <w:highlight w:val="yellow"/>
          <w:lang w:eastAsia="en-MY"/>
        </w:rPr>
      </w:pPr>
      <w:r w:rsidRPr="003F2DB9">
        <w:rPr>
          <w:rFonts w:ascii="Palatino Linotype" w:eastAsia="Palatino Linotype" w:hAnsi="Palatino Linotype" w:cs="Palatino Linotype"/>
          <w:noProof/>
          <w:sz w:val="14"/>
          <w:szCs w:val="14"/>
          <w:highlight w:val="yellow"/>
          <w:lang w:eastAsia="en-MY"/>
        </w:rPr>
        <mc:AlternateContent>
          <mc:Choice Requires="wpg">
            <w:drawing>
              <wp:anchor distT="0" distB="0" distL="114300" distR="114300" simplePos="0" relativeHeight="251660288" behindDoc="0" locked="0" layoutInCell="1" allowOverlap="1" wp14:anchorId="3E7AB5A8" wp14:editId="0497D12A">
                <wp:simplePos x="0" y="0"/>
                <wp:positionH relativeFrom="margin">
                  <wp:align>left</wp:align>
                </wp:positionH>
                <wp:positionV relativeFrom="page">
                  <wp:posOffset>909955</wp:posOffset>
                </wp:positionV>
                <wp:extent cx="6179820" cy="45085"/>
                <wp:effectExtent l="0" t="0" r="0" b="0"/>
                <wp:wrapTopAndBottom/>
                <wp:docPr id="8" name="Group 8"/>
                <wp:cNvGraphicFramePr/>
                <a:graphic xmlns:a="http://schemas.openxmlformats.org/drawingml/2006/main">
                  <a:graphicData uri="http://schemas.microsoft.com/office/word/2010/wordprocessingGroup">
                    <wpg:wgp>
                      <wpg:cNvGrpSpPr/>
                      <wpg:grpSpPr>
                        <a:xfrm>
                          <a:off x="0" y="0"/>
                          <a:ext cx="6179820" cy="45085"/>
                          <a:chOff x="0" y="0"/>
                          <a:chExt cx="5731510" cy="9525"/>
                        </a:xfrm>
                      </wpg:grpSpPr>
                      <wps:wsp>
                        <wps:cNvPr id="9" name="Shape 6"/>
                        <wps:cNvSpPr/>
                        <wps:spPr>
                          <a:xfrm>
                            <a:off x="0" y="0"/>
                            <a:ext cx="5731510" cy="0"/>
                          </a:xfrm>
                          <a:custGeom>
                            <a:avLst/>
                            <a:gdLst/>
                            <a:ahLst/>
                            <a:cxnLst/>
                            <a:rect l="0" t="0" r="0" b="0"/>
                            <a:pathLst>
                              <a:path w="5731510">
                                <a:moveTo>
                                  <a:pt x="0" y="0"/>
                                </a:moveTo>
                                <a:lnTo>
                                  <a:pt x="5731510" y="0"/>
                                </a:lnTo>
                              </a:path>
                            </a:pathLst>
                          </a:custGeom>
                          <a:noFill/>
                          <a:ln w="9525" cap="flat" cmpd="sng" algn="ctr">
                            <a:solidFill>
                              <a:srgbClr val="000000"/>
                            </a:solidFill>
                            <a:prstDash val="solid"/>
                            <a:round/>
                          </a:ln>
                          <a:effectLst/>
                        </wps:spPr>
                        <wps:bodyPr/>
                      </wps:wsp>
                    </wpg:wgp>
                  </a:graphicData>
                </a:graphic>
                <wp14:sizeRelH relativeFrom="margin">
                  <wp14:pctWidth>0</wp14:pctWidth>
                </wp14:sizeRelH>
                <wp14:sizeRelV relativeFrom="margin">
                  <wp14:pctHeight>0</wp14:pctHeight>
                </wp14:sizeRelV>
              </wp:anchor>
            </w:drawing>
          </mc:Choice>
          <mc:Fallback xmlns:c="http://schemas.openxmlformats.org/drawingml/2006/chart" xmlns:a16="http://schemas.microsoft.com/office/drawing/2014/main" xmlns:pic="http://schemas.openxmlformats.org/drawingml/2006/picture" xmlns:a="http://schemas.openxmlformats.org/drawingml/2006/main">
            <w:pict w14:anchorId="421CC1DF">
              <v:group id="Group 8" style="position:absolute;margin-left:0;margin-top:71.65pt;width:486.6pt;height:3.55pt;z-index:251660288;mso-position-horizontal:left;mso-position-horizontal-relative:margin;mso-position-vertical-relative:page;mso-width-relative:margin;mso-height-relative:margin" coordsize="57315,95" o:spid="_x0000_s1026" w14:anchorId="746EC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">
                <v:shape id="Shape 6" style="position:absolute;width:57315;height:0;visibility:visible;mso-wrap-style:square;v-text-anchor:top" coordsize="5731510,0" o:spid="_x0000_s1027" filled="f" path="m,l573151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">
                  <v:path textboxrect="0,0,5731510,0" arrowok="t"/>
                </v:shape>
                <w10:wrap type="topAndBottom" anchorx="margin" anchory="page"/>
              </v:group>
            </w:pict>
          </mc:Fallback>
        </mc:AlternateContent>
      </w:r>
      <w:r w:rsidRPr="003F2DB9">
        <w:rPr>
          <w:rFonts w:ascii="Palatino Linotype" w:eastAsia="Palatino Linotype" w:hAnsi="Palatino Linotype" w:cs="Palatino Linotype"/>
          <w:b/>
          <w:sz w:val="32"/>
          <w:szCs w:val="8"/>
          <w:highlight w:val="yellow"/>
          <w:lang w:eastAsia="en-MY"/>
        </w:rPr>
        <w:t xml:space="preserve">Journal of Informatics and </w:t>
      </w:r>
    </w:p>
    <w:p w14:paraId="57438922" w14:textId="77777777" w:rsidR="00D70788" w:rsidRPr="003F2DB9" w:rsidRDefault="00D70788" w:rsidP="00D70788">
      <w:pPr>
        <w:spacing w:after="0" w:line="240" w:lineRule="auto"/>
        <w:ind w:left="46"/>
        <w:jc w:val="center"/>
        <w:rPr>
          <w:rFonts w:ascii="Palatino Linotype" w:eastAsia="Palatino Linotype" w:hAnsi="Palatino Linotype" w:cs="Palatino Linotype"/>
          <w:sz w:val="14"/>
          <w:szCs w:val="14"/>
          <w:lang w:eastAsia="en-MY"/>
        </w:rPr>
      </w:pPr>
      <w:r w:rsidRPr="003F2DB9">
        <w:rPr>
          <w:rFonts w:ascii="Palatino Linotype" w:eastAsia="Palatino Linotype" w:hAnsi="Palatino Linotype" w:cs="Palatino Linotype"/>
          <w:b/>
          <w:sz w:val="32"/>
          <w:szCs w:val="8"/>
          <w:highlight w:val="yellow"/>
          <w:lang w:eastAsia="en-MY"/>
        </w:rPr>
        <w:t>Web Engineering</w:t>
      </w:r>
    </w:p>
    <w:p w14:paraId="54F0D263" w14:textId="77777777" w:rsidR="00D70788" w:rsidRPr="003F2DB9" w:rsidRDefault="00D70788" w:rsidP="00D70788">
      <w:pPr>
        <w:tabs>
          <w:tab w:val="right" w:pos="9026"/>
        </w:tabs>
        <w:spacing w:after="10" w:line="248" w:lineRule="auto"/>
        <w:jc w:val="center"/>
        <w:rPr>
          <w:rFonts w:ascii="Palatino Linotype" w:eastAsia="Palatino Linotype" w:hAnsi="Palatino Linotype" w:cs="Palatino Linotype"/>
          <w:lang w:eastAsia="en-MY"/>
        </w:rPr>
      </w:pPr>
      <w:r w:rsidRPr="003F2DB9">
        <w:rPr>
          <w:rFonts w:ascii="Palatino Linotype" w:eastAsia="Palatino Linotype" w:hAnsi="Palatino Linotype" w:cs="Palatino Linotype"/>
          <w:lang w:eastAsia="en-MY"/>
        </w:rPr>
        <w:t>Vol. 2 No. 2 (September 2023)</w:t>
      </w:r>
      <w:r w:rsidRPr="003F2DB9">
        <w:rPr>
          <w:rFonts w:ascii="Palatino Linotype" w:eastAsia="Palatino Linotype" w:hAnsi="Palatino Linotype" w:cs="Palatino Linotype"/>
          <w:lang w:eastAsia="en-MY"/>
        </w:rPr>
        <w:tab/>
      </w:r>
      <w:proofErr w:type="spellStart"/>
      <w:r w:rsidRPr="003F2DB9">
        <w:rPr>
          <w:rFonts w:ascii="Palatino Linotype" w:eastAsia="Palatino Linotype" w:hAnsi="Palatino Linotype" w:cs="Palatino Linotype"/>
          <w:lang w:eastAsia="en-MY"/>
        </w:rPr>
        <w:t>eISSN</w:t>
      </w:r>
      <w:proofErr w:type="spellEnd"/>
      <w:r w:rsidRPr="003F2DB9">
        <w:rPr>
          <w:rFonts w:ascii="Palatino Linotype" w:eastAsia="Palatino Linotype" w:hAnsi="Palatino Linotype" w:cs="Palatino Linotype"/>
          <w:lang w:eastAsia="en-MY"/>
        </w:rPr>
        <w:t>: 2821-370X</w:t>
      </w:r>
    </w:p>
    <w:p w14:paraId="35C41587" w14:textId="77777777" w:rsidR="00D70788" w:rsidRPr="003F2DB9" w:rsidRDefault="00D70788" w:rsidP="00D70788">
      <w:pPr>
        <w:spacing w:after="412" w:line="259" w:lineRule="auto"/>
        <w:ind w:left="-2"/>
        <w:rPr>
          <w:rFonts w:ascii="Palatino Linotype" w:eastAsia="Palatino Linotype" w:hAnsi="Palatino Linotype" w:cs="Palatino Linotype"/>
          <w:lang w:eastAsia="en-MY"/>
        </w:rPr>
      </w:pPr>
      <w:r w:rsidRPr="003F2DB9">
        <w:rPr>
          <w:rFonts w:ascii="Calibri" w:eastAsia="Calibri" w:hAnsi="Calibri" w:cs="Calibri"/>
          <w:noProof/>
          <w:lang w:eastAsia="en-MY"/>
        </w:rPr>
        <mc:AlternateContent>
          <mc:Choice Requires="wpg">
            <w:drawing>
              <wp:anchor distT="0" distB="0" distL="114300" distR="114300" simplePos="0" relativeHeight="251659264" behindDoc="0" locked="0" layoutInCell="1" allowOverlap="1" wp14:anchorId="4F3FF7A6" wp14:editId="640C6867">
                <wp:simplePos x="0" y="0"/>
                <wp:positionH relativeFrom="margin">
                  <wp:posOffset>-1270</wp:posOffset>
                </wp:positionH>
                <wp:positionV relativeFrom="paragraph">
                  <wp:posOffset>6350</wp:posOffset>
                </wp:positionV>
                <wp:extent cx="6210300" cy="45719"/>
                <wp:effectExtent l="0" t="0" r="19050" b="12065"/>
                <wp:wrapNone/>
                <wp:docPr id="10" name="Group 10"/>
                <wp:cNvGraphicFramePr/>
                <a:graphic xmlns:a="http://schemas.openxmlformats.org/drawingml/2006/main">
                  <a:graphicData uri="http://schemas.microsoft.com/office/word/2010/wordprocessingGroup">
                    <wpg:wgp>
                      <wpg:cNvGrpSpPr/>
                      <wpg:grpSpPr>
                        <a:xfrm>
                          <a:off x="0" y="0"/>
                          <a:ext cx="6210300" cy="45719"/>
                          <a:chOff x="0" y="0"/>
                          <a:chExt cx="5731510" cy="20320"/>
                        </a:xfrm>
                      </wpg:grpSpPr>
                      <wps:wsp>
                        <wps:cNvPr id="14" name="Shape 7"/>
                        <wps:cNvSpPr/>
                        <wps:spPr>
                          <a:xfrm>
                            <a:off x="0" y="0"/>
                            <a:ext cx="5731510" cy="0"/>
                          </a:xfrm>
                          <a:custGeom>
                            <a:avLst/>
                            <a:gdLst/>
                            <a:ahLst/>
                            <a:cxnLst/>
                            <a:rect l="0" t="0" r="0" b="0"/>
                            <a:pathLst>
                              <a:path w="5731510">
                                <a:moveTo>
                                  <a:pt x="0" y="0"/>
                                </a:moveTo>
                                <a:lnTo>
                                  <a:pt x="5731510" y="0"/>
                                </a:lnTo>
                              </a:path>
                            </a:pathLst>
                          </a:custGeom>
                          <a:noFill/>
                          <a:ln w="10160" cap="flat" cmpd="sng" algn="ctr">
                            <a:solidFill>
                              <a:srgbClr val="000000"/>
                            </a:solidFill>
                            <a:prstDash val="solid"/>
                            <a:round/>
                          </a:ln>
                          <a:effectLst/>
                        </wps:spPr>
                        <wps:bodyPr/>
                      </wps:wsp>
                      <wps:wsp>
                        <wps:cNvPr id="15" name="Shape 8"/>
                        <wps:cNvSpPr/>
                        <wps:spPr>
                          <a:xfrm>
                            <a:off x="0" y="20320"/>
                            <a:ext cx="5731510" cy="0"/>
                          </a:xfrm>
                          <a:custGeom>
                            <a:avLst/>
                            <a:gdLst/>
                            <a:ahLst/>
                            <a:cxnLst/>
                            <a:rect l="0" t="0" r="0" b="0"/>
                            <a:pathLst>
                              <a:path w="5731510">
                                <a:moveTo>
                                  <a:pt x="0" y="0"/>
                                </a:moveTo>
                                <a:lnTo>
                                  <a:pt x="5731510" y="0"/>
                                </a:lnTo>
                              </a:path>
                            </a:pathLst>
                          </a:custGeom>
                          <a:noFill/>
                          <a:ln w="10160" cap="flat" cmpd="sng" algn="ctr">
                            <a:solidFill>
                              <a:srgbClr val="000000"/>
                            </a:solidFill>
                            <a:prstDash val="solid"/>
                            <a:round/>
                          </a:ln>
                          <a:effectLst/>
                        </wps:spPr>
                        <wps:bodyPr/>
                      </wps:wsp>
                    </wpg:wgp>
                  </a:graphicData>
                </a:graphic>
                <wp14:sizeRelH relativeFrom="margin">
                  <wp14:pctWidth>0</wp14:pctWidth>
                </wp14:sizeRelH>
                <wp14:sizeRelV relativeFrom="margin">
                  <wp14:pctHeight>0</wp14:pctHeight>
                </wp14:sizeRelV>
              </wp:anchor>
            </w:drawing>
          </mc:Choice>
          <mc:Fallback xmlns:c="http://schemas.openxmlformats.org/drawingml/2006/chart" xmlns:a16="http://schemas.microsoft.com/office/drawing/2014/main" xmlns:pic="http://schemas.openxmlformats.org/drawingml/2006/picture" xmlns:a="http://schemas.openxmlformats.org/drawingml/2006/main">
            <w:pict w14:anchorId="6148CAE8">
              <v:group id="Group 10" style="position:absolute;margin-left:-.1pt;margin-top:.5pt;width:489pt;height:3.6pt;z-index:251659264;mso-position-horizontal-relative:margin;mso-width-relative:margin;mso-height-relative:margin" coordsize="57315,203" o:spid="_x0000_s1026" w14:anchorId="6A169F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">
                <v:shape id="Shape 7" style="position:absolute;width:57315;height:0;visibility:visible;mso-wrap-style:square;v-text-anchor:top" coordsize="5731510,0" o:spid="_x0000_s1027" filled="f" strokeweight=".8pt" path="m,l573151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">
                  <v:path textboxrect="0,0,5731510,0" arrowok="t"/>
                </v:shape>
                <v:shape id="Shape 8" style="position:absolute;top:203;width:57315;height:0;visibility:visible;mso-wrap-style:square;v-text-anchor:top" coordsize="5731510,0" o:spid="_x0000_s1028" filled="f" strokeweight=".8pt" path="m,l573151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">
                  <v:path textboxrect="0,0,5731510,0" arrowok="t"/>
                </v:shape>
                <w10:wrap anchorx="margin"/>
              </v:group>
            </w:pict>
          </mc:Fallback>
        </mc:AlternateContent>
      </w:r>
    </w:p>
    <w:p w14:paraId="3DFA362F" w14:textId="77777777" w:rsidR="002C21D5" w:rsidRPr="003F2DB9" w:rsidRDefault="002C21D5" w:rsidP="002C21D5">
      <w:pPr>
        <w:spacing w:after="0"/>
        <w:jc w:val="center"/>
        <w:rPr>
          <w:rFonts w:ascii="Times New Roman" w:eastAsia="Times New Roman" w:hAnsi="Times New Roman" w:cs="Times New Roman"/>
          <w:kern w:val="36"/>
          <w:sz w:val="48"/>
          <w:szCs w:val="48"/>
        </w:rPr>
      </w:pPr>
      <w:r w:rsidRPr="003F2DB9">
        <w:rPr>
          <w:rFonts w:ascii="Times New Roman" w:eastAsia="Times New Roman" w:hAnsi="Times New Roman" w:cs="Times New Roman"/>
          <w:kern w:val="36"/>
          <w:sz w:val="48"/>
          <w:szCs w:val="48"/>
        </w:rPr>
        <w:t>Impact of green building certification on the rent of commercial properties: A review</w:t>
      </w:r>
    </w:p>
    <w:p w14:paraId="4CEA7D1E" w14:textId="77777777" w:rsidR="009231AE" w:rsidRPr="003F2DB9" w:rsidRDefault="009231AE" w:rsidP="00C01D9C">
      <w:pPr>
        <w:spacing w:after="0"/>
        <w:jc w:val="center"/>
        <w:rPr>
          <w:rFonts w:ascii="Times New Roman" w:eastAsia="Times New Roman" w:hAnsi="Times New Roman" w:cs="Times New Roman"/>
          <w:kern w:val="36"/>
          <w:sz w:val="48"/>
          <w:szCs w:val="48"/>
        </w:rPr>
      </w:pPr>
    </w:p>
    <w:p w14:paraId="376F6957" w14:textId="0FEDC781" w:rsidR="00C01D9C" w:rsidRPr="003F2DB9" w:rsidRDefault="00F834D5" w:rsidP="00C01D9C">
      <w:pPr>
        <w:spacing w:after="0"/>
        <w:jc w:val="center"/>
        <w:rPr>
          <w:rFonts w:ascii="Times New Roman" w:hAnsi="Times New Roman" w:cs="Times New Roman"/>
          <w:sz w:val="28"/>
          <w:szCs w:val="28"/>
        </w:rPr>
      </w:pPr>
      <w:proofErr w:type="spellStart"/>
      <w:r w:rsidRPr="003F2DB9">
        <w:rPr>
          <w:rFonts w:ascii="Times New Roman" w:hAnsi="Times New Roman" w:cs="Times New Roman"/>
          <w:sz w:val="28"/>
          <w:szCs w:val="28"/>
          <w:highlight w:val="yellow"/>
        </w:rPr>
        <w:t>Thebuwena</w:t>
      </w:r>
      <w:proofErr w:type="spellEnd"/>
      <w:r w:rsidRPr="003F2DB9">
        <w:rPr>
          <w:rFonts w:ascii="Times New Roman" w:hAnsi="Times New Roman" w:cs="Times New Roman"/>
          <w:sz w:val="28"/>
          <w:szCs w:val="28"/>
          <w:highlight w:val="yellow"/>
        </w:rPr>
        <w:t xml:space="preserve"> A</w:t>
      </w:r>
      <w:r w:rsidR="00175D91" w:rsidRPr="003F2DB9">
        <w:rPr>
          <w:rFonts w:ascii="Times New Roman" w:hAnsi="Times New Roman" w:cs="Times New Roman"/>
          <w:sz w:val="28"/>
          <w:szCs w:val="28"/>
          <w:highlight w:val="yellow"/>
        </w:rPr>
        <w:t>rachchige</w:t>
      </w:r>
      <w:r w:rsidRPr="003F2DB9">
        <w:rPr>
          <w:rFonts w:ascii="Times New Roman" w:hAnsi="Times New Roman" w:cs="Times New Roman"/>
          <w:sz w:val="28"/>
          <w:szCs w:val="28"/>
          <w:highlight w:val="yellow"/>
        </w:rPr>
        <w:t xml:space="preserve"> C</w:t>
      </w:r>
      <w:r w:rsidR="00175D91" w:rsidRPr="003F2DB9">
        <w:rPr>
          <w:rFonts w:ascii="Times New Roman" w:hAnsi="Times New Roman" w:cs="Times New Roman"/>
          <w:sz w:val="28"/>
          <w:szCs w:val="28"/>
          <w:highlight w:val="yellow"/>
        </w:rPr>
        <w:t>handana</w:t>
      </w:r>
      <w:r w:rsidRPr="003F2DB9">
        <w:rPr>
          <w:rFonts w:ascii="Times New Roman" w:hAnsi="Times New Roman" w:cs="Times New Roman"/>
          <w:sz w:val="28"/>
          <w:szCs w:val="28"/>
          <w:highlight w:val="yellow"/>
        </w:rPr>
        <w:t xml:space="preserve"> H</w:t>
      </w:r>
      <w:r w:rsidR="00175D91" w:rsidRPr="003F2DB9">
        <w:rPr>
          <w:rFonts w:ascii="Times New Roman" w:hAnsi="Times New Roman" w:cs="Times New Roman"/>
          <w:sz w:val="28"/>
          <w:szCs w:val="28"/>
          <w:highlight w:val="yellow"/>
        </w:rPr>
        <w:t>emantha</w:t>
      </w:r>
      <w:r w:rsidRPr="003F2DB9">
        <w:rPr>
          <w:rFonts w:ascii="Times New Roman" w:hAnsi="Times New Roman" w:cs="Times New Roman"/>
          <w:sz w:val="28"/>
          <w:szCs w:val="28"/>
          <w:highlight w:val="yellow"/>
        </w:rPr>
        <w:t xml:space="preserve"> J</w:t>
      </w:r>
      <w:r w:rsidR="00175D91" w:rsidRPr="003F2DB9">
        <w:rPr>
          <w:rFonts w:ascii="Times New Roman" w:hAnsi="Times New Roman" w:cs="Times New Roman"/>
          <w:sz w:val="28"/>
          <w:szCs w:val="28"/>
          <w:highlight w:val="yellow"/>
        </w:rPr>
        <w:t>ayakody</w:t>
      </w:r>
      <w:r w:rsidR="00C01D9C" w:rsidRPr="003F2DB9">
        <w:rPr>
          <w:rFonts w:ascii="Times New Roman" w:hAnsi="Times New Roman" w:cs="Times New Roman"/>
          <w:sz w:val="28"/>
          <w:szCs w:val="28"/>
          <w:highlight w:val="yellow"/>
          <w:vertAlign w:val="superscript"/>
        </w:rPr>
        <w:t>1*</w:t>
      </w:r>
      <w:r w:rsidR="00C01D9C" w:rsidRPr="003F2DB9">
        <w:rPr>
          <w:rFonts w:ascii="Times New Roman" w:hAnsi="Times New Roman" w:cs="Times New Roman"/>
          <w:sz w:val="28"/>
          <w:szCs w:val="28"/>
          <w:highlight w:val="yellow"/>
          <w:lang w:val="id-ID"/>
        </w:rPr>
        <w:t xml:space="preserve">, </w:t>
      </w:r>
      <w:r w:rsidRPr="003F2DB9">
        <w:rPr>
          <w:rFonts w:ascii="Times New Roman" w:hAnsi="Times New Roman" w:cs="Times New Roman"/>
          <w:sz w:val="28"/>
          <w:szCs w:val="28"/>
          <w:highlight w:val="yellow"/>
        </w:rPr>
        <w:t>Anthony Vaz</w:t>
      </w:r>
      <w:r w:rsidR="00C01D9C" w:rsidRPr="003F2DB9">
        <w:rPr>
          <w:rFonts w:ascii="Times New Roman" w:hAnsi="Times New Roman" w:cs="Times New Roman"/>
          <w:sz w:val="28"/>
          <w:szCs w:val="28"/>
          <w:highlight w:val="yellow"/>
          <w:vertAlign w:val="superscript"/>
        </w:rPr>
        <w:t>2</w:t>
      </w:r>
    </w:p>
    <w:p w14:paraId="595AA8A6" w14:textId="43AF6B13" w:rsidR="007318DE" w:rsidRPr="003F2DB9" w:rsidRDefault="00F834D5" w:rsidP="00C01D9C">
      <w:pPr>
        <w:spacing w:after="0"/>
        <w:jc w:val="center"/>
        <w:rPr>
          <w:rFonts w:ascii="Times New Roman" w:hAnsi="Times New Roman" w:cs="Times New Roman"/>
          <w:i/>
          <w:sz w:val="18"/>
          <w:szCs w:val="18"/>
        </w:rPr>
      </w:pPr>
      <w:r w:rsidRPr="003F2DB9">
        <w:rPr>
          <w:rFonts w:ascii="Times New Roman" w:hAnsi="Times New Roman" w:cs="Times New Roman"/>
          <w:sz w:val="18"/>
          <w:szCs w:val="18"/>
          <w:vertAlign w:val="superscript"/>
        </w:rPr>
        <w:t>1</w:t>
      </w:r>
      <w:r w:rsidR="00C469DB" w:rsidRPr="003F2DB9">
        <w:rPr>
          <w:rFonts w:ascii="Times New Roman" w:hAnsi="Times New Roman" w:cs="Times New Roman"/>
          <w:sz w:val="18"/>
          <w:szCs w:val="18"/>
          <w:vertAlign w:val="superscript"/>
        </w:rPr>
        <w:t xml:space="preserve">,2 </w:t>
      </w:r>
      <w:r w:rsidRPr="003F2DB9">
        <w:rPr>
          <w:rFonts w:ascii="Times New Roman" w:hAnsi="Times New Roman" w:cs="Times New Roman"/>
          <w:sz w:val="18"/>
          <w:szCs w:val="18"/>
        </w:rPr>
        <w:t>School of Business, Malaysia University of Science and Technology,</w:t>
      </w:r>
      <w:r w:rsidR="00511551" w:rsidRPr="003F2DB9">
        <w:rPr>
          <w:rFonts w:ascii="Times New Roman" w:hAnsi="Times New Roman" w:cs="Times New Roman"/>
          <w:sz w:val="18"/>
          <w:szCs w:val="18"/>
        </w:rPr>
        <w:t xml:space="preserve"> Block B, </w:t>
      </w:r>
      <w:proofErr w:type="spellStart"/>
      <w:r w:rsidR="00511551" w:rsidRPr="003F2DB9">
        <w:rPr>
          <w:rFonts w:ascii="Times New Roman" w:hAnsi="Times New Roman" w:cs="Times New Roman"/>
          <w:sz w:val="18"/>
          <w:szCs w:val="18"/>
        </w:rPr>
        <w:t>Encorp</w:t>
      </w:r>
      <w:proofErr w:type="spellEnd"/>
      <w:r w:rsidR="00511551" w:rsidRPr="003F2DB9">
        <w:rPr>
          <w:rFonts w:ascii="Times New Roman" w:hAnsi="Times New Roman" w:cs="Times New Roman"/>
          <w:sz w:val="18"/>
          <w:szCs w:val="18"/>
        </w:rPr>
        <w:t xml:space="preserve"> Strand Garden Office, No. 12, Jalan PJU 5/5, Kota Damansara, 47810 </w:t>
      </w:r>
      <w:proofErr w:type="spellStart"/>
      <w:r w:rsidR="00511551" w:rsidRPr="003F2DB9">
        <w:rPr>
          <w:rFonts w:ascii="Times New Roman" w:hAnsi="Times New Roman" w:cs="Times New Roman"/>
          <w:sz w:val="18"/>
          <w:szCs w:val="18"/>
        </w:rPr>
        <w:t>Petaling</w:t>
      </w:r>
      <w:proofErr w:type="spellEnd"/>
      <w:r w:rsidR="00511551" w:rsidRPr="003F2DB9">
        <w:rPr>
          <w:rFonts w:ascii="Times New Roman" w:hAnsi="Times New Roman" w:cs="Times New Roman"/>
          <w:sz w:val="18"/>
          <w:szCs w:val="18"/>
        </w:rPr>
        <w:t xml:space="preserve"> Jaya, Selangor, Malaysia.</w:t>
      </w:r>
    </w:p>
    <w:p w14:paraId="376F695A" w14:textId="422FA17D" w:rsidR="00C01D9C" w:rsidRPr="003F2DB9" w:rsidRDefault="00D70788" w:rsidP="00C01D9C">
      <w:pPr>
        <w:spacing w:after="0"/>
        <w:jc w:val="center"/>
        <w:rPr>
          <w:rFonts w:ascii="Times New Roman" w:hAnsi="Times New Roman" w:cs="Times New Roman"/>
          <w:i/>
          <w:sz w:val="28"/>
          <w:szCs w:val="28"/>
        </w:rPr>
      </w:pPr>
      <w:r w:rsidRPr="003F2DB9">
        <w:rPr>
          <w:rFonts w:ascii="Times New Roman" w:hAnsi="Times New Roman" w:cs="Times New Roman"/>
          <w:i/>
          <w:sz w:val="28"/>
          <w:szCs w:val="28"/>
          <w:highlight w:val="yellow"/>
        </w:rPr>
        <w:t>*</w:t>
      </w:r>
      <w:proofErr w:type="gramStart"/>
      <w:r w:rsidRPr="003F2DB9">
        <w:rPr>
          <w:rFonts w:ascii="Times New Roman" w:hAnsi="Times New Roman" w:cs="Times New Roman"/>
          <w:i/>
          <w:sz w:val="28"/>
          <w:szCs w:val="28"/>
          <w:highlight w:val="yellow"/>
        </w:rPr>
        <w:t>corresponding</w:t>
      </w:r>
      <w:proofErr w:type="gramEnd"/>
      <w:r w:rsidRPr="003F2DB9">
        <w:rPr>
          <w:rFonts w:ascii="Times New Roman" w:hAnsi="Times New Roman" w:cs="Times New Roman"/>
          <w:i/>
          <w:sz w:val="28"/>
          <w:szCs w:val="28"/>
          <w:highlight w:val="yellow"/>
        </w:rPr>
        <w:t xml:space="preserve"> author: </w:t>
      </w:r>
      <w:r w:rsidR="00C01D9C" w:rsidRPr="003F2DB9">
        <w:rPr>
          <w:rFonts w:ascii="Times New Roman" w:hAnsi="Times New Roman" w:cs="Times New Roman"/>
          <w:i/>
          <w:sz w:val="28"/>
          <w:szCs w:val="28"/>
          <w:highlight w:val="yellow"/>
        </w:rPr>
        <w:t>(</w:t>
      </w:r>
      <w:r w:rsidR="00F834D5" w:rsidRPr="003F2DB9">
        <w:rPr>
          <w:rFonts w:ascii="Times New Roman" w:hAnsi="Times New Roman" w:cs="Times New Roman"/>
          <w:i/>
          <w:sz w:val="28"/>
          <w:szCs w:val="28"/>
          <w:highlight w:val="yellow"/>
        </w:rPr>
        <w:t>thebuwena@yahoo.com</w:t>
      </w:r>
      <w:r w:rsidR="00707192" w:rsidRPr="003F2DB9">
        <w:rPr>
          <w:rFonts w:ascii="Times New Roman" w:hAnsi="Times New Roman" w:cs="Times New Roman"/>
          <w:i/>
          <w:sz w:val="28"/>
          <w:szCs w:val="28"/>
          <w:highlight w:val="yellow"/>
        </w:rPr>
        <w:t>;</w:t>
      </w:r>
      <w:r w:rsidR="00707192" w:rsidRPr="003F2DB9">
        <w:rPr>
          <w:sz w:val="36"/>
          <w:szCs w:val="36"/>
          <w:highlight w:val="yellow"/>
        </w:rPr>
        <w:t xml:space="preserve"> </w:t>
      </w:r>
      <w:proofErr w:type="spellStart"/>
      <w:r w:rsidR="00707192" w:rsidRPr="003F2DB9">
        <w:rPr>
          <w:rFonts w:ascii="Times New Roman" w:hAnsi="Times New Roman" w:cs="Times New Roman"/>
          <w:i/>
          <w:sz w:val="28"/>
          <w:szCs w:val="28"/>
          <w:highlight w:val="yellow"/>
        </w:rPr>
        <w:t>ORCiD</w:t>
      </w:r>
      <w:proofErr w:type="spellEnd"/>
      <w:r w:rsidR="00707192" w:rsidRPr="003F2DB9">
        <w:rPr>
          <w:rFonts w:ascii="Times New Roman" w:hAnsi="Times New Roman" w:cs="Times New Roman"/>
          <w:i/>
          <w:sz w:val="28"/>
          <w:szCs w:val="28"/>
          <w:highlight w:val="yellow"/>
        </w:rPr>
        <w:t xml:space="preserve">: </w:t>
      </w:r>
      <w:r w:rsidR="00467417" w:rsidRPr="003F2DB9">
        <w:rPr>
          <w:rFonts w:ascii="Times New Roman" w:hAnsi="Times New Roman" w:cs="Times New Roman"/>
          <w:i/>
          <w:sz w:val="28"/>
          <w:szCs w:val="28"/>
          <w:highlight w:val="yellow"/>
        </w:rPr>
        <w:t>0000-0001-8559-5354</w:t>
      </w:r>
      <w:r w:rsidR="00707192" w:rsidRPr="003F2DB9">
        <w:rPr>
          <w:rFonts w:ascii="Times New Roman" w:hAnsi="Times New Roman" w:cs="Times New Roman"/>
          <w:i/>
          <w:sz w:val="28"/>
          <w:szCs w:val="28"/>
          <w:highlight w:val="yellow"/>
        </w:rPr>
        <w:t>)</w:t>
      </w:r>
    </w:p>
    <w:p w14:paraId="376F695B" w14:textId="77777777" w:rsidR="00C01D9C" w:rsidRPr="003F2DB9" w:rsidRDefault="00C01D9C" w:rsidP="00C01D9C">
      <w:pPr>
        <w:shd w:val="clear" w:color="auto" w:fill="FFFFFF"/>
        <w:spacing w:after="150" w:line="240" w:lineRule="auto"/>
        <w:rPr>
          <w:rFonts w:ascii="Times New Roman" w:eastAsia="Times New Roman" w:hAnsi="Times New Roman" w:cs="Times New Roman"/>
          <w:i/>
          <w:iCs/>
          <w:sz w:val="21"/>
          <w:szCs w:val="21"/>
        </w:rPr>
      </w:pPr>
    </w:p>
    <w:p w14:paraId="4074C38B" w14:textId="1872EA4A" w:rsidR="00E308BD" w:rsidRPr="003F2DB9" w:rsidRDefault="00C01D9C" w:rsidP="00E308BD">
      <w:pPr>
        <w:shd w:val="clear" w:color="auto" w:fill="FFFFFF"/>
        <w:spacing w:after="150"/>
        <w:jc w:val="both"/>
        <w:rPr>
          <w:rFonts w:ascii="Times New Roman" w:eastAsia="Times New Roman" w:hAnsi="Times New Roman" w:cs="Times New Roman"/>
          <w:vanish/>
          <w:sz w:val="10"/>
          <w:szCs w:val="10"/>
          <w:highlight w:val="yellow"/>
        </w:rPr>
      </w:pPr>
      <w:r w:rsidRPr="003F2DB9">
        <w:rPr>
          <w:rFonts w:ascii="Times New Roman" w:eastAsia="Times New Roman" w:hAnsi="Times New Roman" w:cs="Times New Roman"/>
          <w:i/>
          <w:iCs/>
          <w:sz w:val="10"/>
          <w:szCs w:val="10"/>
          <w:highlight w:val="yellow"/>
        </w:rPr>
        <w:t>Abstract</w:t>
      </w:r>
      <w:r w:rsidRPr="003F2DB9">
        <w:rPr>
          <w:rFonts w:ascii="Times New Roman" w:eastAsia="Times New Roman" w:hAnsi="Times New Roman" w:cs="Times New Roman"/>
          <w:sz w:val="10"/>
          <w:szCs w:val="10"/>
          <w:highlight w:val="yellow"/>
        </w:rPr>
        <w:t xml:space="preserve"> - </w:t>
      </w:r>
      <w:r w:rsidR="00794D65" w:rsidRPr="003F2DB9">
        <w:rPr>
          <w:rFonts w:ascii="Times New Roman" w:eastAsia="Times New Roman" w:hAnsi="Times New Roman" w:cs="Times New Roman"/>
          <w:sz w:val="10"/>
          <w:szCs w:val="10"/>
          <w:highlight w:val="yellow"/>
        </w:rPr>
        <w:t xml:space="preserve">The world is currently facing two major problems, namely, increasing energy costs and global warming. </w:t>
      </w:r>
      <w:r w:rsidR="00E308BD" w:rsidRPr="003F2DB9">
        <w:rPr>
          <w:rFonts w:ascii="Times New Roman" w:eastAsia="Times New Roman" w:hAnsi="Times New Roman" w:cs="Times New Roman"/>
          <w:sz w:val="10"/>
          <w:szCs w:val="10"/>
          <w:highlight w:val="yellow"/>
        </w:rPr>
        <w:t xml:space="preserve">As a result, it is crucial to take proactive measures to effectively address and mitigate the detrimental impacts arising from </w:t>
      </w:r>
      <w:r w:rsidR="00E308BD" w:rsidRPr="003F2DB9">
        <w:rPr>
          <w:sz w:val="10"/>
          <w:szCs w:val="10"/>
          <w:highlight w:val="yellow"/>
        </w:rPr>
        <w:t xml:space="preserve">elevated energy costs, the pressing issue of global warming, and various types of environmental degradation. </w:t>
      </w:r>
      <w:r w:rsidR="00373938" w:rsidRPr="003F2DB9">
        <w:rPr>
          <w:rFonts w:ascii="Times New Roman" w:eastAsia="Times New Roman" w:hAnsi="Times New Roman" w:cs="Times New Roman"/>
          <w:sz w:val="10"/>
          <w:szCs w:val="10"/>
          <w:highlight w:val="yellow"/>
        </w:rPr>
        <w:t>As a reaction, international organizations are advocating for the development of eco-friendly, sustainable, or green buildings as a strategy to reduce the harmful effects of the construction sector on the environment.</w:t>
      </w:r>
      <w:r w:rsidR="00794D65" w:rsidRPr="003F2DB9">
        <w:rPr>
          <w:rFonts w:ascii="Times New Roman" w:eastAsia="Times New Roman" w:hAnsi="Times New Roman" w:cs="Times New Roman"/>
          <w:sz w:val="10"/>
          <w:szCs w:val="10"/>
          <w:highlight w:val="yellow"/>
        </w:rPr>
        <w:t xml:space="preserve"> </w:t>
      </w:r>
      <w:r w:rsidR="00E308BD" w:rsidRPr="003F2DB9">
        <w:rPr>
          <w:rFonts w:ascii="Times New Roman" w:eastAsia="Times New Roman" w:hAnsi="Times New Roman" w:cs="Times New Roman"/>
          <w:vanish/>
          <w:sz w:val="10"/>
          <w:szCs w:val="10"/>
          <w:highlight w:val="yellow"/>
        </w:rPr>
        <w:t>Top of Form</w:t>
      </w:r>
    </w:p>
    <w:p w14:paraId="3C5222F9" w14:textId="7D526779" w:rsidR="00D55208" w:rsidRPr="003F2DB9" w:rsidRDefault="00373938" w:rsidP="00794D65">
      <w:pPr>
        <w:shd w:val="clear" w:color="auto" w:fill="FFFFFF"/>
        <w:spacing w:after="150"/>
        <w:jc w:val="both"/>
        <w:rPr>
          <w:rFonts w:ascii="Times New Roman" w:eastAsia="Times New Roman" w:hAnsi="Times New Roman" w:cs="Times New Roman"/>
          <w:sz w:val="10"/>
          <w:szCs w:val="10"/>
        </w:rPr>
      </w:pPr>
      <w:r w:rsidRPr="003F2DB9">
        <w:rPr>
          <w:rFonts w:ascii="Times New Roman" w:eastAsia="Times New Roman" w:hAnsi="Times New Roman" w:cs="Times New Roman"/>
          <w:sz w:val="10"/>
          <w:szCs w:val="10"/>
          <w:highlight w:val="yellow"/>
        </w:rPr>
        <w:t>While green development may entail higher costs for developers, it is imperative to evaluate the return on investment from their perspective.</w:t>
      </w:r>
      <w:r w:rsidR="00794D65" w:rsidRPr="003F2DB9">
        <w:rPr>
          <w:rFonts w:ascii="Times New Roman" w:eastAsia="Times New Roman" w:hAnsi="Times New Roman" w:cs="Times New Roman"/>
          <w:sz w:val="10"/>
          <w:szCs w:val="10"/>
          <w:highlight w:val="yellow"/>
        </w:rPr>
        <w:t xml:space="preserve"> </w:t>
      </w:r>
      <w:r w:rsidR="00244057" w:rsidRPr="003F2DB9">
        <w:rPr>
          <w:rFonts w:ascii="Times New Roman" w:eastAsia="Times New Roman" w:hAnsi="Times New Roman" w:cs="Times New Roman"/>
          <w:sz w:val="10"/>
          <w:szCs w:val="10"/>
          <w:highlight w:val="yellow"/>
        </w:rPr>
        <w:t>As such, this study initially delves into the global landscape of green building certifications and their associated institutions by thoroughly examining relevant literature published between 2003 and 2021. Following that, the study scrutinizes the advancement of research on green building practices across diverse office building sectors and over the course of time.</w:t>
      </w:r>
      <w:r w:rsidR="00C36628" w:rsidRPr="003F2DB9">
        <w:rPr>
          <w:rFonts w:ascii="Times New Roman" w:eastAsia="Times New Roman" w:hAnsi="Times New Roman" w:cs="Times New Roman"/>
          <w:sz w:val="10"/>
          <w:szCs w:val="10"/>
          <w:highlight w:val="yellow"/>
        </w:rPr>
        <w:t xml:space="preserve"> Following that, the study explores green incentives in property markets worldwide, with a particular emphasis on the United States and Europe, as well as other regions. Ultimately, the paper assesses the efficacy of green incentives in driving sustainable building practices in diverse real estate markets.</w:t>
      </w:r>
      <w:r w:rsidR="00794D65" w:rsidRPr="003F2DB9">
        <w:rPr>
          <w:rFonts w:ascii="Times New Roman" w:eastAsia="Times New Roman" w:hAnsi="Times New Roman" w:cs="Times New Roman"/>
          <w:sz w:val="10"/>
          <w:szCs w:val="10"/>
          <w:highlight w:val="yellow"/>
        </w:rPr>
        <w:t xml:space="preserve"> </w:t>
      </w:r>
      <w:r w:rsidR="000E3A89" w:rsidRPr="003F2DB9">
        <w:rPr>
          <w:rFonts w:ascii="Times New Roman" w:eastAsia="Times New Roman" w:hAnsi="Times New Roman" w:cs="Times New Roman"/>
          <w:sz w:val="10"/>
          <w:szCs w:val="10"/>
          <w:highlight w:val="yellow"/>
        </w:rPr>
        <w:t xml:space="preserve">The findings from the review suggest that green certification is associated with higher commercial building rents </w:t>
      </w:r>
      <w:r w:rsidR="00887B3C" w:rsidRPr="003F2DB9">
        <w:rPr>
          <w:rFonts w:ascii="Times New Roman" w:eastAsia="Times New Roman" w:hAnsi="Times New Roman" w:cs="Times New Roman"/>
          <w:sz w:val="10"/>
          <w:szCs w:val="10"/>
          <w:highlight w:val="yellow"/>
        </w:rPr>
        <w:t xml:space="preserve">as opposed </w:t>
      </w:r>
      <w:r w:rsidR="000E3A89" w:rsidRPr="003F2DB9">
        <w:rPr>
          <w:rFonts w:ascii="Times New Roman" w:eastAsia="Times New Roman" w:hAnsi="Times New Roman" w:cs="Times New Roman"/>
          <w:sz w:val="10"/>
          <w:szCs w:val="10"/>
          <w:highlight w:val="yellow"/>
        </w:rPr>
        <w:t>to buildings</w:t>
      </w:r>
      <w:r w:rsidR="00887B3C" w:rsidRPr="003F2DB9">
        <w:rPr>
          <w:rFonts w:ascii="Times New Roman" w:eastAsia="Times New Roman" w:hAnsi="Times New Roman" w:cs="Times New Roman"/>
          <w:sz w:val="10"/>
          <w:szCs w:val="10"/>
          <w:highlight w:val="yellow"/>
        </w:rPr>
        <w:t xml:space="preserve"> without certifications</w:t>
      </w:r>
      <w:r w:rsidR="000E3A89" w:rsidRPr="003F2DB9">
        <w:rPr>
          <w:rFonts w:ascii="Times New Roman" w:eastAsia="Times New Roman" w:hAnsi="Times New Roman" w:cs="Times New Roman"/>
          <w:sz w:val="10"/>
          <w:szCs w:val="10"/>
          <w:highlight w:val="yellow"/>
        </w:rPr>
        <w:t xml:space="preserve">, with 77% of the research demonstrating a significant positive correlation between green certification and rental rates. </w:t>
      </w:r>
      <w:r w:rsidR="00D55208" w:rsidRPr="003F2DB9">
        <w:rPr>
          <w:rFonts w:ascii="Times New Roman" w:eastAsia="Times New Roman" w:hAnsi="Times New Roman" w:cs="Times New Roman"/>
          <w:sz w:val="10"/>
          <w:szCs w:val="10"/>
          <w:highlight w:val="yellow"/>
        </w:rPr>
        <w:t xml:space="preserve">Nevertheless, the study recommends that relative rent should be regarded as an </w:t>
      </w:r>
      <w:r w:rsidR="007346D5" w:rsidRPr="003F2DB9">
        <w:rPr>
          <w:rFonts w:ascii="Times New Roman" w:eastAsia="Times New Roman" w:hAnsi="Times New Roman" w:cs="Times New Roman"/>
          <w:sz w:val="10"/>
          <w:szCs w:val="10"/>
          <w:highlight w:val="yellow"/>
        </w:rPr>
        <w:t>endogenous</w:t>
      </w:r>
      <w:r w:rsidR="00D55208" w:rsidRPr="003F2DB9">
        <w:rPr>
          <w:rFonts w:ascii="Times New Roman" w:eastAsia="Times New Roman" w:hAnsi="Times New Roman" w:cs="Times New Roman"/>
          <w:sz w:val="10"/>
          <w:szCs w:val="10"/>
          <w:highlight w:val="yellow"/>
        </w:rPr>
        <w:t xml:space="preserve"> variable in future research, as investment profitability is jointly influenced by both occupancy rate and rental value, underscoring the need for careful consideration in analytical analyses.</w:t>
      </w:r>
    </w:p>
    <w:p w14:paraId="376F695D" w14:textId="625CE61C" w:rsidR="00C01D9C" w:rsidRPr="003F2DB9" w:rsidRDefault="00C01D9C" w:rsidP="00782AEA">
      <w:pPr>
        <w:shd w:val="clear" w:color="auto" w:fill="FFFFFF"/>
        <w:spacing w:after="150" w:line="240" w:lineRule="auto"/>
        <w:jc w:val="both"/>
        <w:rPr>
          <w:rFonts w:ascii="Times New Roman" w:eastAsia="Times New Roman" w:hAnsi="Times New Roman" w:cs="Times New Roman"/>
          <w:i/>
          <w:sz w:val="18"/>
          <w:szCs w:val="18"/>
        </w:rPr>
      </w:pPr>
      <w:r w:rsidRPr="003F2DB9">
        <w:rPr>
          <w:rFonts w:ascii="Times New Roman" w:eastAsia="Times New Roman" w:hAnsi="Times New Roman" w:cs="Times New Roman"/>
          <w:i/>
          <w:sz w:val="18"/>
          <w:szCs w:val="18"/>
        </w:rPr>
        <w:t>Keywords—</w:t>
      </w:r>
      <w:r w:rsidR="00782AEA" w:rsidRPr="003F2DB9">
        <w:t xml:space="preserve"> </w:t>
      </w:r>
      <w:r w:rsidR="00511551" w:rsidRPr="003F2DB9">
        <w:rPr>
          <w:rFonts w:ascii="Times New Roman" w:eastAsia="Times New Roman" w:hAnsi="Times New Roman" w:cs="Times New Roman"/>
          <w:i/>
          <w:sz w:val="18"/>
          <w:szCs w:val="18"/>
        </w:rPr>
        <w:t>C</w:t>
      </w:r>
      <w:r w:rsidR="00782AEA" w:rsidRPr="003F2DB9">
        <w:rPr>
          <w:rFonts w:ascii="Times New Roman" w:eastAsia="Times New Roman" w:hAnsi="Times New Roman" w:cs="Times New Roman"/>
          <w:i/>
          <w:sz w:val="18"/>
          <w:szCs w:val="18"/>
        </w:rPr>
        <w:t xml:space="preserve">ommercial </w:t>
      </w:r>
      <w:r w:rsidR="00511551" w:rsidRPr="003F2DB9">
        <w:rPr>
          <w:rFonts w:ascii="Times New Roman" w:eastAsia="Times New Roman" w:hAnsi="Times New Roman" w:cs="Times New Roman"/>
          <w:i/>
          <w:sz w:val="18"/>
          <w:szCs w:val="18"/>
        </w:rPr>
        <w:t>P</w:t>
      </w:r>
      <w:r w:rsidR="00782AEA" w:rsidRPr="003F2DB9">
        <w:rPr>
          <w:rFonts w:ascii="Times New Roman" w:eastAsia="Times New Roman" w:hAnsi="Times New Roman" w:cs="Times New Roman"/>
          <w:i/>
          <w:sz w:val="18"/>
          <w:szCs w:val="18"/>
        </w:rPr>
        <w:t xml:space="preserve">roperty, </w:t>
      </w:r>
      <w:r w:rsidR="00511551" w:rsidRPr="003F2DB9">
        <w:rPr>
          <w:rFonts w:ascii="Times New Roman" w:eastAsia="Times New Roman" w:hAnsi="Times New Roman" w:cs="Times New Roman"/>
          <w:i/>
          <w:sz w:val="18"/>
          <w:szCs w:val="18"/>
        </w:rPr>
        <w:t>Green Office, Sustainable Buildings, Green Certification, Rental Rate</w:t>
      </w:r>
    </w:p>
    <w:p w14:paraId="7736F1BB" w14:textId="50A174E0" w:rsidR="00C469DB" w:rsidRPr="003F2DB9" w:rsidRDefault="00C469DB" w:rsidP="00C469DB">
      <w:pPr>
        <w:shd w:val="clear" w:color="auto" w:fill="FFFFFF"/>
        <w:spacing w:before="300" w:after="150" w:line="240" w:lineRule="auto"/>
        <w:outlineLvl w:val="0"/>
        <w:rPr>
          <w:rFonts w:ascii="Times New Roman" w:hAnsi="Times New Roman" w:cs="Times New Roman"/>
          <w:kern w:val="36"/>
          <w:sz w:val="18"/>
          <w:szCs w:val="18"/>
        </w:rPr>
      </w:pPr>
      <w:r w:rsidRPr="003F2DB9">
        <w:rPr>
          <w:rFonts w:ascii="Times New Roman" w:hAnsi="Times New Roman" w:cs="Times New Roman"/>
          <w:kern w:val="36"/>
          <w:sz w:val="18"/>
          <w:szCs w:val="18"/>
        </w:rPr>
        <w:t>Received: 18 December 2022; Accepted: 1</w:t>
      </w:r>
      <w:r w:rsidR="00EA018B" w:rsidRPr="003F2DB9">
        <w:rPr>
          <w:rFonts w:ascii="Times New Roman" w:hAnsi="Times New Roman" w:cs="Times New Roman"/>
          <w:kern w:val="36"/>
          <w:sz w:val="18"/>
          <w:szCs w:val="18"/>
        </w:rPr>
        <w:t>8</w:t>
      </w:r>
      <w:r w:rsidRPr="003F2DB9">
        <w:rPr>
          <w:rFonts w:ascii="Times New Roman" w:hAnsi="Times New Roman" w:cs="Times New Roman"/>
          <w:kern w:val="36"/>
          <w:sz w:val="18"/>
          <w:szCs w:val="18"/>
        </w:rPr>
        <w:t xml:space="preserve"> April 2023; Published: 16 September 2023</w:t>
      </w:r>
    </w:p>
    <w:p w14:paraId="376F695E" w14:textId="19543DC2" w:rsidR="00C01D9C" w:rsidRPr="003F2DB9" w:rsidRDefault="00C01D9C" w:rsidP="00C01D9C">
      <w:pPr>
        <w:shd w:val="clear" w:color="auto" w:fill="FFFFFF"/>
        <w:spacing w:before="300" w:after="150" w:line="240" w:lineRule="auto"/>
        <w:outlineLvl w:val="0"/>
        <w:rPr>
          <w:rFonts w:ascii="Times New Roman" w:eastAsia="Times New Roman" w:hAnsi="Times New Roman" w:cs="Times New Roman"/>
          <w:kern w:val="36"/>
          <w:sz w:val="20"/>
          <w:szCs w:val="20"/>
        </w:rPr>
      </w:pPr>
      <w:r w:rsidRPr="003F2DB9">
        <w:rPr>
          <w:rFonts w:ascii="Times New Roman" w:eastAsia="Times New Roman" w:hAnsi="Times New Roman" w:cs="Times New Roman"/>
          <w:kern w:val="36"/>
          <w:sz w:val="20"/>
          <w:szCs w:val="20"/>
        </w:rPr>
        <w:t xml:space="preserve">I. </w:t>
      </w:r>
      <w:r w:rsidR="00A83E29" w:rsidRPr="003F2DB9">
        <w:rPr>
          <w:rFonts w:ascii="Times New Roman" w:eastAsia="Times New Roman" w:hAnsi="Times New Roman" w:cs="Times New Roman"/>
          <w:kern w:val="36"/>
          <w:sz w:val="20"/>
          <w:szCs w:val="20"/>
        </w:rPr>
        <w:t>INTRODUCTION</w:t>
      </w:r>
    </w:p>
    <w:p w14:paraId="2FECFF5A" w14:textId="567145DF" w:rsidR="00BC4F12" w:rsidRPr="003F2DB9" w:rsidRDefault="00BC4F12" w:rsidP="006A3B7F">
      <w:pPr>
        <w:shd w:val="clear" w:color="auto" w:fill="FFFFFF"/>
        <w:spacing w:after="150" w:line="240" w:lineRule="auto"/>
        <w:jc w:val="both"/>
        <w:rPr>
          <w:rFonts w:ascii="Times New Roman" w:eastAsia="Times New Roman" w:hAnsi="Times New Roman" w:cs="Times New Roman"/>
          <w:sz w:val="20"/>
          <w:szCs w:val="20"/>
        </w:rPr>
      </w:pPr>
      <w:r w:rsidRPr="003F2DB9">
        <w:rPr>
          <w:rFonts w:ascii="Times New Roman" w:eastAsia="Times New Roman" w:hAnsi="Times New Roman" w:cs="Times New Roman"/>
          <w:sz w:val="20"/>
          <w:szCs w:val="20"/>
        </w:rPr>
        <w:t>During the 27th United Nations Climate Change Session, it was determined that the anticipated temperature increase of 2.8°C by the end of the century is significantly higher than previously estimated during the 26th conference</w:t>
      </w:r>
      <w:r w:rsidR="00FD40A5" w:rsidRPr="003F2DB9">
        <w:rPr>
          <w:rFonts w:ascii="Times New Roman" w:eastAsia="Times New Roman" w:hAnsi="Times New Roman" w:cs="Times New Roman"/>
          <w:sz w:val="20"/>
          <w:szCs w:val="20"/>
        </w:rPr>
        <w:t xml:space="preserve"> [1]</w:t>
      </w:r>
      <w:r w:rsidR="00911E99" w:rsidRPr="003F2DB9">
        <w:rPr>
          <w:rFonts w:ascii="Times New Roman" w:eastAsia="Times New Roman" w:hAnsi="Times New Roman" w:cs="Times New Roman"/>
          <w:sz w:val="20"/>
          <w:szCs w:val="20"/>
        </w:rPr>
        <w:t>.</w:t>
      </w:r>
      <w:r w:rsidRPr="003F2DB9">
        <w:rPr>
          <w:rFonts w:ascii="Times New Roman" w:eastAsia="Times New Roman" w:hAnsi="Times New Roman" w:cs="Times New Roman"/>
          <w:sz w:val="20"/>
          <w:szCs w:val="20"/>
        </w:rPr>
        <w:t xml:space="preserve"> An immediate and comprehensive system-wide change is necessary to limit </w:t>
      </w:r>
      <w:r w:rsidR="00265A56" w:rsidRPr="003F2DB9">
        <w:rPr>
          <w:rFonts w:ascii="Times New Roman" w:eastAsia="Times New Roman" w:hAnsi="Times New Roman" w:cs="Times New Roman"/>
          <w:sz w:val="20"/>
          <w:szCs w:val="20"/>
        </w:rPr>
        <w:t xml:space="preserve">the emission of </w:t>
      </w:r>
      <w:r w:rsidRPr="003F2DB9">
        <w:rPr>
          <w:rFonts w:ascii="Times New Roman" w:eastAsia="Times New Roman" w:hAnsi="Times New Roman" w:cs="Times New Roman"/>
          <w:sz w:val="20"/>
          <w:szCs w:val="20"/>
        </w:rPr>
        <w:t>greenhouse gas</w:t>
      </w:r>
      <w:r w:rsidR="00265A56" w:rsidRPr="003F2DB9">
        <w:rPr>
          <w:rFonts w:ascii="Times New Roman" w:eastAsia="Times New Roman" w:hAnsi="Times New Roman" w:cs="Times New Roman"/>
          <w:sz w:val="20"/>
          <w:szCs w:val="20"/>
        </w:rPr>
        <w:t>es</w:t>
      </w:r>
      <w:r w:rsidRPr="003F2DB9">
        <w:rPr>
          <w:rFonts w:ascii="Times New Roman" w:eastAsia="Times New Roman" w:hAnsi="Times New Roman" w:cs="Times New Roman"/>
          <w:sz w:val="20"/>
          <w:szCs w:val="20"/>
        </w:rPr>
        <w:t xml:space="preserve"> and </w:t>
      </w:r>
      <w:r w:rsidR="00265A56" w:rsidRPr="003F2DB9">
        <w:rPr>
          <w:rFonts w:ascii="Times New Roman" w:eastAsia="Times New Roman" w:hAnsi="Times New Roman" w:cs="Times New Roman"/>
          <w:sz w:val="20"/>
          <w:szCs w:val="20"/>
        </w:rPr>
        <w:t xml:space="preserve">maintain the increase in temperature of </w:t>
      </w:r>
      <w:r w:rsidRPr="003F2DB9">
        <w:rPr>
          <w:rFonts w:ascii="Times New Roman" w:eastAsia="Times New Roman" w:hAnsi="Times New Roman" w:cs="Times New Roman"/>
          <w:sz w:val="20"/>
          <w:szCs w:val="20"/>
        </w:rPr>
        <w:t xml:space="preserve">1.5°C </w:t>
      </w:r>
      <w:r w:rsidR="00265A56" w:rsidRPr="003F2DB9">
        <w:rPr>
          <w:rFonts w:ascii="Times New Roman" w:eastAsia="Times New Roman" w:hAnsi="Times New Roman" w:cs="Times New Roman"/>
          <w:sz w:val="20"/>
          <w:szCs w:val="20"/>
        </w:rPr>
        <w:t>by 2030</w:t>
      </w:r>
      <w:r w:rsidRPr="003F2DB9">
        <w:rPr>
          <w:rFonts w:ascii="Times New Roman" w:eastAsia="Times New Roman" w:hAnsi="Times New Roman" w:cs="Times New Roman"/>
          <w:sz w:val="20"/>
          <w:szCs w:val="20"/>
        </w:rPr>
        <w:t xml:space="preserve">. </w:t>
      </w:r>
      <w:r w:rsidR="00575CDA" w:rsidRPr="003F2DB9">
        <w:rPr>
          <w:rFonts w:ascii="Times New Roman" w:eastAsia="Times New Roman" w:hAnsi="Times New Roman" w:cs="Times New Roman"/>
          <w:sz w:val="20"/>
          <w:szCs w:val="20"/>
        </w:rPr>
        <w:t xml:space="preserve">The analysis </w:t>
      </w:r>
      <w:proofErr w:type="spellStart"/>
      <w:r w:rsidR="00575CDA" w:rsidRPr="003F2DB9">
        <w:rPr>
          <w:rFonts w:ascii="Times New Roman" w:eastAsia="Times New Roman" w:hAnsi="Times New Roman" w:cs="Times New Roman"/>
          <w:sz w:val="20"/>
          <w:szCs w:val="20"/>
        </w:rPr>
        <w:t>emphasises</w:t>
      </w:r>
      <w:proofErr w:type="spellEnd"/>
      <w:r w:rsidR="00575CDA" w:rsidRPr="003F2DB9">
        <w:rPr>
          <w:rFonts w:ascii="Times New Roman" w:eastAsia="Times New Roman" w:hAnsi="Times New Roman" w:cs="Times New Roman"/>
          <w:sz w:val="20"/>
          <w:szCs w:val="20"/>
        </w:rPr>
        <w:t xml:space="preserve"> the crucial importance of transformative measures in critical sectors</w:t>
      </w:r>
      <w:r w:rsidRPr="003F2DB9">
        <w:rPr>
          <w:rFonts w:ascii="Times New Roman" w:eastAsia="Times New Roman" w:hAnsi="Times New Roman" w:cs="Times New Roman"/>
          <w:sz w:val="20"/>
          <w:szCs w:val="20"/>
        </w:rPr>
        <w:t>, such as electrical supply, industry, transportation, buildings, food, and finance.</w:t>
      </w:r>
    </w:p>
    <w:p w14:paraId="1E37DA0D" w14:textId="6F35574E" w:rsidR="00BC4F12" w:rsidRPr="003F2DB9" w:rsidRDefault="00BC4F12" w:rsidP="00BC4F12">
      <w:pPr>
        <w:shd w:val="clear" w:color="auto" w:fill="FFFFFF"/>
        <w:spacing w:after="150" w:line="240" w:lineRule="auto"/>
        <w:jc w:val="both"/>
        <w:rPr>
          <w:rFonts w:ascii="Times New Roman" w:eastAsia="Times New Roman" w:hAnsi="Times New Roman" w:cs="Times New Roman"/>
          <w:sz w:val="20"/>
          <w:szCs w:val="20"/>
        </w:rPr>
      </w:pPr>
      <w:r w:rsidRPr="003F2DB9">
        <w:rPr>
          <w:rFonts w:ascii="Times New Roman" w:eastAsia="Times New Roman" w:hAnsi="Times New Roman" w:cs="Times New Roman"/>
          <w:sz w:val="20"/>
          <w:szCs w:val="20"/>
        </w:rPr>
        <w:t xml:space="preserve">Therefore, it is crucial to focus on low-energy buildings, also known as sustainable, eco-, or green buildings, to reduce the strain on environmental resources and limit negative impacts on human health by using natural resources efficiently. Apart from global warming, the need for energy-efficient structures is necessary due to resource scarcity and other factors. </w:t>
      </w:r>
      <w:r w:rsidR="006E5A51" w:rsidRPr="003F2DB9">
        <w:rPr>
          <w:rFonts w:ascii="Times New Roman" w:eastAsia="Times New Roman" w:hAnsi="Times New Roman" w:cs="Times New Roman"/>
          <w:sz w:val="20"/>
          <w:szCs w:val="20"/>
        </w:rPr>
        <w:t xml:space="preserve">Additionally, constructing eco-friendly buildings that provide a healthy environment has become critical for increasing human productivity and curbing the spread of COVID-19 by promoting virus prevention and transmission control. These drivers, illustrated in Table 1 below alongside those recognized by </w:t>
      </w:r>
      <w:r w:rsidR="00FD40A5" w:rsidRPr="003F2DB9">
        <w:rPr>
          <w:rFonts w:ascii="Times New Roman" w:eastAsia="Times New Roman" w:hAnsi="Times New Roman" w:cs="Times New Roman"/>
          <w:sz w:val="20"/>
          <w:szCs w:val="20"/>
        </w:rPr>
        <w:t>[2]</w:t>
      </w:r>
      <w:r w:rsidR="006E5A51" w:rsidRPr="003F2DB9">
        <w:rPr>
          <w:rFonts w:ascii="Times New Roman" w:eastAsia="Times New Roman" w:hAnsi="Times New Roman" w:cs="Times New Roman"/>
          <w:sz w:val="20"/>
          <w:szCs w:val="20"/>
        </w:rPr>
        <w:t xml:space="preserve"> for green buildings in the United States, emphasize the various reasons for adopting sustainable construction practices. </w:t>
      </w:r>
      <w:r w:rsidR="007D38D6" w:rsidRPr="003F2DB9">
        <w:rPr>
          <w:rFonts w:ascii="Times New Roman" w:eastAsia="Times New Roman" w:hAnsi="Times New Roman" w:cs="Times New Roman"/>
          <w:sz w:val="20"/>
          <w:szCs w:val="20"/>
        </w:rPr>
        <w:t xml:space="preserve">Therefore, the transformation of traditional buildings into eco-friendly structures is widely acknowledged as crucial on a global scale. However, there is some confusion as terms such as sustainable and green are often used interchangeably, despite having distinct connotations. </w:t>
      </w:r>
      <w:r w:rsidR="003E05E2" w:rsidRPr="003F2DB9">
        <w:rPr>
          <w:rFonts w:ascii="Times New Roman" w:eastAsia="Times New Roman" w:hAnsi="Times New Roman" w:cs="Times New Roman"/>
          <w:sz w:val="20"/>
          <w:szCs w:val="20"/>
        </w:rPr>
        <w:t xml:space="preserve">For instance, </w:t>
      </w:r>
      <w:r w:rsidR="00FD40A5" w:rsidRPr="003F2DB9">
        <w:rPr>
          <w:rFonts w:ascii="Times New Roman" w:eastAsia="Times New Roman" w:hAnsi="Times New Roman" w:cs="Times New Roman"/>
          <w:sz w:val="20"/>
          <w:szCs w:val="20"/>
        </w:rPr>
        <w:t>[3]</w:t>
      </w:r>
      <w:r w:rsidR="003E05E2" w:rsidRPr="003F2DB9">
        <w:rPr>
          <w:rFonts w:ascii="Times New Roman" w:eastAsia="Times New Roman" w:hAnsi="Times New Roman" w:cs="Times New Roman"/>
          <w:sz w:val="20"/>
          <w:szCs w:val="20"/>
        </w:rPr>
        <w:t xml:space="preserve"> provides a definition of green which refers to building design principles </w:t>
      </w:r>
      <w:r w:rsidR="003E05E2" w:rsidRPr="003F2DB9">
        <w:rPr>
          <w:rFonts w:ascii="Times New Roman" w:eastAsia="Times New Roman" w:hAnsi="Times New Roman" w:cs="Times New Roman"/>
          <w:sz w:val="20"/>
          <w:szCs w:val="20"/>
        </w:rPr>
        <w:lastRenderedPageBreak/>
        <w:t xml:space="preserve">that are less harmful to the environment and ecology compared to traditional methods. Similarly, </w:t>
      </w:r>
      <w:r w:rsidR="00FD40A5" w:rsidRPr="003F2DB9">
        <w:rPr>
          <w:rFonts w:ascii="Times New Roman" w:eastAsia="Times New Roman" w:hAnsi="Times New Roman" w:cs="Times New Roman"/>
          <w:sz w:val="20"/>
          <w:szCs w:val="20"/>
        </w:rPr>
        <w:t>[4]</w:t>
      </w:r>
      <w:r w:rsidR="003E05E2" w:rsidRPr="003F2DB9">
        <w:rPr>
          <w:rFonts w:ascii="Times New Roman" w:eastAsia="Times New Roman" w:hAnsi="Times New Roman" w:cs="Times New Roman"/>
          <w:sz w:val="20"/>
          <w:szCs w:val="20"/>
        </w:rPr>
        <w:t xml:space="preserve"> defined sustainable development as a form of development that caters to the current generation's requirements while ensuring that future generations can meet their own needs without any difficulties. </w:t>
      </w:r>
      <w:r w:rsidRPr="003F2DB9">
        <w:rPr>
          <w:rFonts w:ascii="Times New Roman" w:eastAsia="Times New Roman" w:hAnsi="Times New Roman" w:cs="Times New Roman"/>
          <w:sz w:val="20"/>
          <w:szCs w:val="20"/>
        </w:rPr>
        <w:t xml:space="preserve">Multiple independent organizations worldwide offer green building certification, and developers need to be familiar with them and their green ranking systems. </w:t>
      </w:r>
      <w:r w:rsidR="00290ADB" w:rsidRPr="003F2DB9">
        <w:rPr>
          <w:rFonts w:ascii="Times New Roman" w:eastAsia="Times New Roman" w:hAnsi="Times New Roman" w:cs="Times New Roman"/>
          <w:sz w:val="20"/>
          <w:szCs w:val="20"/>
        </w:rPr>
        <w:t xml:space="preserve">As per </w:t>
      </w:r>
      <w:r w:rsidR="00FD40A5" w:rsidRPr="003F2DB9">
        <w:rPr>
          <w:rFonts w:ascii="Times New Roman" w:eastAsia="Times New Roman" w:hAnsi="Times New Roman" w:cs="Times New Roman"/>
          <w:sz w:val="20"/>
          <w:szCs w:val="20"/>
        </w:rPr>
        <w:t>[5]</w:t>
      </w:r>
      <w:r w:rsidR="00290ADB" w:rsidRPr="003F2DB9">
        <w:rPr>
          <w:rFonts w:ascii="Times New Roman" w:eastAsia="Times New Roman" w:hAnsi="Times New Roman" w:cs="Times New Roman"/>
          <w:sz w:val="20"/>
          <w:szCs w:val="20"/>
        </w:rPr>
        <w:t xml:space="preserve">, about 600 green or sustainable ratings are in use around the world, with LEED being the most adaptive and generally available rating system, used in 160 countries, while BREEAM is used in just 77 countries but was reported to have the most </w:t>
      </w:r>
      <w:proofErr w:type="spellStart"/>
      <w:r w:rsidR="00290ADB" w:rsidRPr="003F2DB9">
        <w:rPr>
          <w:rFonts w:ascii="Times New Roman" w:eastAsia="Times New Roman" w:hAnsi="Times New Roman" w:cs="Times New Roman"/>
          <w:sz w:val="20"/>
          <w:szCs w:val="20"/>
        </w:rPr>
        <w:t>authorised</w:t>
      </w:r>
      <w:proofErr w:type="spellEnd"/>
      <w:r w:rsidR="00290ADB" w:rsidRPr="003F2DB9">
        <w:rPr>
          <w:rFonts w:ascii="Times New Roman" w:eastAsia="Times New Roman" w:hAnsi="Times New Roman" w:cs="Times New Roman"/>
          <w:sz w:val="20"/>
          <w:szCs w:val="20"/>
        </w:rPr>
        <w:t xml:space="preserve"> buildings as of 2017. </w:t>
      </w:r>
      <w:r w:rsidRPr="003F2DB9">
        <w:rPr>
          <w:rFonts w:ascii="Times New Roman" w:eastAsia="Times New Roman" w:hAnsi="Times New Roman" w:cs="Times New Roman"/>
          <w:sz w:val="20"/>
          <w:szCs w:val="20"/>
        </w:rPr>
        <w:t xml:space="preserve">Table </w:t>
      </w:r>
      <w:r w:rsidR="00CC44A8" w:rsidRPr="003F2DB9">
        <w:rPr>
          <w:rFonts w:ascii="Times New Roman" w:eastAsia="Times New Roman" w:hAnsi="Times New Roman" w:cs="Times New Roman"/>
          <w:sz w:val="20"/>
          <w:szCs w:val="20"/>
        </w:rPr>
        <w:t>2</w:t>
      </w:r>
      <w:r w:rsidRPr="003F2DB9">
        <w:rPr>
          <w:rFonts w:ascii="Times New Roman" w:eastAsia="Times New Roman" w:hAnsi="Times New Roman" w:cs="Times New Roman"/>
          <w:sz w:val="20"/>
          <w:szCs w:val="20"/>
        </w:rPr>
        <w:t xml:space="preserve"> summarizes a </w:t>
      </w:r>
      <w:r w:rsidR="00290ADB" w:rsidRPr="003F2DB9">
        <w:rPr>
          <w:rFonts w:ascii="Times New Roman" w:eastAsia="Times New Roman" w:hAnsi="Times New Roman" w:cs="Times New Roman"/>
          <w:sz w:val="20"/>
          <w:szCs w:val="20"/>
        </w:rPr>
        <w:t xml:space="preserve">widely acknowledge </w:t>
      </w:r>
      <w:r w:rsidRPr="003F2DB9">
        <w:rPr>
          <w:rFonts w:ascii="Times New Roman" w:eastAsia="Times New Roman" w:hAnsi="Times New Roman" w:cs="Times New Roman"/>
          <w:sz w:val="20"/>
          <w:szCs w:val="20"/>
        </w:rPr>
        <w:t xml:space="preserve">popular green rating system </w:t>
      </w:r>
      <w:r w:rsidR="00290ADB" w:rsidRPr="003F2DB9">
        <w:rPr>
          <w:rFonts w:ascii="Times New Roman" w:eastAsia="Times New Roman" w:hAnsi="Times New Roman" w:cs="Times New Roman"/>
          <w:sz w:val="20"/>
          <w:szCs w:val="20"/>
        </w:rPr>
        <w:t>that is well-documented in the literature</w:t>
      </w:r>
      <w:r w:rsidRPr="003F2DB9">
        <w:rPr>
          <w:rFonts w:ascii="Times New Roman" w:eastAsia="Times New Roman" w:hAnsi="Times New Roman" w:cs="Times New Roman"/>
          <w:sz w:val="20"/>
          <w:szCs w:val="20"/>
        </w:rPr>
        <w:t>.</w:t>
      </w:r>
    </w:p>
    <w:p w14:paraId="728069DA" w14:textId="4369CF33" w:rsidR="006E5A51" w:rsidRPr="003F2DB9" w:rsidRDefault="006E5A51" w:rsidP="00BC4F12">
      <w:pPr>
        <w:shd w:val="clear" w:color="auto" w:fill="FFFFFF"/>
        <w:spacing w:after="150" w:line="240" w:lineRule="auto"/>
        <w:jc w:val="both"/>
        <w:rPr>
          <w:rFonts w:ascii="Times New Roman" w:eastAsia="Times New Roman" w:hAnsi="Times New Roman" w:cs="Times New Roman"/>
          <w:sz w:val="20"/>
          <w:szCs w:val="20"/>
        </w:rPr>
      </w:pPr>
    </w:p>
    <w:p w14:paraId="4B8AD6C1" w14:textId="7E7B8DD0" w:rsidR="006E5A51" w:rsidRPr="003F2DB9" w:rsidRDefault="006E5A51" w:rsidP="006225E6">
      <w:pPr>
        <w:shd w:val="clear" w:color="auto" w:fill="FFFFFF"/>
        <w:spacing w:after="150" w:line="240" w:lineRule="auto"/>
        <w:jc w:val="center"/>
        <w:rPr>
          <w:rFonts w:ascii="Times New Roman" w:eastAsia="Times New Roman" w:hAnsi="Times New Roman" w:cs="Times New Roman"/>
          <w:sz w:val="16"/>
          <w:szCs w:val="16"/>
          <w:lang w:val="en-GB"/>
        </w:rPr>
      </w:pPr>
      <w:r w:rsidRPr="003F2DB9">
        <w:rPr>
          <w:rFonts w:ascii="Times New Roman" w:eastAsia="Times New Roman" w:hAnsi="Times New Roman" w:cs="Times New Roman"/>
          <w:sz w:val="16"/>
          <w:szCs w:val="16"/>
          <w:highlight w:val="yellow"/>
          <w:lang w:val="en-GB"/>
        </w:rPr>
        <w:t>Table 1</w:t>
      </w:r>
      <w:r w:rsidR="006225E6" w:rsidRPr="003F2DB9">
        <w:rPr>
          <w:rFonts w:ascii="Times New Roman" w:eastAsia="Times New Roman" w:hAnsi="Times New Roman" w:cs="Times New Roman"/>
          <w:sz w:val="16"/>
          <w:szCs w:val="16"/>
          <w:highlight w:val="yellow"/>
          <w:lang w:val="en-GB"/>
        </w:rPr>
        <w:t xml:space="preserve">. </w:t>
      </w:r>
      <w:r w:rsidRPr="003F2DB9">
        <w:rPr>
          <w:rFonts w:ascii="Times New Roman" w:eastAsia="Times New Roman" w:hAnsi="Times New Roman" w:cs="Times New Roman"/>
          <w:sz w:val="16"/>
          <w:szCs w:val="16"/>
          <w:highlight w:val="yellow"/>
          <w:lang w:val="en-GB"/>
        </w:rPr>
        <w:t xml:space="preserve"> Drivers for </w:t>
      </w:r>
      <w:r w:rsidR="00420107" w:rsidRPr="003F2DB9">
        <w:rPr>
          <w:rFonts w:ascii="Times New Roman" w:eastAsia="Times New Roman" w:hAnsi="Times New Roman" w:cs="Times New Roman"/>
          <w:sz w:val="16"/>
          <w:szCs w:val="16"/>
          <w:highlight w:val="yellow"/>
          <w:lang w:val="en-GB"/>
        </w:rPr>
        <w:t>G</w:t>
      </w:r>
      <w:r w:rsidRPr="003F2DB9">
        <w:rPr>
          <w:rFonts w:ascii="Times New Roman" w:eastAsia="Times New Roman" w:hAnsi="Times New Roman" w:cs="Times New Roman"/>
          <w:sz w:val="16"/>
          <w:szCs w:val="16"/>
          <w:highlight w:val="yellow"/>
          <w:lang w:val="en-GB"/>
        </w:rPr>
        <w:t xml:space="preserve">reen </w:t>
      </w:r>
      <w:r w:rsidR="00420107" w:rsidRPr="003F2DB9">
        <w:rPr>
          <w:rFonts w:ascii="Times New Roman" w:eastAsia="Times New Roman" w:hAnsi="Times New Roman" w:cs="Times New Roman"/>
          <w:sz w:val="16"/>
          <w:szCs w:val="16"/>
          <w:highlight w:val="yellow"/>
          <w:lang w:val="en-GB"/>
        </w:rPr>
        <w:t>B</w:t>
      </w:r>
      <w:r w:rsidRPr="003F2DB9">
        <w:rPr>
          <w:rFonts w:ascii="Times New Roman" w:eastAsia="Times New Roman" w:hAnsi="Times New Roman" w:cs="Times New Roman"/>
          <w:sz w:val="16"/>
          <w:szCs w:val="16"/>
          <w:highlight w:val="yellow"/>
          <w:lang w:val="en-GB"/>
        </w:rPr>
        <w:t xml:space="preserve">uildings (Adopted from </w:t>
      </w:r>
      <w:r w:rsidR="00F81CDD" w:rsidRPr="003F2DB9">
        <w:rPr>
          <w:rFonts w:ascii="Times New Roman" w:eastAsia="Times New Roman" w:hAnsi="Times New Roman" w:cs="Times New Roman"/>
          <w:sz w:val="16"/>
          <w:szCs w:val="16"/>
          <w:highlight w:val="yellow"/>
          <w:lang w:val="en-GB"/>
        </w:rPr>
        <w:t>[2]</w:t>
      </w:r>
      <w:r w:rsidRPr="003F2DB9">
        <w:rPr>
          <w:rFonts w:ascii="Times New Roman" w:eastAsia="Times New Roman" w:hAnsi="Times New Roman" w:cs="Times New Roman"/>
          <w:sz w:val="16"/>
          <w:szCs w:val="16"/>
          <w:highlight w:val="yellow"/>
          <w:lang w:val="en-GB"/>
        </w:rPr>
        <w:t>)</w:t>
      </w: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1"/>
      </w:tblGrid>
      <w:tr w:rsidR="008F4347" w:rsidRPr="003F2DB9" w14:paraId="1641BD68" w14:textId="77777777" w:rsidTr="00C911D4">
        <w:trPr>
          <w:trHeight w:val="552"/>
        </w:trPr>
        <w:tc>
          <w:tcPr>
            <w:tcW w:w="9351" w:type="dxa"/>
            <w:tcBorders>
              <w:top w:val="single" w:sz="4" w:space="0" w:color="auto"/>
              <w:left w:val="single" w:sz="4" w:space="0" w:color="auto"/>
              <w:bottom w:val="single" w:sz="4" w:space="0" w:color="auto"/>
              <w:right w:val="single" w:sz="4" w:space="0" w:color="auto"/>
            </w:tcBorders>
            <w:vAlign w:val="center"/>
          </w:tcPr>
          <w:p w14:paraId="7E90DB80" w14:textId="77777777" w:rsidR="006E5A51" w:rsidRPr="003F2DB9" w:rsidRDefault="006E5A51" w:rsidP="002C1AA2">
            <w:pPr>
              <w:rPr>
                <w:rFonts w:ascii="Times New Roman" w:hAnsi="Times New Roman" w:cs="Times New Roman"/>
                <w:sz w:val="20"/>
                <w:szCs w:val="20"/>
              </w:rPr>
            </w:pPr>
            <w:r w:rsidRPr="003F2DB9">
              <w:rPr>
                <w:rFonts w:ascii="Times New Roman" w:hAnsi="Times New Roman" w:cs="Times New Roman"/>
                <w:sz w:val="20"/>
                <w:szCs w:val="20"/>
              </w:rPr>
              <w:t>Description of Drivers</w:t>
            </w:r>
          </w:p>
        </w:tc>
      </w:tr>
      <w:tr w:rsidR="008F4347" w:rsidRPr="003F2DB9" w14:paraId="2CB59B83" w14:textId="77777777" w:rsidTr="00C911D4">
        <w:trPr>
          <w:trHeight w:val="552"/>
        </w:trPr>
        <w:tc>
          <w:tcPr>
            <w:tcW w:w="9351" w:type="dxa"/>
            <w:tcBorders>
              <w:top w:val="single" w:sz="4" w:space="0" w:color="auto"/>
              <w:left w:val="single" w:sz="4" w:space="0" w:color="auto"/>
              <w:right w:val="single" w:sz="4" w:space="0" w:color="auto"/>
            </w:tcBorders>
            <w:vAlign w:val="center"/>
          </w:tcPr>
          <w:p w14:paraId="730BF4A7" w14:textId="569D59C5" w:rsidR="006E5A51" w:rsidRPr="003F2DB9" w:rsidRDefault="006E5A51" w:rsidP="002C1AA2">
            <w:pPr>
              <w:rPr>
                <w:rFonts w:ascii="Times New Roman" w:hAnsi="Times New Roman" w:cs="Times New Roman"/>
                <w:sz w:val="20"/>
                <w:szCs w:val="20"/>
              </w:rPr>
            </w:pPr>
            <w:r w:rsidRPr="003F2DB9">
              <w:rPr>
                <w:rFonts w:ascii="Times New Roman" w:hAnsi="Times New Roman" w:cs="Times New Roman"/>
                <w:sz w:val="20"/>
                <w:szCs w:val="20"/>
              </w:rPr>
              <w:t>A surge in average crude oil prices</w:t>
            </w:r>
          </w:p>
        </w:tc>
      </w:tr>
      <w:tr w:rsidR="008F4347" w:rsidRPr="003F2DB9" w14:paraId="18A24D1F" w14:textId="77777777" w:rsidTr="00C911D4">
        <w:trPr>
          <w:trHeight w:val="552"/>
        </w:trPr>
        <w:tc>
          <w:tcPr>
            <w:tcW w:w="9351" w:type="dxa"/>
            <w:tcBorders>
              <w:left w:val="single" w:sz="4" w:space="0" w:color="auto"/>
              <w:right w:val="single" w:sz="4" w:space="0" w:color="auto"/>
            </w:tcBorders>
            <w:vAlign w:val="center"/>
          </w:tcPr>
          <w:p w14:paraId="4E1BB958" w14:textId="16F3E708" w:rsidR="006E5A51" w:rsidRPr="003F2DB9" w:rsidRDefault="006E5A51" w:rsidP="002C1AA2">
            <w:pPr>
              <w:rPr>
                <w:rFonts w:ascii="Times New Roman" w:hAnsi="Times New Roman" w:cs="Times New Roman"/>
                <w:sz w:val="20"/>
                <w:szCs w:val="20"/>
              </w:rPr>
            </w:pPr>
            <w:r w:rsidRPr="003F2DB9">
              <w:rPr>
                <w:rFonts w:ascii="Times New Roman" w:hAnsi="Times New Roman" w:cs="Times New Roman"/>
                <w:sz w:val="20"/>
                <w:szCs w:val="20"/>
                <w:lang w:val="en-US"/>
              </w:rPr>
              <w:t>Rising oil prices, geopolitical factors leading to supply uncertainty, and mounting evidence of human-caused global warming</w:t>
            </w:r>
          </w:p>
        </w:tc>
      </w:tr>
      <w:tr w:rsidR="008F4347" w:rsidRPr="003F2DB9" w14:paraId="2390B185" w14:textId="77777777" w:rsidTr="00C911D4">
        <w:trPr>
          <w:trHeight w:val="552"/>
        </w:trPr>
        <w:tc>
          <w:tcPr>
            <w:tcW w:w="9351" w:type="dxa"/>
            <w:tcBorders>
              <w:left w:val="single" w:sz="4" w:space="0" w:color="auto"/>
              <w:right w:val="single" w:sz="4" w:space="0" w:color="auto"/>
            </w:tcBorders>
            <w:vAlign w:val="center"/>
          </w:tcPr>
          <w:p w14:paraId="2575642C" w14:textId="355BF80F" w:rsidR="006E5A51" w:rsidRPr="003F2DB9" w:rsidRDefault="006E5A51" w:rsidP="002C1AA2">
            <w:pPr>
              <w:rPr>
                <w:rFonts w:ascii="Times New Roman" w:hAnsi="Times New Roman" w:cs="Times New Roman"/>
                <w:sz w:val="20"/>
                <w:szCs w:val="20"/>
              </w:rPr>
            </w:pPr>
            <w:r w:rsidRPr="003F2DB9">
              <w:rPr>
                <w:rFonts w:ascii="Times New Roman" w:hAnsi="Times New Roman" w:cs="Times New Roman"/>
                <w:sz w:val="20"/>
                <w:szCs w:val="20"/>
              </w:rPr>
              <w:t xml:space="preserve">US - Energy Policy Act of 2005, which </w:t>
            </w:r>
            <w:r w:rsidR="003A544F" w:rsidRPr="003F2DB9">
              <w:rPr>
                <w:rFonts w:ascii="Times New Roman" w:hAnsi="Times New Roman" w:cs="Times New Roman"/>
                <w:sz w:val="20"/>
                <w:szCs w:val="20"/>
                <w:lang w:val="en-US"/>
              </w:rPr>
              <w:t>offers robust backing for energy conservation in both new and existing buildings.</w:t>
            </w:r>
          </w:p>
        </w:tc>
      </w:tr>
      <w:tr w:rsidR="008F4347" w:rsidRPr="003F2DB9" w14:paraId="1F6F8E2D" w14:textId="77777777" w:rsidTr="00C911D4">
        <w:trPr>
          <w:trHeight w:val="552"/>
        </w:trPr>
        <w:tc>
          <w:tcPr>
            <w:tcW w:w="9351" w:type="dxa"/>
            <w:tcBorders>
              <w:left w:val="single" w:sz="4" w:space="0" w:color="auto"/>
              <w:right w:val="single" w:sz="4" w:space="0" w:color="auto"/>
            </w:tcBorders>
            <w:vAlign w:val="center"/>
          </w:tcPr>
          <w:p w14:paraId="00F70460" w14:textId="77777777" w:rsidR="006E5A51" w:rsidRPr="003F2DB9" w:rsidRDefault="006E5A51" w:rsidP="002C1AA2">
            <w:pPr>
              <w:rPr>
                <w:rFonts w:ascii="Times New Roman" w:hAnsi="Times New Roman" w:cs="Times New Roman"/>
                <w:sz w:val="20"/>
                <w:szCs w:val="20"/>
              </w:rPr>
            </w:pPr>
            <w:r w:rsidRPr="003F2DB9">
              <w:rPr>
                <w:rFonts w:ascii="Times New Roman" w:hAnsi="Times New Roman" w:cs="Times New Roman"/>
                <w:sz w:val="20"/>
                <w:szCs w:val="20"/>
              </w:rPr>
              <w:t>Introduction of new law reducing property taxes on green buildings</w:t>
            </w:r>
          </w:p>
        </w:tc>
      </w:tr>
      <w:tr w:rsidR="008F4347" w:rsidRPr="003F2DB9" w14:paraId="50B9C376" w14:textId="77777777" w:rsidTr="00C911D4">
        <w:trPr>
          <w:trHeight w:val="552"/>
        </w:trPr>
        <w:tc>
          <w:tcPr>
            <w:tcW w:w="9351" w:type="dxa"/>
            <w:tcBorders>
              <w:left w:val="single" w:sz="4" w:space="0" w:color="auto"/>
              <w:right w:val="single" w:sz="4" w:space="0" w:color="auto"/>
            </w:tcBorders>
            <w:vAlign w:val="center"/>
          </w:tcPr>
          <w:p w14:paraId="15AE09C7" w14:textId="64299B1E" w:rsidR="006E5A51" w:rsidRPr="003F2DB9" w:rsidRDefault="003A544F" w:rsidP="002C1AA2">
            <w:pPr>
              <w:rPr>
                <w:rFonts w:ascii="Times New Roman" w:hAnsi="Times New Roman" w:cs="Times New Roman"/>
                <w:sz w:val="20"/>
                <w:szCs w:val="20"/>
              </w:rPr>
            </w:pPr>
            <w:r w:rsidRPr="003F2DB9">
              <w:rPr>
                <w:rFonts w:ascii="Times New Roman" w:hAnsi="Times New Roman" w:cs="Times New Roman"/>
                <w:sz w:val="20"/>
                <w:szCs w:val="20"/>
                <w:lang w:val="en-US"/>
              </w:rPr>
              <w:t>Embracing policies and initiatives that encourage the development of environmentally friendly private-sector buildings.</w:t>
            </w:r>
          </w:p>
        </w:tc>
      </w:tr>
      <w:tr w:rsidR="008F4347" w:rsidRPr="003F2DB9" w14:paraId="0491DE40" w14:textId="77777777" w:rsidTr="00C911D4">
        <w:trPr>
          <w:trHeight w:val="552"/>
        </w:trPr>
        <w:tc>
          <w:tcPr>
            <w:tcW w:w="9351" w:type="dxa"/>
            <w:tcBorders>
              <w:left w:val="single" w:sz="4" w:space="0" w:color="auto"/>
              <w:bottom w:val="single" w:sz="4" w:space="0" w:color="auto"/>
              <w:right w:val="single" w:sz="4" w:space="0" w:color="auto"/>
            </w:tcBorders>
            <w:vAlign w:val="center"/>
          </w:tcPr>
          <w:p w14:paraId="7BA8346D" w14:textId="4C9D8974" w:rsidR="006E5A51" w:rsidRPr="003F2DB9" w:rsidRDefault="006E5A51" w:rsidP="002C1AA2">
            <w:pPr>
              <w:rPr>
                <w:rFonts w:ascii="Times New Roman" w:hAnsi="Times New Roman" w:cs="Times New Roman"/>
                <w:sz w:val="20"/>
                <w:szCs w:val="20"/>
              </w:rPr>
            </w:pPr>
            <w:r w:rsidRPr="003F2DB9">
              <w:rPr>
                <w:rFonts w:ascii="Times New Roman" w:hAnsi="Times New Roman" w:cs="Times New Roman"/>
                <w:sz w:val="20"/>
                <w:szCs w:val="20"/>
              </w:rPr>
              <w:t xml:space="preserve">Relationship between </w:t>
            </w:r>
            <w:r w:rsidR="003A544F" w:rsidRPr="003F2DB9">
              <w:rPr>
                <w:rFonts w:ascii="Times New Roman" w:hAnsi="Times New Roman" w:cs="Times New Roman"/>
                <w:sz w:val="20"/>
                <w:szCs w:val="20"/>
              </w:rPr>
              <w:t xml:space="preserve">engineers, architects and </w:t>
            </w:r>
            <w:r w:rsidRPr="003F2DB9">
              <w:rPr>
                <w:rFonts w:ascii="Times New Roman" w:hAnsi="Times New Roman" w:cs="Times New Roman"/>
                <w:sz w:val="20"/>
                <w:szCs w:val="20"/>
              </w:rPr>
              <w:t>design firms and Green Building Council</w:t>
            </w:r>
            <w:r w:rsidR="003A544F" w:rsidRPr="003F2DB9">
              <w:rPr>
                <w:rFonts w:ascii="Times New Roman" w:hAnsi="Times New Roman" w:cs="Times New Roman"/>
                <w:sz w:val="20"/>
                <w:szCs w:val="20"/>
              </w:rPr>
              <w:t xml:space="preserve"> of United States</w:t>
            </w:r>
          </w:p>
          <w:p w14:paraId="62BDAA02" w14:textId="77777777" w:rsidR="000415E9" w:rsidRPr="003F2DB9" w:rsidRDefault="000415E9" w:rsidP="002C1AA2">
            <w:pPr>
              <w:rPr>
                <w:rFonts w:ascii="Times New Roman" w:hAnsi="Times New Roman" w:cs="Times New Roman"/>
                <w:sz w:val="20"/>
                <w:szCs w:val="20"/>
              </w:rPr>
            </w:pPr>
          </w:p>
          <w:p w14:paraId="22BF5AA9" w14:textId="4C482D24" w:rsidR="000415E9" w:rsidRPr="003F2DB9" w:rsidRDefault="000415E9" w:rsidP="002C1AA2">
            <w:pPr>
              <w:rPr>
                <w:rFonts w:ascii="Times New Roman" w:hAnsi="Times New Roman" w:cs="Times New Roman"/>
                <w:sz w:val="20"/>
                <w:szCs w:val="20"/>
              </w:rPr>
            </w:pPr>
            <w:r w:rsidRPr="003F2DB9">
              <w:rPr>
                <w:rFonts w:ascii="Times New Roman" w:hAnsi="Times New Roman" w:cs="Times New Roman"/>
                <w:sz w:val="20"/>
                <w:szCs w:val="20"/>
              </w:rPr>
              <w:t xml:space="preserve">The effectiveness of green building </w:t>
            </w:r>
            <w:r w:rsidR="003A4329" w:rsidRPr="003F2DB9">
              <w:rPr>
                <w:rFonts w:ascii="Times New Roman" w:hAnsi="Times New Roman" w:cs="Times New Roman"/>
                <w:sz w:val="20"/>
                <w:szCs w:val="20"/>
              </w:rPr>
              <w:t xml:space="preserve">practices </w:t>
            </w:r>
            <w:r w:rsidRPr="003F2DB9">
              <w:rPr>
                <w:rFonts w:ascii="Times New Roman" w:hAnsi="Times New Roman" w:cs="Times New Roman"/>
                <w:sz w:val="20"/>
                <w:szCs w:val="20"/>
              </w:rPr>
              <w:t xml:space="preserve">in </w:t>
            </w:r>
            <w:r w:rsidR="003A4329" w:rsidRPr="003F2DB9">
              <w:rPr>
                <w:rFonts w:ascii="Times New Roman" w:hAnsi="Times New Roman" w:cs="Times New Roman"/>
                <w:sz w:val="20"/>
                <w:szCs w:val="20"/>
              </w:rPr>
              <w:t>mitigating</w:t>
            </w:r>
            <w:r w:rsidRPr="003F2DB9">
              <w:rPr>
                <w:rFonts w:ascii="Times New Roman" w:hAnsi="Times New Roman" w:cs="Times New Roman"/>
                <w:sz w:val="20"/>
                <w:szCs w:val="20"/>
              </w:rPr>
              <w:t xml:space="preserve"> the spread of COVID-19.</w:t>
            </w:r>
          </w:p>
          <w:p w14:paraId="520AA3BE" w14:textId="77777777" w:rsidR="000415E9" w:rsidRPr="003F2DB9" w:rsidRDefault="000415E9" w:rsidP="002C1AA2">
            <w:pPr>
              <w:rPr>
                <w:rFonts w:ascii="Times New Roman" w:hAnsi="Times New Roman" w:cs="Times New Roman"/>
                <w:sz w:val="20"/>
                <w:szCs w:val="20"/>
              </w:rPr>
            </w:pPr>
          </w:p>
          <w:p w14:paraId="67FD059D" w14:textId="77777777" w:rsidR="000415E9" w:rsidRPr="003F2DB9" w:rsidRDefault="000415E9" w:rsidP="002C1AA2">
            <w:pPr>
              <w:rPr>
                <w:rFonts w:ascii="Times New Roman" w:hAnsi="Times New Roman" w:cs="Times New Roman"/>
                <w:sz w:val="20"/>
                <w:szCs w:val="20"/>
                <w:lang w:val="en-US"/>
              </w:rPr>
            </w:pPr>
            <w:r w:rsidRPr="003F2DB9">
              <w:rPr>
                <w:rFonts w:ascii="Times New Roman" w:hAnsi="Times New Roman" w:cs="Times New Roman"/>
                <w:sz w:val="20"/>
                <w:szCs w:val="20"/>
                <w:lang w:val="en-US"/>
              </w:rPr>
              <w:t>The efficacy of green building in enhancing human productivity.</w:t>
            </w:r>
          </w:p>
          <w:p w14:paraId="018C75DA" w14:textId="73D5B13A" w:rsidR="000415E9" w:rsidRPr="003F2DB9" w:rsidRDefault="000415E9" w:rsidP="002C1AA2">
            <w:pPr>
              <w:rPr>
                <w:rFonts w:ascii="Times New Roman" w:hAnsi="Times New Roman" w:cs="Times New Roman"/>
                <w:sz w:val="20"/>
                <w:szCs w:val="20"/>
              </w:rPr>
            </w:pPr>
          </w:p>
        </w:tc>
      </w:tr>
    </w:tbl>
    <w:p w14:paraId="5FB4E2FD" w14:textId="77777777" w:rsidR="00BC4F12" w:rsidRPr="003F2DB9" w:rsidRDefault="00BC4F12" w:rsidP="00BC4F12">
      <w:pPr>
        <w:shd w:val="clear" w:color="auto" w:fill="FFFFFF"/>
        <w:spacing w:after="150" w:line="240" w:lineRule="auto"/>
        <w:jc w:val="both"/>
        <w:rPr>
          <w:rFonts w:ascii="Times New Roman" w:eastAsia="Times New Roman" w:hAnsi="Times New Roman" w:cs="Times New Roman"/>
          <w:sz w:val="20"/>
          <w:szCs w:val="20"/>
        </w:rPr>
      </w:pPr>
      <w:r w:rsidRPr="003F2DB9">
        <w:rPr>
          <w:rFonts w:ascii="Times New Roman" w:eastAsia="Times New Roman" w:hAnsi="Times New Roman" w:cs="Times New Roman"/>
          <w:vanish/>
          <w:sz w:val="20"/>
          <w:szCs w:val="20"/>
        </w:rPr>
        <w:t>Top of Form</w:t>
      </w:r>
    </w:p>
    <w:p w14:paraId="564F165C" w14:textId="77777777" w:rsidR="00F834D5" w:rsidRPr="003F2DB9" w:rsidRDefault="00F834D5" w:rsidP="00BC4F12">
      <w:pPr>
        <w:shd w:val="clear" w:color="auto" w:fill="FFFFFF"/>
        <w:spacing w:after="150" w:line="240" w:lineRule="auto"/>
        <w:jc w:val="both"/>
        <w:rPr>
          <w:rFonts w:ascii="Times New Roman" w:eastAsia="Times New Roman" w:hAnsi="Times New Roman" w:cs="Times New Roman"/>
          <w:vanish/>
          <w:sz w:val="20"/>
          <w:szCs w:val="20"/>
        </w:rPr>
      </w:pPr>
    </w:p>
    <w:p w14:paraId="0B0B7C45" w14:textId="736D0A1C" w:rsidR="00456BDE" w:rsidRPr="003F2DB9" w:rsidRDefault="00456BDE" w:rsidP="00782AEA">
      <w:pPr>
        <w:shd w:val="clear" w:color="auto" w:fill="FFFFFF"/>
        <w:spacing w:after="150" w:line="240" w:lineRule="auto"/>
        <w:jc w:val="both"/>
        <w:rPr>
          <w:rFonts w:ascii="Times New Roman" w:eastAsia="Times New Roman" w:hAnsi="Times New Roman" w:cs="Times New Roman"/>
          <w:sz w:val="20"/>
          <w:szCs w:val="20"/>
        </w:rPr>
      </w:pPr>
    </w:p>
    <w:p w14:paraId="12B2569E" w14:textId="35A3393F" w:rsidR="00456BDE" w:rsidRPr="003F2DB9" w:rsidRDefault="00456BDE" w:rsidP="00C911D4">
      <w:pPr>
        <w:pStyle w:val="ICCENormalText1stparagraph"/>
        <w:spacing w:after="240"/>
        <w:jc w:val="center"/>
        <w:rPr>
          <w:sz w:val="16"/>
          <w:szCs w:val="16"/>
        </w:rPr>
      </w:pPr>
      <w:r w:rsidRPr="003F2DB9">
        <w:rPr>
          <w:sz w:val="16"/>
          <w:szCs w:val="16"/>
          <w:highlight w:val="yellow"/>
        </w:rPr>
        <w:t xml:space="preserve">Table </w:t>
      </w:r>
      <w:r w:rsidR="00CC44A8" w:rsidRPr="003F2DB9">
        <w:rPr>
          <w:sz w:val="16"/>
          <w:szCs w:val="16"/>
          <w:highlight w:val="yellow"/>
        </w:rPr>
        <w:t>2</w:t>
      </w:r>
      <w:r w:rsidRPr="003F2DB9">
        <w:rPr>
          <w:sz w:val="16"/>
          <w:szCs w:val="16"/>
          <w:highlight w:val="yellow"/>
        </w:rPr>
        <w:t xml:space="preserve">. </w:t>
      </w:r>
      <w:r w:rsidR="00CA269C" w:rsidRPr="003F2DB9">
        <w:rPr>
          <w:sz w:val="16"/>
          <w:szCs w:val="16"/>
          <w:highlight w:val="yellow"/>
        </w:rPr>
        <w:t>Popular Green Rating Systems</w:t>
      </w:r>
    </w:p>
    <w:tbl>
      <w:tblPr>
        <w:tblStyle w:val="TableGrid"/>
        <w:tblW w:w="0" w:type="auto"/>
        <w:tblLook w:val="04A0" w:firstRow="1" w:lastRow="0" w:firstColumn="1" w:lastColumn="0" w:noHBand="0" w:noVBand="1"/>
      </w:tblPr>
      <w:tblGrid>
        <w:gridCol w:w="1238"/>
        <w:gridCol w:w="1077"/>
        <w:gridCol w:w="1428"/>
        <w:gridCol w:w="5324"/>
      </w:tblGrid>
      <w:tr w:rsidR="008F4347" w:rsidRPr="003F2DB9" w14:paraId="4935B1CB" w14:textId="77777777" w:rsidTr="006B718B">
        <w:trPr>
          <w:trHeight w:val="567"/>
          <w:tblHeader/>
        </w:trPr>
        <w:tc>
          <w:tcPr>
            <w:tcW w:w="1238" w:type="dxa"/>
            <w:vAlign w:val="center"/>
          </w:tcPr>
          <w:p w14:paraId="2335FC7B" w14:textId="7C7385D8" w:rsidR="00981E71" w:rsidRPr="003F2DB9" w:rsidRDefault="00981E71" w:rsidP="00456BDE">
            <w:pPr>
              <w:pStyle w:val="ICCENormalText1stparagraph"/>
              <w:jc w:val="left"/>
              <w:rPr>
                <w:sz w:val="20"/>
                <w:szCs w:val="20"/>
              </w:rPr>
            </w:pPr>
            <w:r w:rsidRPr="003F2DB9">
              <w:rPr>
                <w:sz w:val="20"/>
                <w:szCs w:val="20"/>
              </w:rPr>
              <w:t>Region</w:t>
            </w:r>
          </w:p>
        </w:tc>
        <w:tc>
          <w:tcPr>
            <w:tcW w:w="1077" w:type="dxa"/>
            <w:vAlign w:val="center"/>
          </w:tcPr>
          <w:p w14:paraId="6923CE74" w14:textId="290881F8" w:rsidR="00981E71" w:rsidRPr="003F2DB9" w:rsidRDefault="00981E71" w:rsidP="00456BDE">
            <w:pPr>
              <w:pStyle w:val="ICCENormalText1stparagraph"/>
              <w:jc w:val="left"/>
              <w:rPr>
                <w:sz w:val="20"/>
                <w:szCs w:val="20"/>
              </w:rPr>
            </w:pPr>
            <w:r w:rsidRPr="003F2DB9">
              <w:rPr>
                <w:sz w:val="20"/>
                <w:szCs w:val="20"/>
              </w:rPr>
              <w:t>Country</w:t>
            </w:r>
          </w:p>
        </w:tc>
        <w:tc>
          <w:tcPr>
            <w:tcW w:w="1428" w:type="dxa"/>
            <w:vAlign w:val="center"/>
          </w:tcPr>
          <w:p w14:paraId="1DB414D4" w14:textId="08BE9E2D" w:rsidR="00981E71" w:rsidRPr="003F2DB9" w:rsidRDefault="00981E71" w:rsidP="00456BDE">
            <w:pPr>
              <w:pStyle w:val="ICCENormalText1stparagraph"/>
              <w:jc w:val="left"/>
              <w:rPr>
                <w:sz w:val="20"/>
                <w:szCs w:val="20"/>
              </w:rPr>
            </w:pPr>
            <w:r w:rsidRPr="003F2DB9">
              <w:rPr>
                <w:sz w:val="20"/>
                <w:szCs w:val="20"/>
              </w:rPr>
              <w:t>Abbreviations</w:t>
            </w:r>
          </w:p>
        </w:tc>
        <w:tc>
          <w:tcPr>
            <w:tcW w:w="5324" w:type="dxa"/>
            <w:vAlign w:val="center"/>
          </w:tcPr>
          <w:p w14:paraId="208FD6F1" w14:textId="3098099F" w:rsidR="00981E71" w:rsidRPr="003F2DB9" w:rsidRDefault="00981E71" w:rsidP="00456BDE">
            <w:pPr>
              <w:pStyle w:val="ICCENormalText1stparagraph"/>
              <w:jc w:val="left"/>
              <w:rPr>
                <w:sz w:val="20"/>
                <w:szCs w:val="20"/>
              </w:rPr>
            </w:pPr>
            <w:r w:rsidRPr="003F2DB9">
              <w:rPr>
                <w:rFonts w:eastAsia="Times New Roman"/>
                <w:sz w:val="20"/>
                <w:szCs w:val="20"/>
              </w:rPr>
              <w:t>Description</w:t>
            </w:r>
          </w:p>
        </w:tc>
      </w:tr>
      <w:tr w:rsidR="008F4347" w:rsidRPr="003F2DB9" w14:paraId="3015C713" w14:textId="77777777" w:rsidTr="006B718B">
        <w:trPr>
          <w:trHeight w:val="567"/>
        </w:trPr>
        <w:tc>
          <w:tcPr>
            <w:tcW w:w="1238" w:type="dxa"/>
            <w:vMerge w:val="restart"/>
            <w:vAlign w:val="center"/>
          </w:tcPr>
          <w:p w14:paraId="2BF29536" w14:textId="324D4BB0" w:rsidR="003067B9" w:rsidRPr="003F2DB9" w:rsidRDefault="003067B9" w:rsidP="00456BDE">
            <w:pPr>
              <w:pStyle w:val="ICCENormalText1stparagraph"/>
              <w:jc w:val="left"/>
              <w:rPr>
                <w:sz w:val="20"/>
                <w:szCs w:val="20"/>
              </w:rPr>
            </w:pPr>
            <w:r w:rsidRPr="003F2DB9">
              <w:rPr>
                <w:sz w:val="20"/>
                <w:szCs w:val="20"/>
                <w:lang w:val="en-US"/>
              </w:rPr>
              <w:t>United States</w:t>
            </w:r>
          </w:p>
        </w:tc>
        <w:tc>
          <w:tcPr>
            <w:tcW w:w="1077" w:type="dxa"/>
            <w:vAlign w:val="center"/>
          </w:tcPr>
          <w:p w14:paraId="1452F1A4" w14:textId="38F4A406" w:rsidR="003067B9" w:rsidRPr="003F2DB9" w:rsidRDefault="003067B9" w:rsidP="00456BDE">
            <w:pPr>
              <w:pStyle w:val="ICCENormalText1stparagraph"/>
              <w:jc w:val="left"/>
              <w:rPr>
                <w:sz w:val="20"/>
                <w:szCs w:val="20"/>
              </w:rPr>
            </w:pPr>
            <w:r w:rsidRPr="003F2DB9">
              <w:rPr>
                <w:sz w:val="20"/>
                <w:szCs w:val="20"/>
              </w:rPr>
              <w:t>USA</w:t>
            </w:r>
          </w:p>
        </w:tc>
        <w:tc>
          <w:tcPr>
            <w:tcW w:w="1428" w:type="dxa"/>
            <w:vAlign w:val="center"/>
          </w:tcPr>
          <w:p w14:paraId="4D0CDCD2" w14:textId="4BC5BDAF" w:rsidR="003067B9" w:rsidRPr="003F2DB9" w:rsidRDefault="003067B9" w:rsidP="00456BDE">
            <w:pPr>
              <w:pStyle w:val="ICCENormalText1stparagraph"/>
              <w:jc w:val="left"/>
              <w:rPr>
                <w:sz w:val="20"/>
                <w:szCs w:val="20"/>
              </w:rPr>
            </w:pPr>
            <w:r w:rsidRPr="003F2DB9">
              <w:rPr>
                <w:sz w:val="20"/>
                <w:szCs w:val="20"/>
                <w:lang w:val="en-US"/>
              </w:rPr>
              <w:t>LEED</w:t>
            </w:r>
          </w:p>
        </w:tc>
        <w:tc>
          <w:tcPr>
            <w:tcW w:w="5324" w:type="dxa"/>
            <w:vAlign w:val="center"/>
          </w:tcPr>
          <w:p w14:paraId="01803FA1" w14:textId="39BF533F" w:rsidR="003067B9" w:rsidRPr="003F2DB9" w:rsidRDefault="003067B9" w:rsidP="00456BDE">
            <w:pPr>
              <w:pStyle w:val="ICCENormalText1stparagraph"/>
              <w:jc w:val="left"/>
              <w:rPr>
                <w:sz w:val="20"/>
                <w:szCs w:val="20"/>
              </w:rPr>
            </w:pPr>
            <w:r w:rsidRPr="003F2DB9">
              <w:rPr>
                <w:sz w:val="20"/>
                <w:szCs w:val="20"/>
                <w:lang w:val="en-US"/>
              </w:rPr>
              <w:t xml:space="preserve">Leadership in Energy and Environmental Design, introduced </w:t>
            </w:r>
            <w:r w:rsidR="00250BE3" w:rsidRPr="003F2DB9">
              <w:rPr>
                <w:sz w:val="20"/>
                <w:szCs w:val="20"/>
                <w:lang w:val="en-US"/>
              </w:rPr>
              <w:t xml:space="preserve">by USGBC (United States Green Building Council) </w:t>
            </w:r>
            <w:r w:rsidRPr="003F2DB9">
              <w:rPr>
                <w:sz w:val="20"/>
                <w:szCs w:val="20"/>
                <w:lang w:val="en-US"/>
              </w:rPr>
              <w:t>in 1998</w:t>
            </w:r>
          </w:p>
        </w:tc>
      </w:tr>
      <w:tr w:rsidR="008F4347" w:rsidRPr="003F2DB9" w14:paraId="37B6CEBD" w14:textId="77777777" w:rsidTr="006B718B">
        <w:trPr>
          <w:trHeight w:val="567"/>
        </w:trPr>
        <w:tc>
          <w:tcPr>
            <w:tcW w:w="1238" w:type="dxa"/>
            <w:vMerge/>
            <w:vAlign w:val="center"/>
          </w:tcPr>
          <w:p w14:paraId="4E82F799" w14:textId="77777777" w:rsidR="003067B9" w:rsidRPr="003F2DB9" w:rsidRDefault="003067B9" w:rsidP="00456BDE">
            <w:pPr>
              <w:pStyle w:val="ICCENormalText1stparagraph"/>
              <w:jc w:val="left"/>
              <w:rPr>
                <w:sz w:val="20"/>
                <w:szCs w:val="20"/>
              </w:rPr>
            </w:pPr>
          </w:p>
        </w:tc>
        <w:tc>
          <w:tcPr>
            <w:tcW w:w="1077" w:type="dxa"/>
            <w:vAlign w:val="center"/>
          </w:tcPr>
          <w:p w14:paraId="116189CE" w14:textId="000EC42D" w:rsidR="003067B9" w:rsidRPr="003F2DB9" w:rsidRDefault="003067B9" w:rsidP="00456BDE">
            <w:pPr>
              <w:pStyle w:val="ICCENormalText1stparagraph"/>
              <w:jc w:val="left"/>
              <w:rPr>
                <w:sz w:val="20"/>
                <w:szCs w:val="20"/>
              </w:rPr>
            </w:pPr>
            <w:r w:rsidRPr="003F2DB9">
              <w:rPr>
                <w:sz w:val="20"/>
                <w:szCs w:val="20"/>
              </w:rPr>
              <w:t>USA</w:t>
            </w:r>
          </w:p>
        </w:tc>
        <w:tc>
          <w:tcPr>
            <w:tcW w:w="1428" w:type="dxa"/>
            <w:vAlign w:val="center"/>
          </w:tcPr>
          <w:p w14:paraId="65F05E21" w14:textId="437CB5F9" w:rsidR="003067B9" w:rsidRPr="003F2DB9" w:rsidRDefault="003067B9" w:rsidP="00456BDE">
            <w:pPr>
              <w:pStyle w:val="ICCENormalText1stparagraph"/>
              <w:jc w:val="left"/>
              <w:rPr>
                <w:sz w:val="20"/>
                <w:szCs w:val="20"/>
              </w:rPr>
            </w:pPr>
            <w:r w:rsidRPr="003F2DB9">
              <w:rPr>
                <w:sz w:val="20"/>
                <w:szCs w:val="20"/>
                <w:lang w:val="en-US"/>
              </w:rPr>
              <w:t>WELL</w:t>
            </w:r>
          </w:p>
        </w:tc>
        <w:tc>
          <w:tcPr>
            <w:tcW w:w="5324" w:type="dxa"/>
            <w:vAlign w:val="center"/>
          </w:tcPr>
          <w:p w14:paraId="5157FDF7" w14:textId="52FDB0BD" w:rsidR="00C469DB" w:rsidRPr="003F2DB9" w:rsidRDefault="003067B9" w:rsidP="00F40799">
            <w:pPr>
              <w:pStyle w:val="ICCENormalText1stparagraph"/>
            </w:pPr>
            <w:r w:rsidRPr="003F2DB9">
              <w:rPr>
                <w:sz w:val="20"/>
                <w:szCs w:val="20"/>
                <w:lang w:val="en-US"/>
              </w:rPr>
              <w:t>WELL Building Standard (USA)</w:t>
            </w:r>
            <w:r w:rsidRPr="003F2DB9">
              <w:rPr>
                <w:sz w:val="20"/>
                <w:szCs w:val="20"/>
              </w:rPr>
              <w:t>, introduced by International WELL Building Institute (IWBI) in the United States</w:t>
            </w:r>
          </w:p>
        </w:tc>
      </w:tr>
      <w:tr w:rsidR="008F4347" w:rsidRPr="003F2DB9" w14:paraId="1C27B545" w14:textId="77777777" w:rsidTr="006B718B">
        <w:trPr>
          <w:trHeight w:val="567"/>
        </w:trPr>
        <w:tc>
          <w:tcPr>
            <w:tcW w:w="1238" w:type="dxa"/>
            <w:vMerge/>
            <w:vAlign w:val="center"/>
          </w:tcPr>
          <w:p w14:paraId="57C72E60" w14:textId="77777777" w:rsidR="003067B9" w:rsidRPr="003F2DB9" w:rsidRDefault="003067B9" w:rsidP="00456BDE">
            <w:pPr>
              <w:pStyle w:val="ICCENormalText1stparagraph"/>
              <w:jc w:val="left"/>
              <w:rPr>
                <w:sz w:val="20"/>
                <w:szCs w:val="20"/>
              </w:rPr>
            </w:pPr>
          </w:p>
        </w:tc>
        <w:tc>
          <w:tcPr>
            <w:tcW w:w="1077" w:type="dxa"/>
            <w:vAlign w:val="center"/>
          </w:tcPr>
          <w:p w14:paraId="0F4B000E" w14:textId="08BA5A48" w:rsidR="003067B9" w:rsidRPr="003F2DB9" w:rsidRDefault="003067B9" w:rsidP="00456BDE">
            <w:pPr>
              <w:pStyle w:val="ICCENormalText1stparagraph"/>
              <w:jc w:val="left"/>
              <w:rPr>
                <w:sz w:val="20"/>
                <w:szCs w:val="20"/>
              </w:rPr>
            </w:pPr>
            <w:r w:rsidRPr="003F2DB9">
              <w:rPr>
                <w:sz w:val="20"/>
                <w:szCs w:val="20"/>
              </w:rPr>
              <w:t>USA</w:t>
            </w:r>
          </w:p>
        </w:tc>
        <w:tc>
          <w:tcPr>
            <w:tcW w:w="1428" w:type="dxa"/>
            <w:vAlign w:val="center"/>
          </w:tcPr>
          <w:p w14:paraId="4B4DD122" w14:textId="18A339F7" w:rsidR="003067B9" w:rsidRPr="003F2DB9" w:rsidRDefault="003067B9" w:rsidP="00456BDE">
            <w:pPr>
              <w:pStyle w:val="ICCENormalText1stparagraph"/>
              <w:jc w:val="left"/>
              <w:rPr>
                <w:sz w:val="20"/>
                <w:szCs w:val="20"/>
              </w:rPr>
            </w:pPr>
            <w:r w:rsidRPr="003F2DB9">
              <w:rPr>
                <w:sz w:val="20"/>
                <w:szCs w:val="20"/>
                <w:lang w:val="en-US"/>
              </w:rPr>
              <w:t>SITES</w:t>
            </w:r>
          </w:p>
        </w:tc>
        <w:tc>
          <w:tcPr>
            <w:tcW w:w="5324" w:type="dxa"/>
            <w:vAlign w:val="center"/>
          </w:tcPr>
          <w:p w14:paraId="035CDA19" w14:textId="29F904D2" w:rsidR="003067B9" w:rsidRPr="003F2DB9" w:rsidRDefault="003067B9" w:rsidP="00216FFF">
            <w:pPr>
              <w:pStyle w:val="ICCENormalText1stparagraph"/>
              <w:rPr>
                <w:sz w:val="20"/>
                <w:szCs w:val="20"/>
                <w:lang w:val="en-US"/>
              </w:rPr>
            </w:pPr>
            <w:r w:rsidRPr="003F2DB9">
              <w:rPr>
                <w:sz w:val="20"/>
                <w:szCs w:val="20"/>
                <w:lang w:val="en-US"/>
              </w:rPr>
              <w:t>Sustainable Sites Initiative. Introduced by American Society of Landscape Architects (ASLA)</w:t>
            </w:r>
          </w:p>
        </w:tc>
      </w:tr>
      <w:tr w:rsidR="008F4347" w:rsidRPr="003F2DB9" w14:paraId="62160710" w14:textId="77777777" w:rsidTr="006B718B">
        <w:trPr>
          <w:trHeight w:val="567"/>
        </w:trPr>
        <w:tc>
          <w:tcPr>
            <w:tcW w:w="1238" w:type="dxa"/>
            <w:vMerge/>
            <w:vAlign w:val="center"/>
          </w:tcPr>
          <w:p w14:paraId="0B5E8D43" w14:textId="77777777" w:rsidR="003067B9" w:rsidRPr="003F2DB9" w:rsidRDefault="003067B9" w:rsidP="00456BDE">
            <w:pPr>
              <w:pStyle w:val="ICCENormalText1stparagraph"/>
              <w:jc w:val="left"/>
              <w:rPr>
                <w:sz w:val="20"/>
                <w:szCs w:val="20"/>
              </w:rPr>
            </w:pPr>
          </w:p>
        </w:tc>
        <w:tc>
          <w:tcPr>
            <w:tcW w:w="1077" w:type="dxa"/>
            <w:vAlign w:val="center"/>
          </w:tcPr>
          <w:p w14:paraId="455DEB80" w14:textId="639A7DC3" w:rsidR="003067B9" w:rsidRPr="003F2DB9" w:rsidRDefault="003067B9" w:rsidP="00456BDE">
            <w:pPr>
              <w:pStyle w:val="ICCENormalText1stparagraph"/>
              <w:jc w:val="left"/>
              <w:rPr>
                <w:sz w:val="20"/>
                <w:szCs w:val="20"/>
              </w:rPr>
            </w:pPr>
            <w:r w:rsidRPr="003F2DB9">
              <w:rPr>
                <w:sz w:val="20"/>
                <w:szCs w:val="20"/>
              </w:rPr>
              <w:t>USA</w:t>
            </w:r>
          </w:p>
        </w:tc>
        <w:tc>
          <w:tcPr>
            <w:tcW w:w="1428" w:type="dxa"/>
            <w:vAlign w:val="center"/>
          </w:tcPr>
          <w:p w14:paraId="3F207520" w14:textId="5DC8E955" w:rsidR="003067B9" w:rsidRPr="003F2DB9" w:rsidRDefault="003067B9" w:rsidP="00456BDE">
            <w:pPr>
              <w:pStyle w:val="ICCENormalText1stparagraph"/>
              <w:jc w:val="left"/>
              <w:rPr>
                <w:sz w:val="20"/>
                <w:szCs w:val="20"/>
              </w:rPr>
            </w:pPr>
            <w:r w:rsidRPr="003F2DB9">
              <w:rPr>
                <w:sz w:val="20"/>
                <w:szCs w:val="20"/>
                <w:lang w:val="en-US"/>
              </w:rPr>
              <w:t>LBC</w:t>
            </w:r>
          </w:p>
        </w:tc>
        <w:tc>
          <w:tcPr>
            <w:tcW w:w="5324" w:type="dxa"/>
            <w:vAlign w:val="center"/>
          </w:tcPr>
          <w:p w14:paraId="5B3A2E7B" w14:textId="5471A33E" w:rsidR="003067B9" w:rsidRPr="003F2DB9" w:rsidRDefault="003067B9" w:rsidP="00216FFF">
            <w:pPr>
              <w:pStyle w:val="ICCENormalText1stparagraph"/>
              <w:rPr>
                <w:sz w:val="20"/>
                <w:szCs w:val="20"/>
              </w:rPr>
            </w:pPr>
            <w:r w:rsidRPr="003F2DB9">
              <w:rPr>
                <w:sz w:val="20"/>
                <w:szCs w:val="20"/>
                <w:lang w:val="en-US"/>
              </w:rPr>
              <w:t>Living Building Challenge, introduced by the International Living Future Institute (ILFI) in 2006.</w:t>
            </w:r>
          </w:p>
        </w:tc>
      </w:tr>
      <w:tr w:rsidR="008F4347" w:rsidRPr="003F2DB9" w14:paraId="64BB329F" w14:textId="77777777" w:rsidTr="006B718B">
        <w:trPr>
          <w:trHeight w:val="567"/>
        </w:trPr>
        <w:tc>
          <w:tcPr>
            <w:tcW w:w="1238" w:type="dxa"/>
            <w:vMerge w:val="restart"/>
            <w:vAlign w:val="center"/>
          </w:tcPr>
          <w:p w14:paraId="7B25F29C" w14:textId="07A0E920" w:rsidR="004937EE" w:rsidRPr="003F2DB9" w:rsidRDefault="004937EE" w:rsidP="00456BDE">
            <w:pPr>
              <w:pStyle w:val="ICCENormalText1stparagraph"/>
              <w:jc w:val="left"/>
              <w:rPr>
                <w:sz w:val="20"/>
                <w:szCs w:val="20"/>
              </w:rPr>
            </w:pPr>
            <w:r w:rsidRPr="003F2DB9">
              <w:rPr>
                <w:sz w:val="20"/>
                <w:szCs w:val="20"/>
              </w:rPr>
              <w:t>Europe</w:t>
            </w:r>
          </w:p>
        </w:tc>
        <w:tc>
          <w:tcPr>
            <w:tcW w:w="1077" w:type="dxa"/>
            <w:vAlign w:val="center"/>
          </w:tcPr>
          <w:p w14:paraId="79D95596" w14:textId="13CC3DB6" w:rsidR="004937EE" w:rsidRPr="003F2DB9" w:rsidRDefault="004937EE" w:rsidP="00456BDE">
            <w:pPr>
              <w:pStyle w:val="ICCENormalText1stparagraph"/>
              <w:jc w:val="left"/>
              <w:rPr>
                <w:sz w:val="20"/>
                <w:szCs w:val="20"/>
              </w:rPr>
            </w:pPr>
            <w:r w:rsidRPr="003F2DB9">
              <w:rPr>
                <w:rFonts w:eastAsia="Times New Roman"/>
                <w:sz w:val="20"/>
                <w:szCs w:val="20"/>
              </w:rPr>
              <w:t>UK</w:t>
            </w:r>
          </w:p>
        </w:tc>
        <w:tc>
          <w:tcPr>
            <w:tcW w:w="1428" w:type="dxa"/>
            <w:vAlign w:val="center"/>
          </w:tcPr>
          <w:p w14:paraId="21B552B5" w14:textId="05D65948" w:rsidR="004937EE" w:rsidRPr="003F2DB9" w:rsidRDefault="004937EE" w:rsidP="00456BDE">
            <w:pPr>
              <w:pStyle w:val="ICCENormalText1stparagraph"/>
              <w:jc w:val="left"/>
              <w:rPr>
                <w:sz w:val="20"/>
                <w:szCs w:val="20"/>
              </w:rPr>
            </w:pPr>
            <w:r w:rsidRPr="003F2DB9">
              <w:rPr>
                <w:rFonts w:eastAsia="Times New Roman"/>
                <w:sz w:val="20"/>
                <w:szCs w:val="20"/>
              </w:rPr>
              <w:t>BREEAM</w:t>
            </w:r>
          </w:p>
        </w:tc>
        <w:tc>
          <w:tcPr>
            <w:tcW w:w="5324" w:type="dxa"/>
            <w:vAlign w:val="center"/>
          </w:tcPr>
          <w:p w14:paraId="44329CEE" w14:textId="2AFDA47F" w:rsidR="004937EE" w:rsidRPr="003F2DB9" w:rsidRDefault="004937EE" w:rsidP="00456BDE">
            <w:pPr>
              <w:pStyle w:val="ICCENormalText1stparagraph"/>
              <w:jc w:val="left"/>
              <w:rPr>
                <w:sz w:val="20"/>
                <w:szCs w:val="20"/>
              </w:rPr>
            </w:pPr>
            <w:r w:rsidRPr="003F2DB9">
              <w:rPr>
                <w:sz w:val="20"/>
                <w:szCs w:val="20"/>
                <w:lang w:val="en-US"/>
              </w:rPr>
              <w:t xml:space="preserve">Building Research Establishment Environmental Assessment Method. </w:t>
            </w:r>
            <w:r w:rsidRPr="003F2DB9">
              <w:rPr>
                <w:rFonts w:eastAsia="Times New Roman"/>
                <w:sz w:val="20"/>
                <w:szCs w:val="20"/>
              </w:rPr>
              <w:t>introduced in 1990</w:t>
            </w:r>
          </w:p>
        </w:tc>
      </w:tr>
      <w:tr w:rsidR="008F4347" w:rsidRPr="003F2DB9" w14:paraId="3BD85264" w14:textId="77777777" w:rsidTr="006B718B">
        <w:trPr>
          <w:trHeight w:val="567"/>
        </w:trPr>
        <w:tc>
          <w:tcPr>
            <w:tcW w:w="1238" w:type="dxa"/>
            <w:vMerge/>
            <w:vAlign w:val="center"/>
          </w:tcPr>
          <w:p w14:paraId="7C91E7A2" w14:textId="77777777" w:rsidR="004937EE" w:rsidRPr="003F2DB9" w:rsidRDefault="004937EE" w:rsidP="00917934">
            <w:pPr>
              <w:pStyle w:val="ICCENormalText1stparagraph"/>
              <w:jc w:val="left"/>
              <w:rPr>
                <w:sz w:val="20"/>
                <w:szCs w:val="20"/>
              </w:rPr>
            </w:pPr>
          </w:p>
        </w:tc>
        <w:tc>
          <w:tcPr>
            <w:tcW w:w="1077" w:type="dxa"/>
            <w:vAlign w:val="center"/>
          </w:tcPr>
          <w:p w14:paraId="047024F2" w14:textId="315C098B" w:rsidR="004937EE" w:rsidRPr="003F2DB9" w:rsidRDefault="004937EE" w:rsidP="00917934">
            <w:pPr>
              <w:pStyle w:val="ICCENormalText1stparagraph"/>
              <w:jc w:val="left"/>
              <w:rPr>
                <w:sz w:val="20"/>
                <w:szCs w:val="20"/>
              </w:rPr>
            </w:pPr>
            <w:r w:rsidRPr="003F2DB9">
              <w:rPr>
                <w:rFonts w:eastAsia="Times New Roman"/>
                <w:sz w:val="20"/>
                <w:szCs w:val="20"/>
              </w:rPr>
              <w:t>Canada</w:t>
            </w:r>
          </w:p>
        </w:tc>
        <w:tc>
          <w:tcPr>
            <w:tcW w:w="1428" w:type="dxa"/>
            <w:vAlign w:val="center"/>
          </w:tcPr>
          <w:p w14:paraId="5D460B63" w14:textId="343313FF" w:rsidR="004937EE" w:rsidRPr="003F2DB9" w:rsidRDefault="004937EE" w:rsidP="00917934">
            <w:pPr>
              <w:pStyle w:val="ICCENormalText1stparagraph"/>
              <w:jc w:val="left"/>
              <w:rPr>
                <w:sz w:val="20"/>
                <w:szCs w:val="20"/>
              </w:rPr>
            </w:pPr>
            <w:r w:rsidRPr="003F2DB9">
              <w:rPr>
                <w:sz w:val="20"/>
                <w:szCs w:val="20"/>
                <w:lang w:val="en-US"/>
              </w:rPr>
              <w:t>LEED</w:t>
            </w:r>
          </w:p>
        </w:tc>
        <w:tc>
          <w:tcPr>
            <w:tcW w:w="5324" w:type="dxa"/>
            <w:vAlign w:val="center"/>
          </w:tcPr>
          <w:p w14:paraId="632FCD00" w14:textId="07F9842E" w:rsidR="004937EE" w:rsidRPr="003F2DB9" w:rsidRDefault="004937EE" w:rsidP="00917934">
            <w:pPr>
              <w:pStyle w:val="ICCENormalText1stparagraph"/>
              <w:jc w:val="left"/>
              <w:rPr>
                <w:sz w:val="20"/>
                <w:szCs w:val="20"/>
              </w:rPr>
            </w:pPr>
            <w:r w:rsidRPr="003F2DB9">
              <w:rPr>
                <w:sz w:val="20"/>
                <w:szCs w:val="20"/>
                <w:lang w:val="en-US"/>
              </w:rPr>
              <w:t>Leadership in Energy and Environmental Design.</w:t>
            </w:r>
            <w:r w:rsidR="004673A8" w:rsidRPr="003F2DB9">
              <w:rPr>
                <w:sz w:val="20"/>
                <w:szCs w:val="20"/>
                <w:lang w:val="en-US"/>
              </w:rPr>
              <w:t xml:space="preserve"> Introduced in 1998</w:t>
            </w:r>
          </w:p>
        </w:tc>
      </w:tr>
      <w:tr w:rsidR="008F4347" w:rsidRPr="003F2DB9" w14:paraId="427C425F" w14:textId="77777777" w:rsidTr="006B718B">
        <w:trPr>
          <w:trHeight w:val="567"/>
        </w:trPr>
        <w:tc>
          <w:tcPr>
            <w:tcW w:w="1238" w:type="dxa"/>
            <w:vMerge/>
            <w:vAlign w:val="center"/>
          </w:tcPr>
          <w:p w14:paraId="74DD948D" w14:textId="77777777" w:rsidR="004937EE" w:rsidRPr="003F2DB9" w:rsidRDefault="004937EE" w:rsidP="00917934">
            <w:pPr>
              <w:pStyle w:val="ICCENormalText1stparagraph"/>
              <w:jc w:val="left"/>
              <w:rPr>
                <w:sz w:val="20"/>
                <w:szCs w:val="20"/>
              </w:rPr>
            </w:pPr>
          </w:p>
        </w:tc>
        <w:tc>
          <w:tcPr>
            <w:tcW w:w="1077" w:type="dxa"/>
            <w:vAlign w:val="center"/>
          </w:tcPr>
          <w:p w14:paraId="7398D756" w14:textId="71E4D569" w:rsidR="004937EE" w:rsidRPr="003F2DB9" w:rsidRDefault="004937EE" w:rsidP="00917934">
            <w:pPr>
              <w:pStyle w:val="ICCENormalText1stparagraph"/>
              <w:jc w:val="left"/>
              <w:rPr>
                <w:sz w:val="20"/>
                <w:szCs w:val="20"/>
              </w:rPr>
            </w:pPr>
            <w:r w:rsidRPr="003F2DB9">
              <w:rPr>
                <w:rFonts w:eastAsia="Times New Roman"/>
                <w:sz w:val="20"/>
                <w:szCs w:val="20"/>
              </w:rPr>
              <w:t>France</w:t>
            </w:r>
          </w:p>
        </w:tc>
        <w:tc>
          <w:tcPr>
            <w:tcW w:w="1428" w:type="dxa"/>
            <w:vAlign w:val="center"/>
          </w:tcPr>
          <w:p w14:paraId="4989F0A8" w14:textId="72DC1327" w:rsidR="004937EE" w:rsidRPr="003F2DB9" w:rsidRDefault="004937EE" w:rsidP="00917934">
            <w:pPr>
              <w:pStyle w:val="ICCENormalText1stparagraph"/>
              <w:jc w:val="left"/>
              <w:rPr>
                <w:sz w:val="20"/>
                <w:szCs w:val="20"/>
              </w:rPr>
            </w:pPr>
            <w:r w:rsidRPr="003F2DB9">
              <w:rPr>
                <w:rFonts w:eastAsia="Times New Roman"/>
                <w:sz w:val="20"/>
                <w:szCs w:val="20"/>
              </w:rPr>
              <w:t>HQE</w:t>
            </w:r>
            <w:r w:rsidRPr="003F2DB9">
              <w:rPr>
                <w:rFonts w:eastAsia="Times New Roman"/>
                <w:sz w:val="20"/>
                <w:szCs w:val="20"/>
              </w:rPr>
              <w:tab/>
            </w:r>
          </w:p>
        </w:tc>
        <w:tc>
          <w:tcPr>
            <w:tcW w:w="5324" w:type="dxa"/>
            <w:vAlign w:val="center"/>
          </w:tcPr>
          <w:p w14:paraId="4BE244F5" w14:textId="34D5E52F" w:rsidR="004937EE" w:rsidRPr="003F2DB9" w:rsidRDefault="004937EE" w:rsidP="00917934">
            <w:pPr>
              <w:pStyle w:val="ICCENormalText1stparagraph"/>
              <w:jc w:val="left"/>
              <w:rPr>
                <w:sz w:val="20"/>
                <w:szCs w:val="20"/>
              </w:rPr>
            </w:pPr>
            <w:r w:rsidRPr="003F2DB9">
              <w:rPr>
                <w:rFonts w:eastAsia="Times New Roman"/>
                <w:sz w:val="20"/>
                <w:szCs w:val="20"/>
              </w:rPr>
              <w:t>High Environmental Quality</w:t>
            </w:r>
            <w:r w:rsidR="00CF0238" w:rsidRPr="003F2DB9">
              <w:rPr>
                <w:rFonts w:eastAsia="Times New Roman"/>
                <w:sz w:val="20"/>
                <w:szCs w:val="20"/>
              </w:rPr>
              <w:t xml:space="preserve">, introduced in </w:t>
            </w:r>
            <w:r w:rsidR="00CF0238" w:rsidRPr="003F2DB9">
              <w:rPr>
                <w:rFonts w:eastAsia="Times New Roman"/>
                <w:sz w:val="20"/>
                <w:szCs w:val="20"/>
                <w:lang w:val="en-US"/>
              </w:rPr>
              <w:t>in the early 1990s</w:t>
            </w:r>
          </w:p>
        </w:tc>
      </w:tr>
      <w:tr w:rsidR="008F4347" w:rsidRPr="003F2DB9" w14:paraId="7A97B10F" w14:textId="77777777" w:rsidTr="006B718B">
        <w:trPr>
          <w:trHeight w:val="567"/>
        </w:trPr>
        <w:tc>
          <w:tcPr>
            <w:tcW w:w="1238" w:type="dxa"/>
            <w:vMerge/>
            <w:vAlign w:val="center"/>
          </w:tcPr>
          <w:p w14:paraId="340B0869" w14:textId="77777777" w:rsidR="004937EE" w:rsidRPr="003F2DB9" w:rsidRDefault="004937EE" w:rsidP="00917934">
            <w:pPr>
              <w:pStyle w:val="ICCENormalText1stparagraph"/>
              <w:jc w:val="left"/>
              <w:rPr>
                <w:sz w:val="20"/>
                <w:szCs w:val="20"/>
              </w:rPr>
            </w:pPr>
          </w:p>
        </w:tc>
        <w:tc>
          <w:tcPr>
            <w:tcW w:w="1077" w:type="dxa"/>
            <w:vAlign w:val="center"/>
          </w:tcPr>
          <w:p w14:paraId="264E6C14" w14:textId="4025FA28" w:rsidR="004937EE" w:rsidRPr="003F2DB9" w:rsidRDefault="004937EE" w:rsidP="00917934">
            <w:pPr>
              <w:pStyle w:val="ICCENormalText1stparagraph"/>
              <w:jc w:val="left"/>
              <w:rPr>
                <w:sz w:val="20"/>
                <w:szCs w:val="20"/>
              </w:rPr>
            </w:pPr>
            <w:r w:rsidRPr="003F2DB9">
              <w:rPr>
                <w:rFonts w:eastAsia="Times New Roman"/>
                <w:sz w:val="20"/>
                <w:szCs w:val="20"/>
              </w:rPr>
              <w:t>Germany</w:t>
            </w:r>
          </w:p>
        </w:tc>
        <w:tc>
          <w:tcPr>
            <w:tcW w:w="1428" w:type="dxa"/>
            <w:vAlign w:val="center"/>
          </w:tcPr>
          <w:p w14:paraId="2994FD21" w14:textId="0BFAAE58" w:rsidR="004937EE" w:rsidRPr="003F2DB9" w:rsidRDefault="004937EE" w:rsidP="00917934">
            <w:pPr>
              <w:pStyle w:val="ICCENormalText1stparagraph"/>
              <w:jc w:val="left"/>
              <w:rPr>
                <w:sz w:val="20"/>
                <w:szCs w:val="20"/>
              </w:rPr>
            </w:pPr>
            <w:r w:rsidRPr="003F2DB9">
              <w:rPr>
                <w:rFonts w:eastAsia="Times New Roman"/>
                <w:sz w:val="20"/>
                <w:szCs w:val="20"/>
              </w:rPr>
              <w:t>DGNB</w:t>
            </w:r>
          </w:p>
        </w:tc>
        <w:tc>
          <w:tcPr>
            <w:tcW w:w="5324" w:type="dxa"/>
            <w:vAlign w:val="center"/>
          </w:tcPr>
          <w:p w14:paraId="53BFA7DD" w14:textId="2AFF2955" w:rsidR="004937EE" w:rsidRPr="003F2DB9" w:rsidRDefault="004937EE" w:rsidP="00917934">
            <w:pPr>
              <w:pStyle w:val="ICCENormalText1stparagraph"/>
              <w:jc w:val="left"/>
              <w:rPr>
                <w:sz w:val="20"/>
                <w:szCs w:val="20"/>
              </w:rPr>
            </w:pPr>
            <w:r w:rsidRPr="003F2DB9">
              <w:rPr>
                <w:rFonts w:eastAsia="Times New Roman"/>
                <w:sz w:val="20"/>
                <w:szCs w:val="20"/>
              </w:rPr>
              <w:t xml:space="preserve">Deutsche Gesellschaft für </w:t>
            </w:r>
            <w:proofErr w:type="spellStart"/>
            <w:r w:rsidRPr="003F2DB9">
              <w:rPr>
                <w:rFonts w:eastAsia="Times New Roman"/>
                <w:sz w:val="20"/>
                <w:szCs w:val="20"/>
              </w:rPr>
              <w:t>Nachhaltiges</w:t>
            </w:r>
            <w:proofErr w:type="spellEnd"/>
            <w:r w:rsidRPr="003F2DB9">
              <w:rPr>
                <w:rFonts w:eastAsia="Times New Roman"/>
                <w:sz w:val="20"/>
                <w:szCs w:val="20"/>
              </w:rPr>
              <w:t xml:space="preserve"> </w:t>
            </w:r>
            <w:proofErr w:type="spellStart"/>
            <w:r w:rsidRPr="003F2DB9">
              <w:rPr>
                <w:rFonts w:eastAsia="Times New Roman"/>
                <w:sz w:val="20"/>
                <w:szCs w:val="20"/>
              </w:rPr>
              <w:t>Bauen</w:t>
            </w:r>
            <w:proofErr w:type="spellEnd"/>
          </w:p>
        </w:tc>
      </w:tr>
      <w:tr w:rsidR="008F4347" w:rsidRPr="003F2DB9" w14:paraId="4FB61EB3" w14:textId="77777777" w:rsidTr="006B718B">
        <w:trPr>
          <w:trHeight w:val="567"/>
        </w:trPr>
        <w:tc>
          <w:tcPr>
            <w:tcW w:w="1238" w:type="dxa"/>
            <w:vMerge w:val="restart"/>
            <w:vAlign w:val="center"/>
          </w:tcPr>
          <w:p w14:paraId="11BB997B" w14:textId="0C19AA01" w:rsidR="004937EE" w:rsidRPr="003F2DB9" w:rsidRDefault="004937EE" w:rsidP="00917934">
            <w:pPr>
              <w:pStyle w:val="ICCENormalText1stparagraph"/>
              <w:jc w:val="left"/>
              <w:rPr>
                <w:sz w:val="20"/>
                <w:szCs w:val="20"/>
              </w:rPr>
            </w:pPr>
            <w:r w:rsidRPr="003F2DB9">
              <w:rPr>
                <w:sz w:val="20"/>
                <w:szCs w:val="20"/>
              </w:rPr>
              <w:t>Asia Pacific</w:t>
            </w:r>
          </w:p>
        </w:tc>
        <w:tc>
          <w:tcPr>
            <w:tcW w:w="1077" w:type="dxa"/>
            <w:vAlign w:val="center"/>
          </w:tcPr>
          <w:p w14:paraId="64FBB9DB" w14:textId="718C3C00" w:rsidR="004937EE" w:rsidRPr="003F2DB9" w:rsidRDefault="004937EE" w:rsidP="00917934">
            <w:pPr>
              <w:pStyle w:val="ICCENormalText1stparagraph"/>
              <w:jc w:val="left"/>
              <w:rPr>
                <w:rFonts w:eastAsia="Times New Roman"/>
                <w:sz w:val="20"/>
                <w:szCs w:val="20"/>
              </w:rPr>
            </w:pPr>
            <w:r w:rsidRPr="003F2DB9">
              <w:rPr>
                <w:rFonts w:eastAsia="Times New Roman"/>
                <w:sz w:val="20"/>
                <w:szCs w:val="20"/>
              </w:rPr>
              <w:t>Australia</w:t>
            </w:r>
          </w:p>
        </w:tc>
        <w:tc>
          <w:tcPr>
            <w:tcW w:w="1428" w:type="dxa"/>
            <w:vAlign w:val="center"/>
          </w:tcPr>
          <w:p w14:paraId="2815ECEA" w14:textId="2BE6BEF1" w:rsidR="004937EE" w:rsidRPr="003F2DB9" w:rsidRDefault="004937EE" w:rsidP="00917934">
            <w:pPr>
              <w:pStyle w:val="ICCENormalText1stparagraph"/>
              <w:jc w:val="left"/>
              <w:rPr>
                <w:rFonts w:eastAsia="Times New Roman"/>
                <w:sz w:val="20"/>
                <w:szCs w:val="20"/>
              </w:rPr>
            </w:pPr>
            <w:r w:rsidRPr="003F2DB9">
              <w:rPr>
                <w:rFonts w:eastAsia="Times New Roman"/>
                <w:sz w:val="20"/>
                <w:szCs w:val="20"/>
              </w:rPr>
              <w:t>Green Star</w:t>
            </w:r>
          </w:p>
        </w:tc>
        <w:tc>
          <w:tcPr>
            <w:tcW w:w="5324" w:type="dxa"/>
            <w:vAlign w:val="center"/>
          </w:tcPr>
          <w:p w14:paraId="6C2E8520" w14:textId="4E37EF9A" w:rsidR="004937EE" w:rsidRPr="003F2DB9" w:rsidRDefault="004937EE" w:rsidP="00917934">
            <w:pPr>
              <w:pStyle w:val="ICCENormalText1stparagraph"/>
              <w:jc w:val="left"/>
              <w:rPr>
                <w:rFonts w:eastAsia="Times New Roman"/>
                <w:sz w:val="20"/>
                <w:szCs w:val="20"/>
              </w:rPr>
            </w:pPr>
            <w:r w:rsidRPr="003F2DB9">
              <w:rPr>
                <w:rFonts w:eastAsia="Times New Roman"/>
                <w:sz w:val="20"/>
                <w:szCs w:val="20"/>
              </w:rPr>
              <w:t>Green Star System</w:t>
            </w:r>
          </w:p>
        </w:tc>
      </w:tr>
      <w:tr w:rsidR="008F4347" w:rsidRPr="003F2DB9" w14:paraId="783AD5A9" w14:textId="77777777" w:rsidTr="006B718B">
        <w:trPr>
          <w:trHeight w:val="567"/>
        </w:trPr>
        <w:tc>
          <w:tcPr>
            <w:tcW w:w="1238" w:type="dxa"/>
            <w:vMerge/>
            <w:vAlign w:val="center"/>
          </w:tcPr>
          <w:p w14:paraId="01877009" w14:textId="77777777" w:rsidR="004937EE" w:rsidRPr="003F2DB9" w:rsidRDefault="004937EE" w:rsidP="00917934">
            <w:pPr>
              <w:pStyle w:val="ICCENormalText1stparagraph"/>
              <w:jc w:val="left"/>
              <w:rPr>
                <w:sz w:val="20"/>
                <w:szCs w:val="20"/>
              </w:rPr>
            </w:pPr>
          </w:p>
        </w:tc>
        <w:tc>
          <w:tcPr>
            <w:tcW w:w="1077" w:type="dxa"/>
            <w:vAlign w:val="center"/>
          </w:tcPr>
          <w:p w14:paraId="43E1CAD5" w14:textId="55E5DDC8" w:rsidR="004937EE" w:rsidRPr="003F2DB9" w:rsidRDefault="004937EE" w:rsidP="00917934">
            <w:pPr>
              <w:pStyle w:val="ICCENormalText1stparagraph"/>
              <w:jc w:val="left"/>
              <w:rPr>
                <w:rFonts w:eastAsia="Times New Roman"/>
                <w:sz w:val="20"/>
                <w:szCs w:val="20"/>
              </w:rPr>
            </w:pPr>
            <w:r w:rsidRPr="003F2DB9">
              <w:rPr>
                <w:rFonts w:eastAsia="Times New Roman"/>
                <w:sz w:val="20"/>
                <w:szCs w:val="20"/>
              </w:rPr>
              <w:t>New Zealand</w:t>
            </w:r>
          </w:p>
        </w:tc>
        <w:tc>
          <w:tcPr>
            <w:tcW w:w="1428" w:type="dxa"/>
            <w:vAlign w:val="center"/>
          </w:tcPr>
          <w:p w14:paraId="482F24BF" w14:textId="6E7A1247" w:rsidR="004937EE" w:rsidRPr="003F2DB9" w:rsidRDefault="004937EE" w:rsidP="00917934">
            <w:pPr>
              <w:pStyle w:val="ICCENormalText1stparagraph"/>
              <w:jc w:val="left"/>
              <w:rPr>
                <w:rFonts w:eastAsia="Times New Roman"/>
                <w:sz w:val="20"/>
                <w:szCs w:val="20"/>
              </w:rPr>
            </w:pPr>
            <w:r w:rsidRPr="003F2DB9">
              <w:rPr>
                <w:rFonts w:eastAsia="Times New Roman"/>
                <w:sz w:val="20"/>
                <w:szCs w:val="20"/>
              </w:rPr>
              <w:t xml:space="preserve">Green Star </w:t>
            </w:r>
          </w:p>
        </w:tc>
        <w:tc>
          <w:tcPr>
            <w:tcW w:w="5324" w:type="dxa"/>
            <w:vAlign w:val="center"/>
          </w:tcPr>
          <w:p w14:paraId="53A190BF" w14:textId="5C1C18B7" w:rsidR="004937EE" w:rsidRPr="003F2DB9" w:rsidRDefault="004937EE" w:rsidP="00917934">
            <w:pPr>
              <w:pStyle w:val="ICCENormalText1stparagraph"/>
              <w:jc w:val="left"/>
              <w:rPr>
                <w:rFonts w:eastAsia="Times New Roman"/>
                <w:sz w:val="20"/>
                <w:szCs w:val="20"/>
              </w:rPr>
            </w:pPr>
            <w:r w:rsidRPr="003F2DB9">
              <w:rPr>
                <w:rFonts w:eastAsia="Times New Roman"/>
                <w:sz w:val="20"/>
                <w:szCs w:val="20"/>
              </w:rPr>
              <w:t>Green Star system launched in 2007</w:t>
            </w:r>
          </w:p>
        </w:tc>
      </w:tr>
      <w:tr w:rsidR="008F4347" w:rsidRPr="003F2DB9" w14:paraId="17E06ED8" w14:textId="77777777" w:rsidTr="006B718B">
        <w:trPr>
          <w:trHeight w:val="567"/>
        </w:trPr>
        <w:tc>
          <w:tcPr>
            <w:tcW w:w="1238" w:type="dxa"/>
            <w:vMerge/>
            <w:vAlign w:val="center"/>
          </w:tcPr>
          <w:p w14:paraId="0D08B74E" w14:textId="77777777" w:rsidR="004937EE" w:rsidRPr="003F2DB9" w:rsidRDefault="004937EE" w:rsidP="00917934">
            <w:pPr>
              <w:pStyle w:val="ICCENormalText1stparagraph"/>
              <w:jc w:val="left"/>
              <w:rPr>
                <w:sz w:val="20"/>
                <w:szCs w:val="20"/>
              </w:rPr>
            </w:pPr>
          </w:p>
        </w:tc>
        <w:tc>
          <w:tcPr>
            <w:tcW w:w="1077" w:type="dxa"/>
            <w:vAlign w:val="center"/>
          </w:tcPr>
          <w:p w14:paraId="226CF3F2" w14:textId="0060E974" w:rsidR="004937EE" w:rsidRPr="003F2DB9" w:rsidRDefault="004937EE" w:rsidP="00917934">
            <w:pPr>
              <w:pStyle w:val="ICCENormalText1stparagraph"/>
              <w:jc w:val="left"/>
              <w:rPr>
                <w:rFonts w:eastAsia="Times New Roman"/>
                <w:sz w:val="20"/>
                <w:szCs w:val="20"/>
              </w:rPr>
            </w:pPr>
            <w:r w:rsidRPr="003F2DB9">
              <w:rPr>
                <w:rFonts w:eastAsia="Times New Roman"/>
                <w:sz w:val="20"/>
                <w:szCs w:val="20"/>
              </w:rPr>
              <w:t>Japan</w:t>
            </w:r>
          </w:p>
        </w:tc>
        <w:tc>
          <w:tcPr>
            <w:tcW w:w="1428" w:type="dxa"/>
            <w:vAlign w:val="center"/>
          </w:tcPr>
          <w:p w14:paraId="48D73EC4" w14:textId="20E8A5CA" w:rsidR="004937EE" w:rsidRPr="003F2DB9" w:rsidRDefault="004937EE" w:rsidP="00917934">
            <w:pPr>
              <w:pStyle w:val="ICCENormalText1stparagraph"/>
              <w:jc w:val="left"/>
              <w:rPr>
                <w:rFonts w:eastAsia="Times New Roman"/>
                <w:sz w:val="20"/>
                <w:szCs w:val="20"/>
              </w:rPr>
            </w:pPr>
            <w:r w:rsidRPr="003F2DB9">
              <w:rPr>
                <w:rFonts w:eastAsia="Times New Roman"/>
                <w:sz w:val="20"/>
                <w:szCs w:val="20"/>
              </w:rPr>
              <w:t>CASBEE</w:t>
            </w:r>
          </w:p>
        </w:tc>
        <w:tc>
          <w:tcPr>
            <w:tcW w:w="5324" w:type="dxa"/>
            <w:vAlign w:val="center"/>
          </w:tcPr>
          <w:p w14:paraId="048FB35B" w14:textId="1BAB82BE" w:rsidR="004937EE" w:rsidRPr="003F2DB9" w:rsidRDefault="004937EE" w:rsidP="00917934">
            <w:pPr>
              <w:pStyle w:val="ICCENormalText1stparagraph"/>
              <w:jc w:val="left"/>
              <w:rPr>
                <w:rFonts w:eastAsia="Times New Roman"/>
                <w:sz w:val="20"/>
                <w:szCs w:val="20"/>
              </w:rPr>
            </w:pPr>
            <w:r w:rsidRPr="003F2DB9">
              <w:rPr>
                <w:rFonts w:eastAsia="Times New Roman"/>
                <w:sz w:val="20"/>
                <w:szCs w:val="20"/>
              </w:rPr>
              <w:t>Comprehensive Assessment System for Building Environmental Efficiency, introduced in 2001</w:t>
            </w:r>
          </w:p>
        </w:tc>
      </w:tr>
      <w:tr w:rsidR="008F4347" w:rsidRPr="003F2DB9" w14:paraId="35FE688D" w14:textId="77777777" w:rsidTr="006B718B">
        <w:trPr>
          <w:trHeight w:val="567"/>
        </w:trPr>
        <w:tc>
          <w:tcPr>
            <w:tcW w:w="1238" w:type="dxa"/>
            <w:vMerge/>
            <w:vAlign w:val="center"/>
          </w:tcPr>
          <w:p w14:paraId="05206169" w14:textId="77777777" w:rsidR="004937EE" w:rsidRPr="003F2DB9" w:rsidRDefault="004937EE" w:rsidP="00917934">
            <w:pPr>
              <w:pStyle w:val="ICCENormalText1stparagraph"/>
              <w:jc w:val="left"/>
              <w:rPr>
                <w:sz w:val="20"/>
                <w:szCs w:val="20"/>
              </w:rPr>
            </w:pPr>
          </w:p>
        </w:tc>
        <w:tc>
          <w:tcPr>
            <w:tcW w:w="1077" w:type="dxa"/>
            <w:vAlign w:val="center"/>
          </w:tcPr>
          <w:p w14:paraId="4645A2F4" w14:textId="6503CAC9" w:rsidR="004937EE" w:rsidRPr="003F2DB9" w:rsidRDefault="004937EE" w:rsidP="00917934">
            <w:pPr>
              <w:pStyle w:val="ICCENormalText1stparagraph"/>
              <w:jc w:val="left"/>
              <w:rPr>
                <w:rFonts w:eastAsia="Times New Roman"/>
                <w:sz w:val="20"/>
                <w:szCs w:val="20"/>
              </w:rPr>
            </w:pPr>
            <w:r w:rsidRPr="003F2DB9">
              <w:rPr>
                <w:rFonts w:eastAsia="Times New Roman"/>
                <w:sz w:val="20"/>
                <w:szCs w:val="20"/>
              </w:rPr>
              <w:t>Hong Kong</w:t>
            </w:r>
          </w:p>
        </w:tc>
        <w:tc>
          <w:tcPr>
            <w:tcW w:w="1428" w:type="dxa"/>
            <w:vAlign w:val="center"/>
          </w:tcPr>
          <w:p w14:paraId="7889521D" w14:textId="5D87772E" w:rsidR="004937EE" w:rsidRPr="003F2DB9" w:rsidRDefault="004937EE" w:rsidP="00917934">
            <w:pPr>
              <w:pStyle w:val="ICCENormalText1stparagraph"/>
              <w:jc w:val="left"/>
              <w:rPr>
                <w:rFonts w:eastAsia="Times New Roman"/>
                <w:sz w:val="20"/>
                <w:szCs w:val="20"/>
              </w:rPr>
            </w:pPr>
            <w:r w:rsidRPr="003F2DB9">
              <w:rPr>
                <w:rFonts w:eastAsia="Times New Roman"/>
                <w:sz w:val="20"/>
                <w:szCs w:val="20"/>
              </w:rPr>
              <w:t>BEAM</w:t>
            </w:r>
          </w:p>
        </w:tc>
        <w:tc>
          <w:tcPr>
            <w:tcW w:w="5324" w:type="dxa"/>
            <w:vAlign w:val="center"/>
          </w:tcPr>
          <w:p w14:paraId="47201CD1" w14:textId="30F40AB6" w:rsidR="004937EE" w:rsidRPr="003F2DB9" w:rsidRDefault="004937EE" w:rsidP="00917934">
            <w:pPr>
              <w:pStyle w:val="ICCENormalText1stparagraph"/>
              <w:jc w:val="left"/>
              <w:rPr>
                <w:rFonts w:eastAsia="Times New Roman"/>
                <w:sz w:val="20"/>
                <w:szCs w:val="20"/>
              </w:rPr>
            </w:pPr>
            <w:r w:rsidRPr="003F2DB9">
              <w:rPr>
                <w:rFonts w:eastAsia="Times New Roman"/>
                <w:sz w:val="20"/>
                <w:szCs w:val="20"/>
              </w:rPr>
              <w:t>Building Environmental Assessment Method</w:t>
            </w:r>
          </w:p>
        </w:tc>
      </w:tr>
      <w:tr w:rsidR="008F4347" w:rsidRPr="003F2DB9" w14:paraId="09268BA6" w14:textId="77777777" w:rsidTr="006B718B">
        <w:trPr>
          <w:trHeight w:val="567"/>
        </w:trPr>
        <w:tc>
          <w:tcPr>
            <w:tcW w:w="1238" w:type="dxa"/>
            <w:vMerge/>
            <w:vAlign w:val="center"/>
          </w:tcPr>
          <w:p w14:paraId="2A8277AA" w14:textId="77777777" w:rsidR="004937EE" w:rsidRPr="003F2DB9" w:rsidRDefault="004937EE" w:rsidP="00917934">
            <w:pPr>
              <w:pStyle w:val="ICCENormalText1stparagraph"/>
              <w:jc w:val="left"/>
              <w:rPr>
                <w:sz w:val="20"/>
                <w:szCs w:val="20"/>
              </w:rPr>
            </w:pPr>
          </w:p>
        </w:tc>
        <w:tc>
          <w:tcPr>
            <w:tcW w:w="1077" w:type="dxa"/>
            <w:vAlign w:val="center"/>
          </w:tcPr>
          <w:p w14:paraId="6A356B74" w14:textId="41A709C0" w:rsidR="004937EE" w:rsidRPr="003F2DB9" w:rsidRDefault="004937EE" w:rsidP="00917934">
            <w:pPr>
              <w:pStyle w:val="ICCENormalText1stparagraph"/>
              <w:jc w:val="left"/>
              <w:rPr>
                <w:rFonts w:eastAsia="Times New Roman"/>
                <w:sz w:val="20"/>
                <w:szCs w:val="20"/>
              </w:rPr>
            </w:pPr>
            <w:r w:rsidRPr="003F2DB9">
              <w:rPr>
                <w:rFonts w:eastAsia="Times New Roman"/>
                <w:sz w:val="20"/>
                <w:szCs w:val="20"/>
              </w:rPr>
              <w:t>Singapore</w:t>
            </w:r>
          </w:p>
        </w:tc>
        <w:tc>
          <w:tcPr>
            <w:tcW w:w="1428" w:type="dxa"/>
            <w:vAlign w:val="center"/>
          </w:tcPr>
          <w:p w14:paraId="1E683D69" w14:textId="402DF200" w:rsidR="004937EE" w:rsidRPr="003F2DB9" w:rsidRDefault="004937EE" w:rsidP="00917934">
            <w:pPr>
              <w:pStyle w:val="ICCENormalText1stparagraph"/>
              <w:jc w:val="left"/>
              <w:rPr>
                <w:rFonts w:eastAsia="Times New Roman"/>
                <w:sz w:val="20"/>
                <w:szCs w:val="20"/>
              </w:rPr>
            </w:pPr>
            <w:r w:rsidRPr="003F2DB9">
              <w:rPr>
                <w:rFonts w:eastAsia="Times New Roman"/>
                <w:sz w:val="20"/>
                <w:szCs w:val="20"/>
              </w:rPr>
              <w:t>BCA</w:t>
            </w:r>
            <w:r w:rsidRPr="003F2DB9">
              <w:rPr>
                <w:rFonts w:eastAsia="Times New Roman"/>
                <w:sz w:val="20"/>
                <w:szCs w:val="20"/>
              </w:rPr>
              <w:tab/>
            </w:r>
          </w:p>
        </w:tc>
        <w:tc>
          <w:tcPr>
            <w:tcW w:w="5324" w:type="dxa"/>
            <w:vAlign w:val="center"/>
          </w:tcPr>
          <w:p w14:paraId="2008B578" w14:textId="3DA9CF61" w:rsidR="004937EE" w:rsidRPr="003F2DB9" w:rsidRDefault="004937EE" w:rsidP="00917934">
            <w:pPr>
              <w:pStyle w:val="ICCENormalText1stparagraph"/>
              <w:jc w:val="left"/>
              <w:rPr>
                <w:rFonts w:eastAsia="Times New Roman"/>
                <w:sz w:val="20"/>
                <w:szCs w:val="20"/>
              </w:rPr>
            </w:pPr>
            <w:r w:rsidRPr="003F2DB9">
              <w:rPr>
                <w:rFonts w:eastAsia="Times New Roman"/>
                <w:sz w:val="20"/>
                <w:szCs w:val="20"/>
              </w:rPr>
              <w:t>Building and Construction Authority</w:t>
            </w:r>
          </w:p>
        </w:tc>
      </w:tr>
      <w:tr w:rsidR="008F4347" w:rsidRPr="003F2DB9" w14:paraId="35B77356" w14:textId="77777777" w:rsidTr="006B718B">
        <w:trPr>
          <w:trHeight w:val="567"/>
        </w:trPr>
        <w:tc>
          <w:tcPr>
            <w:tcW w:w="1238" w:type="dxa"/>
            <w:vMerge/>
            <w:vAlign w:val="center"/>
          </w:tcPr>
          <w:p w14:paraId="5EDDB7A8" w14:textId="77777777" w:rsidR="004937EE" w:rsidRPr="003F2DB9" w:rsidRDefault="004937EE" w:rsidP="00917934">
            <w:pPr>
              <w:pStyle w:val="ICCENormalText1stparagraph"/>
              <w:jc w:val="left"/>
              <w:rPr>
                <w:sz w:val="20"/>
                <w:szCs w:val="20"/>
              </w:rPr>
            </w:pPr>
          </w:p>
        </w:tc>
        <w:tc>
          <w:tcPr>
            <w:tcW w:w="1077" w:type="dxa"/>
            <w:vAlign w:val="center"/>
          </w:tcPr>
          <w:p w14:paraId="7ADBA1C9" w14:textId="155B2019" w:rsidR="004937EE" w:rsidRPr="003F2DB9" w:rsidRDefault="004937EE" w:rsidP="00917934">
            <w:pPr>
              <w:pStyle w:val="ICCENormalText1stparagraph"/>
              <w:jc w:val="left"/>
              <w:rPr>
                <w:rFonts w:eastAsia="Times New Roman"/>
                <w:sz w:val="20"/>
                <w:szCs w:val="20"/>
              </w:rPr>
            </w:pPr>
            <w:r w:rsidRPr="003F2DB9">
              <w:rPr>
                <w:rFonts w:eastAsia="Times New Roman"/>
                <w:sz w:val="20"/>
                <w:szCs w:val="20"/>
              </w:rPr>
              <w:t>Korea</w:t>
            </w:r>
          </w:p>
        </w:tc>
        <w:tc>
          <w:tcPr>
            <w:tcW w:w="1428" w:type="dxa"/>
            <w:vAlign w:val="center"/>
          </w:tcPr>
          <w:p w14:paraId="56DAA297" w14:textId="63EB2DAE" w:rsidR="004937EE" w:rsidRPr="003F2DB9" w:rsidRDefault="004937EE" w:rsidP="00917934">
            <w:pPr>
              <w:pStyle w:val="ICCENormalText1stparagraph"/>
              <w:jc w:val="left"/>
              <w:rPr>
                <w:rFonts w:eastAsia="Times New Roman"/>
                <w:sz w:val="20"/>
                <w:szCs w:val="20"/>
              </w:rPr>
            </w:pPr>
            <w:r w:rsidRPr="003F2DB9">
              <w:rPr>
                <w:rFonts w:eastAsia="Times New Roman"/>
                <w:sz w:val="20"/>
                <w:szCs w:val="20"/>
              </w:rPr>
              <w:t>G-SEED</w:t>
            </w:r>
          </w:p>
        </w:tc>
        <w:tc>
          <w:tcPr>
            <w:tcW w:w="5324" w:type="dxa"/>
            <w:vAlign w:val="center"/>
          </w:tcPr>
          <w:p w14:paraId="1C9C5D63" w14:textId="50445ACE" w:rsidR="004937EE" w:rsidRPr="003F2DB9" w:rsidRDefault="004937EE" w:rsidP="00917934">
            <w:pPr>
              <w:pStyle w:val="ICCENormalText1stparagraph"/>
              <w:jc w:val="left"/>
              <w:rPr>
                <w:rFonts w:eastAsia="Times New Roman"/>
                <w:sz w:val="20"/>
                <w:szCs w:val="20"/>
              </w:rPr>
            </w:pPr>
            <w:r w:rsidRPr="003F2DB9">
              <w:rPr>
                <w:rFonts w:eastAsia="Times New Roman"/>
                <w:sz w:val="20"/>
                <w:szCs w:val="20"/>
              </w:rPr>
              <w:t>Green Standards for Energy and Environmental Design</w:t>
            </w:r>
          </w:p>
        </w:tc>
      </w:tr>
      <w:tr w:rsidR="008F4347" w:rsidRPr="003F2DB9" w14:paraId="1675E6E6" w14:textId="77777777" w:rsidTr="006B718B">
        <w:trPr>
          <w:trHeight w:val="567"/>
        </w:trPr>
        <w:tc>
          <w:tcPr>
            <w:tcW w:w="1238" w:type="dxa"/>
            <w:vMerge/>
            <w:vAlign w:val="center"/>
          </w:tcPr>
          <w:p w14:paraId="49A684F2" w14:textId="77777777" w:rsidR="004937EE" w:rsidRPr="003F2DB9" w:rsidRDefault="004937EE" w:rsidP="00917934">
            <w:pPr>
              <w:pStyle w:val="ICCENormalText1stparagraph"/>
              <w:jc w:val="left"/>
              <w:rPr>
                <w:sz w:val="20"/>
                <w:szCs w:val="20"/>
              </w:rPr>
            </w:pPr>
          </w:p>
        </w:tc>
        <w:tc>
          <w:tcPr>
            <w:tcW w:w="1077" w:type="dxa"/>
            <w:vAlign w:val="center"/>
          </w:tcPr>
          <w:p w14:paraId="14470FBC" w14:textId="5114F754" w:rsidR="004937EE" w:rsidRPr="003F2DB9" w:rsidRDefault="004937EE" w:rsidP="00917934">
            <w:pPr>
              <w:pStyle w:val="ICCENormalText1stparagraph"/>
              <w:jc w:val="left"/>
              <w:rPr>
                <w:rFonts w:eastAsia="Times New Roman"/>
                <w:sz w:val="20"/>
                <w:szCs w:val="20"/>
              </w:rPr>
            </w:pPr>
            <w:r w:rsidRPr="003F2DB9">
              <w:rPr>
                <w:rFonts w:eastAsia="Times New Roman"/>
                <w:sz w:val="20"/>
                <w:szCs w:val="20"/>
              </w:rPr>
              <w:t>Malaysia</w:t>
            </w:r>
          </w:p>
        </w:tc>
        <w:tc>
          <w:tcPr>
            <w:tcW w:w="1428" w:type="dxa"/>
            <w:vAlign w:val="center"/>
          </w:tcPr>
          <w:p w14:paraId="05334E48" w14:textId="2C612C68" w:rsidR="004937EE" w:rsidRPr="003F2DB9" w:rsidRDefault="004937EE" w:rsidP="00917934">
            <w:pPr>
              <w:pStyle w:val="ICCENormalText1stparagraph"/>
              <w:jc w:val="left"/>
              <w:rPr>
                <w:rFonts w:eastAsia="Times New Roman"/>
                <w:sz w:val="20"/>
                <w:szCs w:val="20"/>
              </w:rPr>
            </w:pPr>
            <w:r w:rsidRPr="003F2DB9">
              <w:rPr>
                <w:rFonts w:eastAsia="Times New Roman"/>
                <w:sz w:val="20"/>
                <w:szCs w:val="20"/>
              </w:rPr>
              <w:t>GBI</w:t>
            </w:r>
            <w:r w:rsidRPr="003F2DB9">
              <w:rPr>
                <w:rFonts w:eastAsia="Times New Roman"/>
                <w:sz w:val="20"/>
                <w:szCs w:val="20"/>
              </w:rPr>
              <w:tab/>
            </w:r>
          </w:p>
        </w:tc>
        <w:tc>
          <w:tcPr>
            <w:tcW w:w="5324" w:type="dxa"/>
            <w:vAlign w:val="center"/>
          </w:tcPr>
          <w:p w14:paraId="1C4ECF5D" w14:textId="26F151EC" w:rsidR="004937EE" w:rsidRPr="003F2DB9" w:rsidRDefault="004937EE" w:rsidP="00917934">
            <w:pPr>
              <w:pStyle w:val="ICCENormalText1stparagraph"/>
              <w:jc w:val="left"/>
              <w:rPr>
                <w:rFonts w:eastAsia="Times New Roman"/>
                <w:sz w:val="20"/>
                <w:szCs w:val="20"/>
              </w:rPr>
            </w:pPr>
            <w:r w:rsidRPr="003F2DB9">
              <w:rPr>
                <w:rFonts w:eastAsia="Times New Roman"/>
                <w:sz w:val="20"/>
                <w:szCs w:val="20"/>
              </w:rPr>
              <w:t>Green Building Index</w:t>
            </w:r>
          </w:p>
        </w:tc>
      </w:tr>
      <w:tr w:rsidR="008F4347" w:rsidRPr="003F2DB9" w14:paraId="70F42EF4" w14:textId="77777777" w:rsidTr="006B718B">
        <w:trPr>
          <w:trHeight w:val="567"/>
        </w:trPr>
        <w:tc>
          <w:tcPr>
            <w:tcW w:w="1238" w:type="dxa"/>
            <w:vMerge/>
            <w:vAlign w:val="center"/>
          </w:tcPr>
          <w:p w14:paraId="52376E6F" w14:textId="77777777" w:rsidR="004937EE" w:rsidRPr="003F2DB9" w:rsidRDefault="004937EE" w:rsidP="00917934">
            <w:pPr>
              <w:pStyle w:val="ICCENormalText1stparagraph"/>
              <w:jc w:val="left"/>
              <w:rPr>
                <w:sz w:val="20"/>
                <w:szCs w:val="20"/>
              </w:rPr>
            </w:pPr>
          </w:p>
        </w:tc>
        <w:tc>
          <w:tcPr>
            <w:tcW w:w="1077" w:type="dxa"/>
            <w:vAlign w:val="center"/>
          </w:tcPr>
          <w:p w14:paraId="33947B3B" w14:textId="474D609A" w:rsidR="004937EE" w:rsidRPr="003F2DB9" w:rsidRDefault="004937EE" w:rsidP="00216FFF">
            <w:pPr>
              <w:pStyle w:val="ICCENormalText1stparagraph"/>
              <w:rPr>
                <w:rFonts w:eastAsia="Times New Roman"/>
                <w:sz w:val="20"/>
                <w:szCs w:val="20"/>
                <w:lang w:val="en-US"/>
              </w:rPr>
            </w:pPr>
            <w:r w:rsidRPr="003F2DB9">
              <w:rPr>
                <w:rFonts w:eastAsia="Times New Roman"/>
                <w:sz w:val="20"/>
                <w:szCs w:val="20"/>
                <w:lang w:val="en-US"/>
              </w:rPr>
              <w:t>India</w:t>
            </w:r>
          </w:p>
        </w:tc>
        <w:tc>
          <w:tcPr>
            <w:tcW w:w="1428" w:type="dxa"/>
            <w:vAlign w:val="center"/>
          </w:tcPr>
          <w:p w14:paraId="62485748" w14:textId="20ED33E4" w:rsidR="004937EE" w:rsidRPr="003F2DB9" w:rsidRDefault="004937EE" w:rsidP="00917934">
            <w:pPr>
              <w:pStyle w:val="ICCENormalText1stparagraph"/>
              <w:jc w:val="left"/>
              <w:rPr>
                <w:rFonts w:eastAsia="Times New Roman"/>
                <w:sz w:val="20"/>
                <w:szCs w:val="20"/>
              </w:rPr>
            </w:pPr>
            <w:r w:rsidRPr="003F2DB9">
              <w:rPr>
                <w:rFonts w:eastAsia="Times New Roman"/>
                <w:sz w:val="20"/>
                <w:szCs w:val="20"/>
                <w:lang w:val="en-US"/>
              </w:rPr>
              <w:t>GRIHA</w:t>
            </w:r>
          </w:p>
        </w:tc>
        <w:tc>
          <w:tcPr>
            <w:tcW w:w="5324" w:type="dxa"/>
            <w:vAlign w:val="center"/>
          </w:tcPr>
          <w:p w14:paraId="0C493EA0" w14:textId="0681AFE5" w:rsidR="004937EE" w:rsidRPr="003F2DB9" w:rsidRDefault="004937EE" w:rsidP="00917934">
            <w:pPr>
              <w:pStyle w:val="ICCENormalText1stparagraph"/>
              <w:jc w:val="left"/>
              <w:rPr>
                <w:rFonts w:eastAsia="Times New Roman"/>
                <w:sz w:val="20"/>
                <w:szCs w:val="20"/>
              </w:rPr>
            </w:pPr>
            <w:r w:rsidRPr="003F2DB9">
              <w:rPr>
                <w:rFonts w:eastAsia="Times New Roman"/>
                <w:sz w:val="20"/>
                <w:szCs w:val="20"/>
                <w:lang w:val="en-US"/>
              </w:rPr>
              <w:t>Green Rating for Integrated Habitat Assessment</w:t>
            </w:r>
            <w:r w:rsidR="00CF0238" w:rsidRPr="003F2DB9">
              <w:rPr>
                <w:rFonts w:eastAsia="Times New Roman"/>
                <w:sz w:val="20"/>
                <w:szCs w:val="20"/>
                <w:lang w:val="en-US"/>
              </w:rPr>
              <w:t>. Introduced by the Energy and Resources Institute (TERI)</w:t>
            </w:r>
          </w:p>
        </w:tc>
      </w:tr>
      <w:tr w:rsidR="008F4347" w:rsidRPr="003F2DB9" w14:paraId="25FE99D9" w14:textId="77777777" w:rsidTr="006B718B">
        <w:trPr>
          <w:trHeight w:val="567"/>
        </w:trPr>
        <w:tc>
          <w:tcPr>
            <w:tcW w:w="1238" w:type="dxa"/>
            <w:vAlign w:val="center"/>
          </w:tcPr>
          <w:p w14:paraId="58EEA4D9" w14:textId="77777777" w:rsidR="005176E7" w:rsidRPr="003F2DB9" w:rsidRDefault="005176E7" w:rsidP="00917934">
            <w:pPr>
              <w:pStyle w:val="ICCENormalText1stparagraph"/>
              <w:jc w:val="left"/>
              <w:rPr>
                <w:sz w:val="20"/>
                <w:szCs w:val="20"/>
              </w:rPr>
            </w:pPr>
          </w:p>
        </w:tc>
        <w:tc>
          <w:tcPr>
            <w:tcW w:w="1077" w:type="dxa"/>
            <w:vAlign w:val="center"/>
          </w:tcPr>
          <w:p w14:paraId="56370AA6" w14:textId="0C4F438A" w:rsidR="005176E7" w:rsidRPr="003F2DB9" w:rsidRDefault="005176E7" w:rsidP="00216FFF">
            <w:pPr>
              <w:pStyle w:val="ICCENormalText1stparagraph"/>
              <w:rPr>
                <w:rFonts w:eastAsia="Times New Roman"/>
                <w:sz w:val="20"/>
                <w:szCs w:val="20"/>
              </w:rPr>
            </w:pPr>
            <w:r w:rsidRPr="003F2DB9">
              <w:rPr>
                <w:rFonts w:eastAsia="Times New Roman"/>
                <w:sz w:val="20"/>
                <w:szCs w:val="20"/>
              </w:rPr>
              <w:t>Sri Lanka</w:t>
            </w:r>
          </w:p>
        </w:tc>
        <w:tc>
          <w:tcPr>
            <w:tcW w:w="1428" w:type="dxa"/>
            <w:vAlign w:val="center"/>
          </w:tcPr>
          <w:p w14:paraId="18A058C6" w14:textId="71455243" w:rsidR="005176E7" w:rsidRPr="003F2DB9" w:rsidRDefault="005176E7" w:rsidP="00917934">
            <w:pPr>
              <w:pStyle w:val="ICCENormalText1stparagraph"/>
              <w:jc w:val="left"/>
              <w:rPr>
                <w:rFonts w:eastAsia="Times New Roman"/>
                <w:sz w:val="20"/>
                <w:szCs w:val="20"/>
              </w:rPr>
            </w:pPr>
            <w:r w:rsidRPr="003F2DB9">
              <w:rPr>
                <w:rFonts w:eastAsia="Times New Roman"/>
                <w:sz w:val="20"/>
                <w:szCs w:val="20"/>
              </w:rPr>
              <w:t>GBRS</w:t>
            </w:r>
          </w:p>
        </w:tc>
        <w:tc>
          <w:tcPr>
            <w:tcW w:w="5324" w:type="dxa"/>
            <w:vAlign w:val="center"/>
          </w:tcPr>
          <w:p w14:paraId="5A7A6EEE" w14:textId="6B36E3A5" w:rsidR="005176E7" w:rsidRPr="003F2DB9" w:rsidRDefault="005176E7" w:rsidP="00917934">
            <w:pPr>
              <w:pStyle w:val="ICCENormalText1stparagraph"/>
              <w:jc w:val="left"/>
              <w:rPr>
                <w:rFonts w:eastAsia="Times New Roman"/>
                <w:sz w:val="20"/>
                <w:szCs w:val="20"/>
              </w:rPr>
            </w:pPr>
            <w:r w:rsidRPr="003F2DB9">
              <w:rPr>
                <w:rFonts w:eastAsia="Times New Roman"/>
                <w:sz w:val="20"/>
                <w:szCs w:val="20"/>
              </w:rPr>
              <w:t xml:space="preserve">Green Building Rating System - Sri Lanka, introduced by </w:t>
            </w:r>
            <w:r w:rsidRPr="003F2DB9">
              <w:rPr>
                <w:rFonts w:eastAsia="Times New Roman"/>
                <w:sz w:val="20"/>
                <w:szCs w:val="20"/>
                <w:lang w:val="en-US"/>
              </w:rPr>
              <w:t>Sri Lanka Green Building Council (SLGBC)</w:t>
            </w:r>
          </w:p>
        </w:tc>
      </w:tr>
      <w:tr w:rsidR="004937EE" w:rsidRPr="003F2DB9" w14:paraId="393C70D1" w14:textId="77777777" w:rsidTr="006B718B">
        <w:trPr>
          <w:trHeight w:val="567"/>
        </w:trPr>
        <w:tc>
          <w:tcPr>
            <w:tcW w:w="1238" w:type="dxa"/>
            <w:vAlign w:val="center"/>
          </w:tcPr>
          <w:p w14:paraId="73D998CC" w14:textId="1052DDAD" w:rsidR="004937EE" w:rsidRPr="003F2DB9" w:rsidRDefault="004937EE" w:rsidP="00917934">
            <w:pPr>
              <w:pStyle w:val="ICCENormalText1stparagraph"/>
              <w:jc w:val="left"/>
              <w:rPr>
                <w:sz w:val="20"/>
                <w:szCs w:val="20"/>
              </w:rPr>
            </w:pPr>
            <w:r w:rsidRPr="003F2DB9">
              <w:rPr>
                <w:sz w:val="20"/>
                <w:szCs w:val="20"/>
              </w:rPr>
              <w:t>International</w:t>
            </w:r>
          </w:p>
        </w:tc>
        <w:tc>
          <w:tcPr>
            <w:tcW w:w="1077" w:type="dxa"/>
            <w:vAlign w:val="center"/>
          </w:tcPr>
          <w:p w14:paraId="7DC7AFA2" w14:textId="7A89015B" w:rsidR="004937EE" w:rsidRPr="003F2DB9" w:rsidRDefault="003067B9" w:rsidP="00216FFF">
            <w:pPr>
              <w:pStyle w:val="ICCENormalText1stparagraph"/>
              <w:rPr>
                <w:rFonts w:eastAsia="Times New Roman"/>
                <w:sz w:val="20"/>
                <w:szCs w:val="20"/>
              </w:rPr>
            </w:pPr>
            <w:r w:rsidRPr="003F2DB9">
              <w:rPr>
                <w:rFonts w:eastAsia="Times New Roman"/>
                <w:sz w:val="20"/>
                <w:szCs w:val="20"/>
              </w:rPr>
              <w:t>No border</w:t>
            </w:r>
          </w:p>
        </w:tc>
        <w:tc>
          <w:tcPr>
            <w:tcW w:w="1428" w:type="dxa"/>
            <w:vAlign w:val="center"/>
          </w:tcPr>
          <w:p w14:paraId="70A9DED9" w14:textId="453D7D90" w:rsidR="004937EE" w:rsidRPr="003F2DB9" w:rsidRDefault="004937EE" w:rsidP="00917934">
            <w:pPr>
              <w:pStyle w:val="ICCENormalText1stparagraph"/>
              <w:jc w:val="left"/>
              <w:rPr>
                <w:rFonts w:eastAsia="Times New Roman"/>
                <w:sz w:val="20"/>
                <w:szCs w:val="20"/>
              </w:rPr>
            </w:pPr>
            <w:r w:rsidRPr="003F2DB9">
              <w:rPr>
                <w:rFonts w:eastAsia="Times New Roman"/>
                <w:sz w:val="20"/>
                <w:szCs w:val="20"/>
                <w:lang w:val="en-US"/>
              </w:rPr>
              <w:t>EDGE</w:t>
            </w:r>
          </w:p>
        </w:tc>
        <w:tc>
          <w:tcPr>
            <w:tcW w:w="5324" w:type="dxa"/>
            <w:vAlign w:val="center"/>
          </w:tcPr>
          <w:p w14:paraId="3FD7148E" w14:textId="6A72AE62" w:rsidR="004937EE" w:rsidRPr="003F2DB9" w:rsidRDefault="004937EE" w:rsidP="00917934">
            <w:pPr>
              <w:pStyle w:val="ICCENormalText1stparagraph"/>
              <w:jc w:val="left"/>
              <w:rPr>
                <w:rFonts w:eastAsia="Times New Roman"/>
                <w:sz w:val="20"/>
                <w:szCs w:val="20"/>
              </w:rPr>
            </w:pPr>
            <w:r w:rsidRPr="003F2DB9">
              <w:rPr>
                <w:rFonts w:eastAsia="Times New Roman"/>
                <w:sz w:val="20"/>
                <w:szCs w:val="20"/>
                <w:lang w:val="en-US"/>
              </w:rPr>
              <w:t>Excellence in Design for Greater Efficiencies, introduced by the International Finance Corporation (IFC)</w:t>
            </w:r>
          </w:p>
        </w:tc>
      </w:tr>
    </w:tbl>
    <w:p w14:paraId="51AB4165" w14:textId="77777777" w:rsidR="00981E71" w:rsidRPr="003F2DB9" w:rsidRDefault="00981E71" w:rsidP="00456BDE">
      <w:pPr>
        <w:pStyle w:val="ICCENormalText1stparagraph"/>
        <w:jc w:val="left"/>
        <w:rPr>
          <w:sz w:val="20"/>
          <w:szCs w:val="20"/>
        </w:rPr>
      </w:pPr>
    </w:p>
    <w:p w14:paraId="503F4F75" w14:textId="77777777" w:rsidR="00CA269C" w:rsidRPr="003F2DB9" w:rsidRDefault="00CA269C" w:rsidP="00456BDE">
      <w:pPr>
        <w:pStyle w:val="ICCENormalText1stparagraph"/>
        <w:jc w:val="left"/>
        <w:rPr>
          <w:i/>
          <w:iCs/>
          <w:sz w:val="20"/>
          <w:szCs w:val="20"/>
        </w:rPr>
      </w:pPr>
    </w:p>
    <w:p w14:paraId="73714BF1" w14:textId="06984DA7" w:rsidR="00CA269C" w:rsidRPr="003F2DB9" w:rsidRDefault="00CA269C" w:rsidP="006A3B7F">
      <w:pPr>
        <w:shd w:val="clear" w:color="auto" w:fill="FFFFFF"/>
        <w:spacing w:after="150" w:line="240" w:lineRule="auto"/>
        <w:rPr>
          <w:rFonts w:ascii="Times New Roman" w:eastAsia="Times New Roman" w:hAnsi="Times New Roman" w:cs="Times New Roman"/>
          <w:iCs/>
        </w:rPr>
      </w:pPr>
      <w:r w:rsidRPr="003F2DB9">
        <w:rPr>
          <w:rFonts w:ascii="Times New Roman" w:eastAsia="Times New Roman" w:hAnsi="Times New Roman" w:cs="Times New Roman"/>
          <w:iCs/>
          <w:highlight w:val="yellow"/>
        </w:rPr>
        <w:t xml:space="preserve">A. </w:t>
      </w:r>
      <w:r w:rsidR="00DB1D7E" w:rsidRPr="003F2DB9">
        <w:rPr>
          <w:rFonts w:ascii="Times New Roman" w:eastAsia="Times New Roman" w:hAnsi="Times New Roman" w:cs="Times New Roman"/>
          <w:iCs/>
          <w:highlight w:val="yellow"/>
        </w:rPr>
        <w:t>A</w:t>
      </w:r>
      <w:r w:rsidRPr="003F2DB9">
        <w:rPr>
          <w:rFonts w:ascii="Times New Roman" w:eastAsia="Times New Roman" w:hAnsi="Times New Roman" w:cs="Times New Roman"/>
          <w:iCs/>
          <w:highlight w:val="yellow"/>
        </w:rPr>
        <w:t>reas covered by Green Building Research</w:t>
      </w:r>
    </w:p>
    <w:p w14:paraId="2F7BBFBB" w14:textId="38166CA1" w:rsidR="00FC68A3" w:rsidRPr="003F2DB9" w:rsidRDefault="00FC68A3" w:rsidP="009A292A">
      <w:pPr>
        <w:shd w:val="clear" w:color="auto" w:fill="FFFFFF"/>
        <w:spacing w:after="150" w:line="240" w:lineRule="auto"/>
        <w:jc w:val="both"/>
        <w:rPr>
          <w:rFonts w:ascii="Times New Roman" w:eastAsia="Times New Roman" w:hAnsi="Times New Roman" w:cs="Times New Roman"/>
          <w:sz w:val="20"/>
          <w:szCs w:val="20"/>
        </w:rPr>
      </w:pPr>
      <w:r w:rsidRPr="003F2DB9">
        <w:rPr>
          <w:rFonts w:ascii="Times New Roman" w:eastAsia="Times New Roman" w:hAnsi="Times New Roman" w:cs="Times New Roman"/>
          <w:sz w:val="20"/>
          <w:szCs w:val="20"/>
        </w:rPr>
        <w:t xml:space="preserve">The realm of Green Building Research encompasses a diverse array of subjects, such as the influence of indoor air quality on the cognitive performance of employees </w:t>
      </w:r>
      <w:r w:rsidR="00627C05" w:rsidRPr="003F2DB9">
        <w:rPr>
          <w:rFonts w:ascii="Times New Roman" w:eastAsia="Times New Roman" w:hAnsi="Times New Roman" w:cs="Times New Roman"/>
          <w:sz w:val="20"/>
          <w:szCs w:val="20"/>
        </w:rPr>
        <w:t>[6]</w:t>
      </w:r>
      <w:r w:rsidRPr="003F2DB9">
        <w:rPr>
          <w:rFonts w:ascii="Times New Roman" w:eastAsia="Times New Roman" w:hAnsi="Times New Roman" w:cs="Times New Roman"/>
          <w:sz w:val="20"/>
          <w:szCs w:val="20"/>
        </w:rPr>
        <w:t xml:space="preserve">, satisfaction with benchmarks for indoor environmental quality </w:t>
      </w:r>
      <w:r w:rsidR="00627C05" w:rsidRPr="003F2DB9">
        <w:rPr>
          <w:rFonts w:ascii="Times New Roman" w:eastAsia="Times New Roman" w:hAnsi="Times New Roman" w:cs="Times New Roman"/>
          <w:sz w:val="20"/>
          <w:szCs w:val="20"/>
        </w:rPr>
        <w:t>[7]</w:t>
      </w:r>
      <w:r w:rsidRPr="003F2DB9">
        <w:rPr>
          <w:rFonts w:ascii="Times New Roman" w:eastAsia="Times New Roman" w:hAnsi="Times New Roman" w:cs="Times New Roman"/>
          <w:sz w:val="20"/>
          <w:szCs w:val="20"/>
        </w:rPr>
        <w:t xml:space="preserve">, and the well-being of occupants </w:t>
      </w:r>
      <w:r w:rsidR="00627C05" w:rsidRPr="003F2DB9">
        <w:rPr>
          <w:rFonts w:ascii="Times New Roman" w:eastAsia="Times New Roman" w:hAnsi="Times New Roman" w:cs="Times New Roman"/>
          <w:sz w:val="20"/>
          <w:szCs w:val="20"/>
        </w:rPr>
        <w:t>[8]</w:t>
      </w:r>
      <w:r w:rsidRPr="003F2DB9">
        <w:rPr>
          <w:rFonts w:ascii="Times New Roman" w:eastAsia="Times New Roman" w:hAnsi="Times New Roman" w:cs="Times New Roman"/>
          <w:sz w:val="20"/>
          <w:szCs w:val="20"/>
        </w:rPr>
        <w:t xml:space="preserve">. In addition to what was previously mentioned, Cedeño-Laurent et al. have outlined nine essential elements that contribute to the well-being of occupants. These include factors such as indoor air quality, ventilation, thermal comfort, water quality, moisture levels, safety and security measures, lighting and views, noise control, and management of dust and pests. Research has shown that Green Plus Buildings can significantly enhance cognitive function scores in comparison to conventional building conditions, as demonstrated by </w:t>
      </w:r>
      <w:r w:rsidR="00627C05" w:rsidRPr="003F2DB9">
        <w:rPr>
          <w:rFonts w:ascii="Times New Roman" w:eastAsia="Times New Roman" w:hAnsi="Times New Roman" w:cs="Times New Roman"/>
          <w:sz w:val="20"/>
          <w:szCs w:val="20"/>
        </w:rPr>
        <w:t>[9]</w:t>
      </w:r>
      <w:r w:rsidRPr="003F2DB9">
        <w:rPr>
          <w:rFonts w:ascii="Times New Roman" w:eastAsia="Times New Roman" w:hAnsi="Times New Roman" w:cs="Times New Roman"/>
          <w:sz w:val="20"/>
          <w:szCs w:val="20"/>
        </w:rPr>
        <w:t>.</w:t>
      </w:r>
    </w:p>
    <w:p w14:paraId="74A99B48" w14:textId="76B38977" w:rsidR="004C6AB7" w:rsidRPr="003F2DB9" w:rsidRDefault="00065E3F" w:rsidP="009A292A">
      <w:pPr>
        <w:shd w:val="clear" w:color="auto" w:fill="FFFFFF"/>
        <w:spacing w:after="150" w:line="240" w:lineRule="auto"/>
        <w:jc w:val="both"/>
        <w:rPr>
          <w:rFonts w:ascii="Times New Roman" w:eastAsia="Times New Roman" w:hAnsi="Times New Roman" w:cs="Times New Roman"/>
          <w:sz w:val="20"/>
          <w:szCs w:val="20"/>
        </w:rPr>
      </w:pPr>
      <w:r w:rsidRPr="003F2DB9">
        <w:rPr>
          <w:rFonts w:ascii="Times New Roman" w:eastAsia="Times New Roman" w:hAnsi="Times New Roman" w:cs="Times New Roman"/>
          <w:sz w:val="20"/>
          <w:szCs w:val="20"/>
        </w:rPr>
        <w:t>Apart from what was mentioned earlier, there are numerous review articles accessible that delve into the subject of innovative Green Building practices.</w:t>
      </w:r>
      <w:r w:rsidR="009A292A" w:rsidRPr="003F2DB9">
        <w:rPr>
          <w:rFonts w:ascii="Times New Roman" w:eastAsia="Times New Roman" w:hAnsi="Times New Roman" w:cs="Times New Roman"/>
          <w:sz w:val="20"/>
          <w:szCs w:val="20"/>
        </w:rPr>
        <w:t xml:space="preserve"> The United States has the most publications in this field, followed by China and the United Kingdom, and publications on Green Building-related topics grew the most between 2004 and 2007</w:t>
      </w:r>
      <w:r w:rsidR="00883A45" w:rsidRPr="003F2DB9">
        <w:rPr>
          <w:rFonts w:ascii="Times New Roman" w:eastAsia="Times New Roman" w:hAnsi="Times New Roman" w:cs="Times New Roman"/>
          <w:sz w:val="20"/>
          <w:szCs w:val="20"/>
        </w:rPr>
        <w:t xml:space="preserve"> </w:t>
      </w:r>
      <w:r w:rsidR="00627C05" w:rsidRPr="003F2DB9">
        <w:rPr>
          <w:rFonts w:ascii="Times New Roman" w:eastAsia="Times New Roman" w:hAnsi="Times New Roman" w:cs="Times New Roman"/>
          <w:sz w:val="20"/>
          <w:szCs w:val="20"/>
        </w:rPr>
        <w:t>[10]</w:t>
      </w:r>
      <w:r w:rsidR="00883A45" w:rsidRPr="003F2DB9">
        <w:rPr>
          <w:rFonts w:ascii="Times New Roman" w:eastAsia="Times New Roman" w:hAnsi="Times New Roman" w:cs="Times New Roman"/>
          <w:sz w:val="20"/>
          <w:szCs w:val="20"/>
        </w:rPr>
        <w:t>.</w:t>
      </w:r>
      <w:r w:rsidR="009A292A" w:rsidRPr="003F2DB9">
        <w:rPr>
          <w:rFonts w:ascii="Times New Roman" w:eastAsia="Times New Roman" w:hAnsi="Times New Roman" w:cs="Times New Roman"/>
          <w:sz w:val="20"/>
          <w:szCs w:val="20"/>
        </w:rPr>
        <w:t xml:space="preserve"> </w:t>
      </w:r>
      <w:r w:rsidR="004C6AB7" w:rsidRPr="003F2DB9">
        <w:rPr>
          <w:rFonts w:ascii="Times New Roman" w:eastAsia="Times New Roman" w:hAnsi="Times New Roman" w:cs="Times New Roman"/>
          <w:sz w:val="20"/>
          <w:szCs w:val="20"/>
        </w:rPr>
        <w:t>According to Li et al., between 2004 and 2007, the number of publications related to Green Building grew significantly. The establishment of the United States Green Building Council (USGBC) and the United Kingdom Green Building Council (UKGBC) has been instrumental in accelerating the advancement of Green Buildings, and the Energy Policy Act 2005 in the USA has played a vital role in driving this progress.</w:t>
      </w:r>
    </w:p>
    <w:p w14:paraId="5495E906" w14:textId="77777777" w:rsidR="009A292A" w:rsidRPr="003F2DB9" w:rsidRDefault="009A292A" w:rsidP="009A292A">
      <w:pPr>
        <w:shd w:val="clear" w:color="auto" w:fill="FFFFFF"/>
        <w:spacing w:after="150" w:line="240" w:lineRule="auto"/>
        <w:jc w:val="both"/>
        <w:rPr>
          <w:rFonts w:ascii="Times New Roman" w:eastAsia="Times New Roman" w:hAnsi="Times New Roman" w:cs="Times New Roman"/>
          <w:vanish/>
          <w:sz w:val="20"/>
          <w:szCs w:val="20"/>
        </w:rPr>
      </w:pPr>
      <w:r w:rsidRPr="003F2DB9">
        <w:rPr>
          <w:rFonts w:ascii="Times New Roman" w:eastAsia="Times New Roman" w:hAnsi="Times New Roman" w:cs="Times New Roman"/>
          <w:vanish/>
          <w:sz w:val="20"/>
          <w:szCs w:val="20"/>
        </w:rPr>
        <w:t>Top of Form</w:t>
      </w:r>
    </w:p>
    <w:p w14:paraId="6AA0D2D2" w14:textId="77777777" w:rsidR="009A292A" w:rsidRPr="003F2DB9" w:rsidRDefault="009A292A" w:rsidP="009A292A">
      <w:pPr>
        <w:shd w:val="clear" w:color="auto" w:fill="FFFFFF"/>
        <w:spacing w:after="150" w:line="240" w:lineRule="auto"/>
        <w:jc w:val="both"/>
        <w:rPr>
          <w:rFonts w:ascii="Times New Roman" w:eastAsia="Times New Roman" w:hAnsi="Times New Roman" w:cs="Times New Roman"/>
          <w:vanish/>
          <w:sz w:val="20"/>
          <w:szCs w:val="20"/>
        </w:rPr>
      </w:pPr>
      <w:r w:rsidRPr="003F2DB9">
        <w:rPr>
          <w:rFonts w:ascii="Times New Roman" w:eastAsia="Times New Roman" w:hAnsi="Times New Roman" w:cs="Times New Roman"/>
          <w:vanish/>
          <w:sz w:val="20"/>
          <w:szCs w:val="20"/>
        </w:rPr>
        <w:t>Bottom of Form</w:t>
      </w:r>
    </w:p>
    <w:p w14:paraId="1C655175" w14:textId="77777777" w:rsidR="009A292A" w:rsidRPr="003F2DB9" w:rsidRDefault="009A292A" w:rsidP="00CA269C">
      <w:pPr>
        <w:shd w:val="clear" w:color="auto" w:fill="FFFFFF"/>
        <w:spacing w:after="150" w:line="240" w:lineRule="auto"/>
        <w:jc w:val="both"/>
        <w:rPr>
          <w:rFonts w:ascii="Times New Roman" w:eastAsia="Times New Roman" w:hAnsi="Times New Roman" w:cs="Times New Roman"/>
          <w:sz w:val="20"/>
          <w:szCs w:val="20"/>
        </w:rPr>
      </w:pPr>
    </w:p>
    <w:p w14:paraId="4097B068" w14:textId="03138D7E" w:rsidR="00BE707A" w:rsidRPr="003F2DB9" w:rsidRDefault="00BE707A" w:rsidP="00BE707A">
      <w:pPr>
        <w:shd w:val="clear" w:color="auto" w:fill="FFFFFF"/>
        <w:spacing w:after="150" w:line="240" w:lineRule="auto"/>
        <w:rPr>
          <w:rFonts w:ascii="Times New Roman" w:eastAsia="Times New Roman" w:hAnsi="Times New Roman" w:cs="Times New Roman"/>
          <w:i/>
          <w:sz w:val="14"/>
          <w:szCs w:val="14"/>
        </w:rPr>
      </w:pPr>
      <w:r w:rsidRPr="003F2DB9">
        <w:rPr>
          <w:rFonts w:ascii="Times New Roman" w:eastAsia="Times New Roman" w:hAnsi="Times New Roman" w:cs="Times New Roman"/>
          <w:i/>
          <w:sz w:val="14"/>
          <w:szCs w:val="14"/>
          <w:highlight w:val="yellow"/>
        </w:rPr>
        <w:t xml:space="preserve">B. </w:t>
      </w:r>
      <w:r w:rsidR="00C912F3" w:rsidRPr="003F2DB9">
        <w:rPr>
          <w:rFonts w:ascii="Times New Roman" w:eastAsia="Times New Roman" w:hAnsi="Times New Roman" w:cs="Times New Roman"/>
          <w:i/>
          <w:sz w:val="14"/>
          <w:szCs w:val="14"/>
          <w:highlight w:val="yellow"/>
        </w:rPr>
        <w:t xml:space="preserve">Internet of Things (IoT) </w:t>
      </w:r>
      <w:r w:rsidR="00EE6647" w:rsidRPr="003F2DB9">
        <w:rPr>
          <w:rFonts w:ascii="Times New Roman" w:eastAsia="Times New Roman" w:hAnsi="Times New Roman" w:cs="Times New Roman"/>
          <w:i/>
          <w:sz w:val="14"/>
          <w:szCs w:val="14"/>
          <w:highlight w:val="yellow"/>
        </w:rPr>
        <w:t>and</w:t>
      </w:r>
      <w:r w:rsidR="00C912F3" w:rsidRPr="003F2DB9">
        <w:rPr>
          <w:rFonts w:ascii="Times New Roman" w:eastAsia="Times New Roman" w:hAnsi="Times New Roman" w:cs="Times New Roman"/>
          <w:i/>
          <w:sz w:val="14"/>
          <w:szCs w:val="14"/>
          <w:highlight w:val="yellow"/>
        </w:rPr>
        <w:t xml:space="preserve"> </w:t>
      </w:r>
      <w:r w:rsidR="005D567E" w:rsidRPr="003F2DB9">
        <w:rPr>
          <w:rFonts w:ascii="Times New Roman" w:eastAsia="Times New Roman" w:hAnsi="Times New Roman" w:cs="Times New Roman"/>
          <w:i/>
          <w:sz w:val="14"/>
          <w:szCs w:val="14"/>
          <w:highlight w:val="yellow"/>
        </w:rPr>
        <w:t>G</w:t>
      </w:r>
      <w:r w:rsidR="008328F6" w:rsidRPr="003F2DB9">
        <w:rPr>
          <w:rFonts w:ascii="Times New Roman" w:eastAsia="Times New Roman" w:hAnsi="Times New Roman" w:cs="Times New Roman"/>
          <w:i/>
          <w:sz w:val="14"/>
          <w:szCs w:val="14"/>
          <w:highlight w:val="yellow"/>
        </w:rPr>
        <w:t>reen</w:t>
      </w:r>
      <w:r w:rsidRPr="003F2DB9">
        <w:rPr>
          <w:rFonts w:ascii="Times New Roman" w:eastAsia="Times New Roman" w:hAnsi="Times New Roman" w:cs="Times New Roman"/>
          <w:i/>
          <w:sz w:val="14"/>
          <w:szCs w:val="14"/>
          <w:highlight w:val="yellow"/>
        </w:rPr>
        <w:t xml:space="preserve"> </w:t>
      </w:r>
      <w:r w:rsidR="005D567E" w:rsidRPr="003F2DB9">
        <w:rPr>
          <w:rFonts w:ascii="Times New Roman" w:eastAsia="Times New Roman" w:hAnsi="Times New Roman" w:cs="Times New Roman"/>
          <w:i/>
          <w:sz w:val="14"/>
          <w:szCs w:val="14"/>
          <w:highlight w:val="yellow"/>
        </w:rPr>
        <w:t>C</w:t>
      </w:r>
      <w:r w:rsidRPr="003F2DB9">
        <w:rPr>
          <w:rFonts w:ascii="Times New Roman" w:eastAsia="Times New Roman" w:hAnsi="Times New Roman" w:cs="Times New Roman"/>
          <w:i/>
          <w:sz w:val="14"/>
          <w:szCs w:val="14"/>
          <w:highlight w:val="yellow"/>
        </w:rPr>
        <w:t>ertification</w:t>
      </w:r>
    </w:p>
    <w:p w14:paraId="256BB16A" w14:textId="60AD93D6" w:rsidR="004470AA" w:rsidRPr="003F2DB9" w:rsidRDefault="003D028F" w:rsidP="003D028F">
      <w:pPr>
        <w:shd w:val="clear" w:color="auto" w:fill="FFFFFF"/>
        <w:spacing w:after="150" w:line="240" w:lineRule="auto"/>
        <w:jc w:val="both"/>
        <w:rPr>
          <w:rFonts w:ascii="Times New Roman" w:eastAsia="Times New Roman" w:hAnsi="Times New Roman" w:cs="Times New Roman"/>
          <w:sz w:val="20"/>
          <w:szCs w:val="20"/>
        </w:rPr>
      </w:pPr>
      <w:r w:rsidRPr="003F2DB9">
        <w:rPr>
          <w:rFonts w:ascii="Times New Roman" w:eastAsia="Times New Roman" w:hAnsi="Times New Roman" w:cs="Times New Roman"/>
          <w:sz w:val="20"/>
          <w:szCs w:val="20"/>
        </w:rPr>
        <w:lastRenderedPageBreak/>
        <w:t>Green certification institutions have established scorecards that must be met to obtain certification. The LEED rating system, for instance, consists of mandatory prerequisites and optional credits across seven categories. The categories include energy and atmosphere, which receive the most credit at 35 out of 100, and indoor air quality, which receives the next highest credit at 22</w:t>
      </w:r>
      <w:r w:rsidR="00E67D0A" w:rsidRPr="003F2DB9">
        <w:rPr>
          <w:rFonts w:ascii="Times New Roman" w:eastAsia="Times New Roman" w:hAnsi="Times New Roman" w:cs="Times New Roman"/>
          <w:sz w:val="20"/>
          <w:szCs w:val="20"/>
        </w:rPr>
        <w:t xml:space="preserve"> </w:t>
      </w:r>
      <w:r w:rsidR="00627C05" w:rsidRPr="003F2DB9">
        <w:rPr>
          <w:rFonts w:ascii="Times New Roman" w:eastAsia="Times New Roman" w:hAnsi="Times New Roman" w:cs="Times New Roman"/>
          <w:sz w:val="20"/>
          <w:szCs w:val="20"/>
        </w:rPr>
        <w:t>[11]</w:t>
      </w:r>
      <w:r w:rsidRPr="003F2DB9">
        <w:rPr>
          <w:rFonts w:ascii="Times New Roman" w:eastAsia="Times New Roman" w:hAnsi="Times New Roman" w:cs="Times New Roman"/>
          <w:sz w:val="20"/>
          <w:szCs w:val="20"/>
        </w:rPr>
        <w:t>. To achieve these credits, it is necessary to connect mechanical systems with information technology.</w:t>
      </w:r>
      <w:r w:rsidR="008B13FE" w:rsidRPr="003F2DB9">
        <w:rPr>
          <w:rFonts w:ascii="Times New Roman" w:eastAsia="Times New Roman" w:hAnsi="Times New Roman" w:cs="Times New Roman"/>
          <w:sz w:val="20"/>
          <w:szCs w:val="20"/>
        </w:rPr>
        <w:t xml:space="preserve"> For example, IoT sensors can be used to monitor a building's energy consumption, water usage, and other environmental metrics in </w:t>
      </w:r>
      <w:r w:rsidR="004470AA" w:rsidRPr="003F2DB9">
        <w:rPr>
          <w:rFonts w:ascii="Times New Roman" w:eastAsia="Times New Roman" w:hAnsi="Times New Roman" w:cs="Times New Roman"/>
          <w:sz w:val="20"/>
          <w:szCs w:val="20"/>
        </w:rPr>
        <w:t>real time</w:t>
      </w:r>
      <w:r w:rsidR="008B13FE" w:rsidRPr="003F2DB9">
        <w:rPr>
          <w:rFonts w:ascii="Times New Roman" w:eastAsia="Times New Roman" w:hAnsi="Times New Roman" w:cs="Times New Roman"/>
          <w:sz w:val="20"/>
          <w:szCs w:val="20"/>
        </w:rPr>
        <w:t xml:space="preserve">, providing valuable data that can be used to optimize its performance and reduce its environmental impact. </w:t>
      </w:r>
      <w:r w:rsidR="004470AA" w:rsidRPr="003F2DB9">
        <w:rPr>
          <w:rFonts w:ascii="Times New Roman" w:eastAsia="Times New Roman" w:hAnsi="Times New Roman" w:cs="Times New Roman"/>
          <w:sz w:val="20"/>
          <w:szCs w:val="20"/>
        </w:rPr>
        <w:t xml:space="preserve">Smart building technology can also help </w:t>
      </w:r>
      <w:proofErr w:type="spellStart"/>
      <w:r w:rsidR="004470AA" w:rsidRPr="003F2DB9">
        <w:rPr>
          <w:rFonts w:ascii="Times New Roman" w:eastAsia="Times New Roman" w:hAnsi="Times New Roman" w:cs="Times New Roman"/>
          <w:sz w:val="20"/>
          <w:szCs w:val="20"/>
        </w:rPr>
        <w:t>optimise</w:t>
      </w:r>
      <w:proofErr w:type="spellEnd"/>
      <w:r w:rsidR="004470AA" w:rsidRPr="003F2DB9">
        <w:rPr>
          <w:rFonts w:ascii="Times New Roman" w:eastAsia="Times New Roman" w:hAnsi="Times New Roman" w:cs="Times New Roman"/>
          <w:sz w:val="20"/>
          <w:szCs w:val="20"/>
        </w:rPr>
        <w:t xml:space="preserve"> energy usage by altering lighting, heating, and cooling systems based on occupancy and environmental conditions, lowering energy waste and costs even more.</w:t>
      </w:r>
    </w:p>
    <w:p w14:paraId="7859135D" w14:textId="51C2C8CC" w:rsidR="004470AA" w:rsidRPr="003F2DB9" w:rsidRDefault="003D028F" w:rsidP="004470AA">
      <w:pPr>
        <w:shd w:val="clear" w:color="auto" w:fill="FFFFFF"/>
        <w:spacing w:after="150" w:line="240" w:lineRule="auto"/>
        <w:jc w:val="both"/>
        <w:rPr>
          <w:rFonts w:ascii="Times New Roman" w:eastAsia="Times New Roman" w:hAnsi="Times New Roman" w:cs="Times New Roman"/>
          <w:sz w:val="20"/>
          <w:szCs w:val="20"/>
        </w:rPr>
      </w:pPr>
      <w:r w:rsidRPr="003F2DB9">
        <w:rPr>
          <w:rFonts w:ascii="Times New Roman" w:eastAsia="Times New Roman" w:hAnsi="Times New Roman" w:cs="Times New Roman"/>
          <w:sz w:val="20"/>
          <w:szCs w:val="20"/>
        </w:rPr>
        <w:t xml:space="preserve">Recently, there has been a surge of interest in leveraging Internet of Things (IoT) applications for managing and optimizing energy usage in commercial buildings </w:t>
      </w:r>
      <w:r w:rsidR="00627C05" w:rsidRPr="003F2DB9">
        <w:rPr>
          <w:rFonts w:ascii="Times New Roman" w:eastAsia="Times New Roman" w:hAnsi="Times New Roman" w:cs="Times New Roman"/>
          <w:sz w:val="20"/>
          <w:szCs w:val="20"/>
        </w:rPr>
        <w:t>[12]</w:t>
      </w:r>
      <w:r w:rsidRPr="003F2DB9">
        <w:rPr>
          <w:rFonts w:ascii="Times New Roman" w:eastAsia="Times New Roman" w:hAnsi="Times New Roman" w:cs="Times New Roman"/>
          <w:sz w:val="20"/>
          <w:szCs w:val="20"/>
        </w:rPr>
        <w:t xml:space="preserve">. This energy-focused IoT concept is sometimes called the Internet of Energy (IoE). IoE involves implementing IoT technology into distributed energy systems with the aim of improving energy efficiency, decreasing energy waste, and enhancing environmental conditions. It concentrates on various aspects of building infrastructure such as heating, ventilation, and air conditioning (HVAC), lighting, and energy production and storage management </w:t>
      </w:r>
      <w:r w:rsidR="00627C05" w:rsidRPr="003F2DB9">
        <w:rPr>
          <w:rFonts w:ascii="Times New Roman" w:eastAsia="Times New Roman" w:hAnsi="Times New Roman" w:cs="Times New Roman"/>
          <w:sz w:val="20"/>
          <w:szCs w:val="20"/>
        </w:rPr>
        <w:t>[13]</w:t>
      </w:r>
      <w:r w:rsidRPr="003F2DB9">
        <w:rPr>
          <w:rFonts w:ascii="Times New Roman" w:eastAsia="Times New Roman" w:hAnsi="Times New Roman" w:cs="Times New Roman"/>
          <w:sz w:val="20"/>
          <w:szCs w:val="20"/>
        </w:rPr>
        <w:t xml:space="preserve">. </w:t>
      </w:r>
      <w:r w:rsidR="005B6AEB" w:rsidRPr="003F2DB9">
        <w:rPr>
          <w:rFonts w:ascii="Times New Roman" w:eastAsia="Times New Roman" w:hAnsi="Times New Roman" w:cs="Times New Roman"/>
          <w:sz w:val="20"/>
          <w:szCs w:val="20"/>
        </w:rPr>
        <w:t xml:space="preserve">[12] </w:t>
      </w:r>
      <w:r w:rsidRPr="003F2DB9">
        <w:rPr>
          <w:rFonts w:ascii="Times New Roman" w:eastAsia="Times New Roman" w:hAnsi="Times New Roman" w:cs="Times New Roman"/>
          <w:sz w:val="20"/>
          <w:szCs w:val="20"/>
        </w:rPr>
        <w:t xml:space="preserve">proposed a cost-effective IoT-based architecture that is compatible with the widely recognized LEED certification. Similarly, </w:t>
      </w:r>
      <w:r w:rsidR="00627C05" w:rsidRPr="003F2DB9">
        <w:rPr>
          <w:rFonts w:ascii="Times New Roman" w:eastAsia="Times New Roman" w:hAnsi="Times New Roman" w:cs="Times New Roman"/>
          <w:sz w:val="20"/>
          <w:szCs w:val="20"/>
        </w:rPr>
        <w:t xml:space="preserve">[14] </w:t>
      </w:r>
      <w:r w:rsidRPr="003F2DB9">
        <w:rPr>
          <w:rFonts w:ascii="Times New Roman" w:eastAsia="Times New Roman" w:hAnsi="Times New Roman" w:cs="Times New Roman"/>
          <w:sz w:val="20"/>
          <w:szCs w:val="20"/>
        </w:rPr>
        <w:t>validated that artificial intelligence (AI) combined with green building practices improves efficiency, reduces costs and time, improves reliability, and enhances accuracy in energy optimization. Additionally,</w:t>
      </w:r>
      <w:r w:rsidR="00627C05" w:rsidRPr="003F2DB9">
        <w:rPr>
          <w:rFonts w:ascii="Times New Roman" w:eastAsia="Times New Roman" w:hAnsi="Times New Roman" w:cs="Times New Roman"/>
          <w:sz w:val="20"/>
          <w:szCs w:val="20"/>
        </w:rPr>
        <w:t xml:space="preserve"> [15]</w:t>
      </w:r>
      <w:r w:rsidRPr="003F2DB9">
        <w:rPr>
          <w:rFonts w:ascii="Times New Roman" w:eastAsia="Times New Roman" w:hAnsi="Times New Roman" w:cs="Times New Roman"/>
          <w:sz w:val="20"/>
          <w:szCs w:val="20"/>
        </w:rPr>
        <w:t xml:space="preserve"> found that integrating Ontology, BIM, IoT, and Blockchain can enhance the assessment process of the green building certification system (GBCS). Similarly,</w:t>
      </w:r>
      <w:r w:rsidR="00627C05" w:rsidRPr="003F2DB9">
        <w:rPr>
          <w:rFonts w:ascii="Times New Roman" w:eastAsia="Times New Roman" w:hAnsi="Times New Roman" w:cs="Times New Roman"/>
          <w:sz w:val="20"/>
          <w:szCs w:val="20"/>
        </w:rPr>
        <w:t xml:space="preserve"> [16]</w:t>
      </w:r>
      <w:r w:rsidRPr="003F2DB9">
        <w:rPr>
          <w:rFonts w:ascii="Times New Roman" w:eastAsia="Times New Roman" w:hAnsi="Times New Roman" w:cs="Times New Roman"/>
          <w:sz w:val="20"/>
          <w:szCs w:val="20"/>
        </w:rPr>
        <w:t xml:space="preserve"> confirmed through a systematic review that integrating BIM and GBCS enhances the sustainability assessment process by 71% in energy assessment procedures, which is a critical aspect of environmental sustainability. Apart from these studies, other research in </w:t>
      </w:r>
      <w:proofErr w:type="gramStart"/>
      <w:r w:rsidRPr="003F2DB9">
        <w:rPr>
          <w:rFonts w:ascii="Times New Roman" w:eastAsia="Times New Roman" w:hAnsi="Times New Roman" w:cs="Times New Roman"/>
          <w:sz w:val="20"/>
          <w:szCs w:val="20"/>
        </w:rPr>
        <w:t>the literature</w:t>
      </w:r>
      <w:proofErr w:type="gramEnd"/>
      <w:r w:rsidRPr="003F2DB9">
        <w:rPr>
          <w:rFonts w:ascii="Times New Roman" w:eastAsia="Times New Roman" w:hAnsi="Times New Roman" w:cs="Times New Roman"/>
          <w:sz w:val="20"/>
          <w:szCs w:val="20"/>
        </w:rPr>
        <w:t xml:space="preserve"> supports the role of IoT in obtaining green certification, specifically </w:t>
      </w:r>
      <w:proofErr w:type="gramStart"/>
      <w:r w:rsidRPr="003F2DB9">
        <w:rPr>
          <w:rFonts w:ascii="Times New Roman" w:eastAsia="Times New Roman" w:hAnsi="Times New Roman" w:cs="Times New Roman"/>
          <w:sz w:val="20"/>
          <w:szCs w:val="20"/>
        </w:rPr>
        <w:t>in the area of</w:t>
      </w:r>
      <w:proofErr w:type="gramEnd"/>
      <w:r w:rsidRPr="003F2DB9">
        <w:rPr>
          <w:rFonts w:ascii="Times New Roman" w:eastAsia="Times New Roman" w:hAnsi="Times New Roman" w:cs="Times New Roman"/>
          <w:sz w:val="20"/>
          <w:szCs w:val="20"/>
        </w:rPr>
        <w:t xml:space="preserve"> energy optimization. </w:t>
      </w:r>
      <w:r w:rsidR="00627C05" w:rsidRPr="003F2DB9">
        <w:rPr>
          <w:rFonts w:ascii="Times New Roman" w:eastAsia="Times New Roman" w:hAnsi="Times New Roman" w:cs="Times New Roman"/>
          <w:sz w:val="20"/>
          <w:szCs w:val="20"/>
        </w:rPr>
        <w:t xml:space="preserve">[13] </w:t>
      </w:r>
      <w:r w:rsidRPr="003F2DB9">
        <w:rPr>
          <w:rFonts w:ascii="Times New Roman" w:eastAsia="Times New Roman" w:hAnsi="Times New Roman" w:cs="Times New Roman"/>
          <w:sz w:val="20"/>
          <w:szCs w:val="20"/>
        </w:rPr>
        <w:t xml:space="preserve">outlined smart building solutions in the literature that employ smart technology and IoT solutions to achieve energy efficiency in all mechanical, electrical, and plumbing (MEP) services, as illustrated in Table </w:t>
      </w:r>
      <w:r w:rsidR="00D95C9E" w:rsidRPr="003F2DB9">
        <w:rPr>
          <w:rFonts w:ascii="Times New Roman" w:eastAsia="Times New Roman" w:hAnsi="Times New Roman" w:cs="Times New Roman"/>
          <w:sz w:val="20"/>
          <w:szCs w:val="20"/>
        </w:rPr>
        <w:t>3</w:t>
      </w:r>
      <w:r w:rsidRPr="003F2DB9">
        <w:rPr>
          <w:rFonts w:ascii="Times New Roman" w:eastAsia="Times New Roman" w:hAnsi="Times New Roman" w:cs="Times New Roman"/>
          <w:sz w:val="20"/>
          <w:szCs w:val="20"/>
        </w:rPr>
        <w:t xml:space="preserve"> below. </w:t>
      </w:r>
      <w:r w:rsidR="004470AA" w:rsidRPr="003F2DB9">
        <w:rPr>
          <w:rFonts w:ascii="Times New Roman" w:eastAsia="Times New Roman" w:hAnsi="Times New Roman" w:cs="Times New Roman"/>
          <w:sz w:val="20"/>
          <w:szCs w:val="20"/>
        </w:rPr>
        <w:t>The study confirmed that IoE and IoT can help cities become more sustainable or green.</w:t>
      </w:r>
      <w:r w:rsidR="009878E2" w:rsidRPr="003F2DB9">
        <w:rPr>
          <w:rFonts w:ascii="Times New Roman" w:eastAsia="Times New Roman" w:hAnsi="Times New Roman" w:cs="Times New Roman"/>
          <w:sz w:val="20"/>
          <w:szCs w:val="20"/>
        </w:rPr>
        <w:t xml:space="preserve"> </w:t>
      </w:r>
      <w:r w:rsidR="000A17CF" w:rsidRPr="003F2DB9">
        <w:rPr>
          <w:rFonts w:ascii="Times New Roman" w:eastAsia="Times New Roman" w:hAnsi="Times New Roman" w:cs="Times New Roman"/>
          <w:sz w:val="20"/>
          <w:szCs w:val="20"/>
        </w:rPr>
        <w:t>Furthermore, elevated digital readiness translates to higher revenue and profitability, as digitally proficient companies attain significantly greater financial success compared to those with lower levels of digital preparedness</w:t>
      </w:r>
      <w:r w:rsidR="00627C05" w:rsidRPr="003F2DB9">
        <w:rPr>
          <w:rFonts w:ascii="Times New Roman" w:eastAsia="Times New Roman" w:hAnsi="Times New Roman" w:cs="Times New Roman"/>
          <w:sz w:val="20"/>
          <w:szCs w:val="20"/>
        </w:rPr>
        <w:t xml:space="preserve"> [17]</w:t>
      </w:r>
      <w:r w:rsidR="005B6AEB" w:rsidRPr="003F2DB9">
        <w:rPr>
          <w:rFonts w:ascii="Times New Roman" w:eastAsia="Times New Roman" w:hAnsi="Times New Roman" w:cs="Times New Roman"/>
          <w:sz w:val="20"/>
          <w:szCs w:val="20"/>
        </w:rPr>
        <w:t>.</w:t>
      </w:r>
    </w:p>
    <w:p w14:paraId="7C0119D7" w14:textId="77777777" w:rsidR="00F834D5" w:rsidRPr="003F2DB9" w:rsidRDefault="00F834D5" w:rsidP="004470AA">
      <w:pPr>
        <w:shd w:val="clear" w:color="auto" w:fill="FFFFFF"/>
        <w:spacing w:after="150" w:line="240" w:lineRule="auto"/>
        <w:jc w:val="both"/>
        <w:rPr>
          <w:rFonts w:ascii="Times New Roman" w:eastAsia="Times New Roman" w:hAnsi="Times New Roman" w:cs="Times New Roman"/>
          <w:sz w:val="20"/>
          <w:szCs w:val="20"/>
        </w:rPr>
      </w:pPr>
    </w:p>
    <w:p w14:paraId="73803DD2" w14:textId="01429913" w:rsidR="003D028F" w:rsidRPr="003F2DB9" w:rsidRDefault="003D028F" w:rsidP="006B718B">
      <w:pPr>
        <w:shd w:val="clear" w:color="auto" w:fill="FFFFFF"/>
        <w:spacing w:after="150" w:line="240" w:lineRule="auto"/>
        <w:jc w:val="center"/>
        <w:rPr>
          <w:rFonts w:ascii="Times New Roman" w:eastAsia="Times New Roman" w:hAnsi="Times New Roman" w:cs="Times New Roman"/>
          <w:vanish/>
          <w:sz w:val="16"/>
          <w:szCs w:val="16"/>
          <w:highlight w:val="yellow"/>
        </w:rPr>
      </w:pPr>
      <w:r w:rsidRPr="003F2DB9">
        <w:rPr>
          <w:rFonts w:ascii="Times New Roman" w:eastAsia="Times New Roman" w:hAnsi="Times New Roman" w:cs="Times New Roman"/>
          <w:vanish/>
          <w:sz w:val="16"/>
          <w:szCs w:val="16"/>
          <w:highlight w:val="yellow"/>
        </w:rPr>
        <w:t>Top of Form</w:t>
      </w:r>
    </w:p>
    <w:p w14:paraId="77892C2B" w14:textId="5D08B23A" w:rsidR="005D6E84" w:rsidRPr="003F2DB9" w:rsidRDefault="005D6E84" w:rsidP="006B718B">
      <w:pPr>
        <w:shd w:val="clear" w:color="auto" w:fill="FFFFFF"/>
        <w:spacing w:after="150" w:line="240" w:lineRule="auto"/>
        <w:jc w:val="center"/>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highlight w:val="yellow"/>
        </w:rPr>
        <w:t xml:space="preserve">Table </w:t>
      </w:r>
      <w:r w:rsidR="00D95C9E" w:rsidRPr="003F2DB9">
        <w:rPr>
          <w:rFonts w:ascii="Times New Roman" w:eastAsia="Times New Roman" w:hAnsi="Times New Roman" w:cs="Times New Roman"/>
          <w:sz w:val="16"/>
          <w:szCs w:val="16"/>
          <w:highlight w:val="yellow"/>
        </w:rPr>
        <w:t>3</w:t>
      </w:r>
      <w:r w:rsidRPr="003F2DB9">
        <w:rPr>
          <w:rFonts w:ascii="Times New Roman" w:eastAsia="Times New Roman" w:hAnsi="Times New Roman" w:cs="Times New Roman"/>
          <w:sz w:val="16"/>
          <w:szCs w:val="16"/>
          <w:highlight w:val="yellow"/>
        </w:rPr>
        <w:t>. Technical systems and smart solutions (</w:t>
      </w:r>
      <w:r w:rsidR="00E80147" w:rsidRPr="003F2DB9">
        <w:rPr>
          <w:rFonts w:ascii="Times New Roman" w:eastAsia="Times New Roman" w:hAnsi="Times New Roman" w:cs="Times New Roman"/>
          <w:sz w:val="16"/>
          <w:szCs w:val="16"/>
          <w:highlight w:val="yellow"/>
        </w:rPr>
        <w:t>adapted</w:t>
      </w:r>
      <w:r w:rsidRPr="003F2DB9">
        <w:rPr>
          <w:rFonts w:ascii="Times New Roman" w:eastAsia="Times New Roman" w:hAnsi="Times New Roman" w:cs="Times New Roman"/>
          <w:sz w:val="16"/>
          <w:szCs w:val="16"/>
          <w:highlight w:val="yellow"/>
        </w:rPr>
        <w:t xml:space="preserve"> from</w:t>
      </w:r>
      <w:r w:rsidR="00F81CDD" w:rsidRPr="003F2DB9">
        <w:rPr>
          <w:rFonts w:ascii="Times New Roman" w:eastAsia="Times New Roman" w:hAnsi="Times New Roman" w:cs="Times New Roman"/>
          <w:sz w:val="16"/>
          <w:szCs w:val="16"/>
          <w:highlight w:val="yellow"/>
        </w:rPr>
        <w:t xml:space="preserve"> [13]</w:t>
      </w:r>
      <w:r w:rsidRPr="003F2DB9">
        <w:rPr>
          <w:rFonts w:ascii="Times New Roman" w:eastAsia="Times New Roman" w:hAnsi="Times New Roman" w:cs="Times New Roman"/>
          <w:sz w:val="16"/>
          <w:szCs w:val="16"/>
          <w:highlight w:val="yellow"/>
        </w:rPr>
        <w:t>).</w:t>
      </w:r>
    </w:p>
    <w:tbl>
      <w:tblPr>
        <w:tblStyle w:val="TableGrid"/>
        <w:tblW w:w="9351" w:type="dxa"/>
        <w:tblLook w:val="04A0" w:firstRow="1" w:lastRow="0" w:firstColumn="1" w:lastColumn="0" w:noHBand="0" w:noVBand="1"/>
      </w:tblPr>
      <w:tblGrid>
        <w:gridCol w:w="1129"/>
        <w:gridCol w:w="3969"/>
        <w:gridCol w:w="4253"/>
      </w:tblGrid>
      <w:tr w:rsidR="008F4347" w:rsidRPr="003F2DB9" w14:paraId="1B8E8A78" w14:textId="77777777" w:rsidTr="00C911D4">
        <w:trPr>
          <w:trHeight w:val="567"/>
        </w:trPr>
        <w:tc>
          <w:tcPr>
            <w:tcW w:w="1129" w:type="dxa"/>
            <w:vAlign w:val="center"/>
          </w:tcPr>
          <w:p w14:paraId="4CAF7593" w14:textId="77777777" w:rsidR="00573EBA" w:rsidRPr="003F2DB9" w:rsidRDefault="00573EBA" w:rsidP="003F69E2">
            <w:pPr>
              <w:rPr>
                <w:rFonts w:ascii="Times New Roman" w:hAnsi="Times New Roman" w:cs="Times New Roman"/>
                <w:sz w:val="20"/>
                <w:szCs w:val="20"/>
              </w:rPr>
            </w:pPr>
            <w:r w:rsidRPr="003F2DB9">
              <w:rPr>
                <w:rFonts w:ascii="Times New Roman" w:hAnsi="Times New Roman" w:cs="Times New Roman"/>
                <w:sz w:val="20"/>
                <w:szCs w:val="20"/>
              </w:rPr>
              <w:t>MEP system</w:t>
            </w:r>
          </w:p>
        </w:tc>
        <w:tc>
          <w:tcPr>
            <w:tcW w:w="3969" w:type="dxa"/>
            <w:vAlign w:val="center"/>
          </w:tcPr>
          <w:p w14:paraId="023E6C96" w14:textId="77777777" w:rsidR="00573EBA" w:rsidRPr="003F2DB9" w:rsidRDefault="00573EBA" w:rsidP="003F69E2">
            <w:pPr>
              <w:rPr>
                <w:rFonts w:ascii="Times New Roman" w:hAnsi="Times New Roman" w:cs="Times New Roman"/>
                <w:sz w:val="20"/>
                <w:szCs w:val="20"/>
              </w:rPr>
            </w:pPr>
            <w:r w:rsidRPr="003F2DB9">
              <w:rPr>
                <w:rFonts w:ascii="Times New Roman" w:hAnsi="Times New Roman" w:cs="Times New Roman"/>
                <w:sz w:val="20"/>
                <w:szCs w:val="20"/>
              </w:rPr>
              <w:t>Smart tool</w:t>
            </w:r>
          </w:p>
        </w:tc>
        <w:tc>
          <w:tcPr>
            <w:tcW w:w="4253" w:type="dxa"/>
            <w:vAlign w:val="center"/>
          </w:tcPr>
          <w:p w14:paraId="2FD8645A" w14:textId="77777777" w:rsidR="00573EBA" w:rsidRPr="003F2DB9" w:rsidRDefault="00573EBA" w:rsidP="003F69E2">
            <w:pPr>
              <w:rPr>
                <w:rFonts w:ascii="Times New Roman" w:hAnsi="Times New Roman" w:cs="Times New Roman"/>
                <w:sz w:val="20"/>
                <w:szCs w:val="20"/>
              </w:rPr>
            </w:pPr>
            <w:r w:rsidRPr="003F2DB9">
              <w:rPr>
                <w:rFonts w:ascii="Times New Roman" w:hAnsi="Times New Roman" w:cs="Times New Roman"/>
                <w:sz w:val="20"/>
                <w:szCs w:val="20"/>
              </w:rPr>
              <w:t>Smart solution</w:t>
            </w:r>
          </w:p>
        </w:tc>
      </w:tr>
      <w:tr w:rsidR="008F4347" w:rsidRPr="003F2DB9" w14:paraId="4BC4CA82" w14:textId="77777777" w:rsidTr="00C911D4">
        <w:trPr>
          <w:trHeight w:val="567"/>
        </w:trPr>
        <w:tc>
          <w:tcPr>
            <w:tcW w:w="1129" w:type="dxa"/>
            <w:vAlign w:val="center"/>
          </w:tcPr>
          <w:p w14:paraId="4662E9CC" w14:textId="77777777" w:rsidR="00573EBA" w:rsidRPr="003F2DB9" w:rsidRDefault="00573EBA" w:rsidP="003F69E2">
            <w:pPr>
              <w:rPr>
                <w:rFonts w:ascii="Times New Roman" w:hAnsi="Times New Roman" w:cs="Times New Roman"/>
                <w:sz w:val="20"/>
                <w:szCs w:val="20"/>
              </w:rPr>
            </w:pPr>
            <w:r w:rsidRPr="003F2DB9">
              <w:rPr>
                <w:rFonts w:ascii="Times New Roman" w:hAnsi="Times New Roman" w:cs="Times New Roman"/>
                <w:sz w:val="20"/>
                <w:szCs w:val="20"/>
              </w:rPr>
              <w:t>Electric energy</w:t>
            </w:r>
          </w:p>
        </w:tc>
        <w:tc>
          <w:tcPr>
            <w:tcW w:w="3969" w:type="dxa"/>
            <w:vAlign w:val="center"/>
          </w:tcPr>
          <w:p w14:paraId="5BB00688" w14:textId="77777777" w:rsidR="00573EBA" w:rsidRPr="003F2DB9" w:rsidRDefault="00573EBA" w:rsidP="003F69E2">
            <w:pPr>
              <w:rPr>
                <w:rFonts w:ascii="Times New Roman" w:hAnsi="Times New Roman" w:cs="Times New Roman"/>
                <w:sz w:val="20"/>
                <w:szCs w:val="20"/>
              </w:rPr>
            </w:pPr>
            <w:r w:rsidRPr="003F2DB9">
              <w:rPr>
                <w:rFonts w:ascii="Times New Roman" w:hAnsi="Times New Roman" w:cs="Times New Roman"/>
                <w:sz w:val="20"/>
                <w:szCs w:val="20"/>
              </w:rPr>
              <w:t>Sensor controllers and solar energy</w:t>
            </w:r>
          </w:p>
          <w:p w14:paraId="0AF77DEE" w14:textId="77777777" w:rsidR="00573EBA" w:rsidRPr="003F2DB9" w:rsidRDefault="00573EBA" w:rsidP="003F69E2">
            <w:pPr>
              <w:rPr>
                <w:rFonts w:ascii="Times New Roman" w:hAnsi="Times New Roman" w:cs="Times New Roman"/>
                <w:sz w:val="20"/>
                <w:szCs w:val="20"/>
              </w:rPr>
            </w:pPr>
            <w:r w:rsidRPr="003F2DB9">
              <w:rPr>
                <w:rFonts w:ascii="Times New Roman" w:hAnsi="Times New Roman" w:cs="Times New Roman"/>
                <w:sz w:val="20"/>
                <w:szCs w:val="20"/>
              </w:rPr>
              <w:t>Wireless sensor network</w:t>
            </w:r>
          </w:p>
          <w:p w14:paraId="53A6C3DD" w14:textId="77777777" w:rsidR="00573EBA" w:rsidRPr="003F2DB9" w:rsidRDefault="00573EBA" w:rsidP="003F69E2">
            <w:pPr>
              <w:rPr>
                <w:rFonts w:ascii="Times New Roman" w:hAnsi="Times New Roman" w:cs="Times New Roman"/>
                <w:sz w:val="20"/>
                <w:szCs w:val="20"/>
              </w:rPr>
            </w:pPr>
            <w:r w:rsidRPr="003F2DB9">
              <w:rPr>
                <w:rFonts w:ascii="Times New Roman" w:hAnsi="Times New Roman" w:cs="Times New Roman"/>
                <w:sz w:val="20"/>
                <w:szCs w:val="20"/>
              </w:rPr>
              <w:t>PV generator connected with storage units and heat pumps</w:t>
            </w:r>
          </w:p>
        </w:tc>
        <w:tc>
          <w:tcPr>
            <w:tcW w:w="4253" w:type="dxa"/>
            <w:vAlign w:val="center"/>
          </w:tcPr>
          <w:p w14:paraId="3FB4DC29" w14:textId="77777777" w:rsidR="00573EBA" w:rsidRPr="003F2DB9" w:rsidRDefault="00573EBA" w:rsidP="003F69E2">
            <w:pPr>
              <w:rPr>
                <w:rFonts w:ascii="Times New Roman" w:hAnsi="Times New Roman" w:cs="Times New Roman"/>
                <w:sz w:val="20"/>
                <w:szCs w:val="20"/>
              </w:rPr>
            </w:pPr>
            <w:r w:rsidRPr="003F2DB9">
              <w:rPr>
                <w:rFonts w:ascii="Times New Roman" w:hAnsi="Times New Roman" w:cs="Times New Roman"/>
                <w:sz w:val="20"/>
                <w:szCs w:val="20"/>
              </w:rPr>
              <w:t xml:space="preserve">The utility grid over </w:t>
            </w:r>
            <w:proofErr w:type="gramStart"/>
            <w:r w:rsidRPr="003F2DB9">
              <w:rPr>
                <w:rFonts w:ascii="Times New Roman" w:hAnsi="Times New Roman" w:cs="Times New Roman"/>
                <w:sz w:val="20"/>
                <w:szCs w:val="20"/>
              </w:rPr>
              <w:t>a time period</w:t>
            </w:r>
            <w:proofErr w:type="gramEnd"/>
            <w:r w:rsidRPr="003F2DB9">
              <w:rPr>
                <w:rFonts w:ascii="Times New Roman" w:hAnsi="Times New Roman" w:cs="Times New Roman"/>
                <w:sz w:val="20"/>
                <w:szCs w:val="20"/>
              </w:rPr>
              <w:t xml:space="preserve"> is zero.</w:t>
            </w:r>
          </w:p>
          <w:p w14:paraId="186EF9CC" w14:textId="77777777" w:rsidR="00573EBA" w:rsidRPr="003F2DB9" w:rsidRDefault="00573EBA" w:rsidP="003F69E2">
            <w:pPr>
              <w:rPr>
                <w:rFonts w:ascii="Times New Roman" w:hAnsi="Times New Roman" w:cs="Times New Roman"/>
                <w:sz w:val="20"/>
                <w:szCs w:val="20"/>
              </w:rPr>
            </w:pPr>
            <w:r w:rsidRPr="003F2DB9">
              <w:rPr>
                <w:rFonts w:ascii="Times New Roman" w:hAnsi="Times New Roman" w:cs="Times New Roman"/>
                <w:sz w:val="20"/>
                <w:szCs w:val="20"/>
              </w:rPr>
              <w:t>Notice unnecessary electric consumption.</w:t>
            </w:r>
          </w:p>
          <w:p w14:paraId="7471C5F9" w14:textId="77777777" w:rsidR="00573EBA" w:rsidRPr="003F2DB9" w:rsidRDefault="00573EBA" w:rsidP="003F69E2">
            <w:pPr>
              <w:rPr>
                <w:rFonts w:ascii="Times New Roman" w:hAnsi="Times New Roman" w:cs="Times New Roman"/>
                <w:sz w:val="20"/>
                <w:szCs w:val="20"/>
              </w:rPr>
            </w:pPr>
            <w:r w:rsidRPr="003F2DB9">
              <w:rPr>
                <w:rFonts w:ascii="Times New Roman" w:hAnsi="Times New Roman" w:cs="Times New Roman"/>
                <w:sz w:val="20"/>
                <w:szCs w:val="20"/>
              </w:rPr>
              <w:t>Minimises the use of the electric grid</w:t>
            </w:r>
          </w:p>
        </w:tc>
      </w:tr>
      <w:tr w:rsidR="008F4347" w:rsidRPr="003F2DB9" w14:paraId="72F3F7D5" w14:textId="77777777" w:rsidTr="00C911D4">
        <w:trPr>
          <w:trHeight w:val="567"/>
        </w:trPr>
        <w:tc>
          <w:tcPr>
            <w:tcW w:w="1129" w:type="dxa"/>
            <w:vAlign w:val="center"/>
          </w:tcPr>
          <w:p w14:paraId="5799AA2D" w14:textId="77777777" w:rsidR="00573EBA" w:rsidRPr="003F2DB9" w:rsidRDefault="00573EBA" w:rsidP="003F69E2">
            <w:pPr>
              <w:rPr>
                <w:rFonts w:ascii="Times New Roman" w:hAnsi="Times New Roman" w:cs="Times New Roman"/>
                <w:sz w:val="20"/>
                <w:szCs w:val="20"/>
              </w:rPr>
            </w:pPr>
            <w:r w:rsidRPr="003F2DB9">
              <w:rPr>
                <w:rFonts w:ascii="Times New Roman" w:hAnsi="Times New Roman" w:cs="Times New Roman"/>
                <w:sz w:val="20"/>
                <w:szCs w:val="20"/>
              </w:rPr>
              <w:t>MVAC</w:t>
            </w:r>
          </w:p>
        </w:tc>
        <w:tc>
          <w:tcPr>
            <w:tcW w:w="3969" w:type="dxa"/>
            <w:vAlign w:val="center"/>
          </w:tcPr>
          <w:p w14:paraId="3D226F18" w14:textId="77777777" w:rsidR="00573EBA" w:rsidRPr="003F2DB9" w:rsidRDefault="00573EBA" w:rsidP="003F69E2">
            <w:pPr>
              <w:rPr>
                <w:rFonts w:ascii="Times New Roman" w:hAnsi="Times New Roman" w:cs="Times New Roman"/>
                <w:sz w:val="20"/>
                <w:szCs w:val="20"/>
              </w:rPr>
            </w:pPr>
            <w:r w:rsidRPr="003F2DB9">
              <w:rPr>
                <w:rFonts w:ascii="Times New Roman" w:hAnsi="Times New Roman" w:cs="Times New Roman"/>
                <w:sz w:val="20"/>
                <w:szCs w:val="20"/>
              </w:rPr>
              <w:t>Infrared sensors, IoT thermostat</w:t>
            </w:r>
          </w:p>
        </w:tc>
        <w:tc>
          <w:tcPr>
            <w:tcW w:w="4253" w:type="dxa"/>
            <w:vAlign w:val="center"/>
          </w:tcPr>
          <w:p w14:paraId="6D0CB106" w14:textId="77777777" w:rsidR="00573EBA" w:rsidRPr="003F2DB9" w:rsidRDefault="00573EBA" w:rsidP="003F69E2">
            <w:pPr>
              <w:rPr>
                <w:rFonts w:ascii="Times New Roman" w:hAnsi="Times New Roman" w:cs="Times New Roman"/>
                <w:sz w:val="20"/>
                <w:szCs w:val="20"/>
              </w:rPr>
            </w:pPr>
            <w:r w:rsidRPr="003F2DB9">
              <w:rPr>
                <w:rFonts w:ascii="Times New Roman" w:hAnsi="Times New Roman" w:cs="Times New Roman"/>
                <w:sz w:val="20"/>
                <w:szCs w:val="20"/>
              </w:rPr>
              <w:t>Controls the AC by monitoring temperature and humidity.</w:t>
            </w:r>
          </w:p>
          <w:p w14:paraId="1AF0340F" w14:textId="77777777" w:rsidR="00573EBA" w:rsidRPr="003F2DB9" w:rsidRDefault="00573EBA" w:rsidP="003F69E2">
            <w:pPr>
              <w:rPr>
                <w:rFonts w:ascii="Times New Roman" w:hAnsi="Times New Roman" w:cs="Times New Roman"/>
                <w:sz w:val="20"/>
                <w:szCs w:val="20"/>
              </w:rPr>
            </w:pPr>
            <w:r w:rsidRPr="003F2DB9">
              <w:rPr>
                <w:rFonts w:ascii="Times New Roman" w:hAnsi="Times New Roman" w:cs="Times New Roman"/>
                <w:sz w:val="20"/>
                <w:szCs w:val="20"/>
              </w:rPr>
              <w:t>Monitor occupancy and adjust room energy mode.</w:t>
            </w:r>
          </w:p>
          <w:p w14:paraId="0C09E71D" w14:textId="77777777" w:rsidR="00573EBA" w:rsidRPr="003F2DB9" w:rsidRDefault="00573EBA" w:rsidP="003F69E2">
            <w:pPr>
              <w:rPr>
                <w:rFonts w:ascii="Times New Roman" w:hAnsi="Times New Roman" w:cs="Times New Roman"/>
                <w:sz w:val="20"/>
                <w:szCs w:val="20"/>
              </w:rPr>
            </w:pPr>
            <w:r w:rsidRPr="003F2DB9">
              <w:rPr>
                <w:rFonts w:ascii="Times New Roman" w:hAnsi="Times New Roman" w:cs="Times New Roman"/>
                <w:sz w:val="20"/>
                <w:szCs w:val="20"/>
              </w:rPr>
              <w:t>Based on the outside temperature adjust the equipment to optimize energy use</w:t>
            </w:r>
          </w:p>
        </w:tc>
      </w:tr>
      <w:tr w:rsidR="008F4347" w:rsidRPr="003F2DB9" w14:paraId="395906F5" w14:textId="77777777" w:rsidTr="00C911D4">
        <w:trPr>
          <w:trHeight w:val="567"/>
        </w:trPr>
        <w:tc>
          <w:tcPr>
            <w:tcW w:w="1129" w:type="dxa"/>
            <w:vAlign w:val="center"/>
          </w:tcPr>
          <w:p w14:paraId="14779E58" w14:textId="77777777" w:rsidR="00573EBA" w:rsidRPr="003F2DB9" w:rsidRDefault="00573EBA" w:rsidP="003F69E2">
            <w:pPr>
              <w:rPr>
                <w:rFonts w:ascii="Times New Roman" w:hAnsi="Times New Roman" w:cs="Times New Roman"/>
                <w:sz w:val="20"/>
                <w:szCs w:val="20"/>
              </w:rPr>
            </w:pPr>
            <w:r w:rsidRPr="003F2DB9">
              <w:rPr>
                <w:rFonts w:ascii="Times New Roman" w:hAnsi="Times New Roman" w:cs="Times New Roman"/>
                <w:sz w:val="20"/>
                <w:szCs w:val="20"/>
              </w:rPr>
              <w:t>Lighting</w:t>
            </w:r>
          </w:p>
        </w:tc>
        <w:tc>
          <w:tcPr>
            <w:tcW w:w="3969" w:type="dxa"/>
            <w:vAlign w:val="center"/>
          </w:tcPr>
          <w:p w14:paraId="4C02421A" w14:textId="77777777" w:rsidR="00573EBA" w:rsidRPr="003F2DB9" w:rsidRDefault="00573EBA" w:rsidP="003F69E2">
            <w:pPr>
              <w:rPr>
                <w:rFonts w:ascii="Times New Roman" w:hAnsi="Times New Roman" w:cs="Times New Roman"/>
                <w:sz w:val="20"/>
                <w:szCs w:val="20"/>
              </w:rPr>
            </w:pPr>
            <w:r w:rsidRPr="003F2DB9">
              <w:rPr>
                <w:rFonts w:ascii="Times New Roman" w:hAnsi="Times New Roman" w:cs="Times New Roman"/>
                <w:sz w:val="20"/>
                <w:szCs w:val="20"/>
              </w:rPr>
              <w:t>Sensors and controllers in luminaires</w:t>
            </w:r>
          </w:p>
        </w:tc>
        <w:tc>
          <w:tcPr>
            <w:tcW w:w="4253" w:type="dxa"/>
            <w:vAlign w:val="center"/>
          </w:tcPr>
          <w:p w14:paraId="0DAEB8C3" w14:textId="77777777" w:rsidR="00573EBA" w:rsidRPr="003F2DB9" w:rsidRDefault="00573EBA" w:rsidP="003F69E2">
            <w:pPr>
              <w:rPr>
                <w:rFonts w:ascii="Times New Roman" w:hAnsi="Times New Roman" w:cs="Times New Roman"/>
                <w:sz w:val="20"/>
                <w:szCs w:val="20"/>
              </w:rPr>
            </w:pPr>
            <w:r w:rsidRPr="003F2DB9">
              <w:rPr>
                <w:rFonts w:ascii="Times New Roman" w:hAnsi="Times New Roman" w:cs="Times New Roman"/>
                <w:sz w:val="20"/>
                <w:szCs w:val="20"/>
              </w:rPr>
              <w:t>Based on the daylight decides operating lights.</w:t>
            </w:r>
          </w:p>
          <w:p w14:paraId="02F2D81A" w14:textId="77777777" w:rsidR="00573EBA" w:rsidRPr="003F2DB9" w:rsidRDefault="00573EBA" w:rsidP="003F69E2">
            <w:pPr>
              <w:rPr>
                <w:rFonts w:ascii="Times New Roman" w:hAnsi="Times New Roman" w:cs="Times New Roman"/>
                <w:sz w:val="20"/>
                <w:szCs w:val="20"/>
              </w:rPr>
            </w:pPr>
            <w:r w:rsidRPr="003F2DB9">
              <w:rPr>
                <w:rFonts w:ascii="Times New Roman" w:hAnsi="Times New Roman" w:cs="Times New Roman"/>
                <w:sz w:val="20"/>
                <w:szCs w:val="20"/>
              </w:rPr>
              <w:t>Monitor occupancy and operate lights accordingly</w:t>
            </w:r>
          </w:p>
        </w:tc>
      </w:tr>
      <w:tr w:rsidR="008F4347" w:rsidRPr="003F2DB9" w14:paraId="483B2BBA" w14:textId="77777777" w:rsidTr="00C911D4">
        <w:trPr>
          <w:trHeight w:val="567"/>
        </w:trPr>
        <w:tc>
          <w:tcPr>
            <w:tcW w:w="1129" w:type="dxa"/>
            <w:vAlign w:val="center"/>
          </w:tcPr>
          <w:p w14:paraId="276CB09C" w14:textId="77777777" w:rsidR="00573EBA" w:rsidRPr="003F2DB9" w:rsidRDefault="00573EBA" w:rsidP="003F69E2">
            <w:pPr>
              <w:rPr>
                <w:rFonts w:ascii="Times New Roman" w:hAnsi="Times New Roman" w:cs="Times New Roman"/>
                <w:sz w:val="20"/>
                <w:szCs w:val="20"/>
              </w:rPr>
            </w:pPr>
            <w:r w:rsidRPr="003F2DB9">
              <w:rPr>
                <w:rFonts w:ascii="Times New Roman" w:hAnsi="Times New Roman" w:cs="Times New Roman"/>
                <w:sz w:val="20"/>
                <w:szCs w:val="20"/>
              </w:rPr>
              <w:t>Water</w:t>
            </w:r>
          </w:p>
        </w:tc>
        <w:tc>
          <w:tcPr>
            <w:tcW w:w="3969" w:type="dxa"/>
            <w:vAlign w:val="center"/>
          </w:tcPr>
          <w:p w14:paraId="0FC025B8" w14:textId="77777777" w:rsidR="00573EBA" w:rsidRPr="003F2DB9" w:rsidRDefault="00573EBA" w:rsidP="003F69E2">
            <w:pPr>
              <w:rPr>
                <w:rFonts w:ascii="Times New Roman" w:hAnsi="Times New Roman" w:cs="Times New Roman"/>
                <w:sz w:val="20"/>
                <w:szCs w:val="20"/>
              </w:rPr>
            </w:pPr>
            <w:r w:rsidRPr="003F2DB9">
              <w:rPr>
                <w:rFonts w:ascii="Times New Roman" w:hAnsi="Times New Roman" w:cs="Times New Roman"/>
                <w:sz w:val="20"/>
                <w:szCs w:val="20"/>
              </w:rPr>
              <w:t>Sensors</w:t>
            </w:r>
          </w:p>
        </w:tc>
        <w:tc>
          <w:tcPr>
            <w:tcW w:w="4253" w:type="dxa"/>
            <w:vAlign w:val="center"/>
          </w:tcPr>
          <w:p w14:paraId="5973BD8A" w14:textId="77777777" w:rsidR="00573EBA" w:rsidRPr="003F2DB9" w:rsidRDefault="00573EBA" w:rsidP="003F69E2">
            <w:pPr>
              <w:rPr>
                <w:rFonts w:ascii="Times New Roman" w:hAnsi="Times New Roman" w:cs="Times New Roman"/>
                <w:sz w:val="20"/>
                <w:szCs w:val="20"/>
              </w:rPr>
            </w:pPr>
            <w:r w:rsidRPr="003F2DB9">
              <w:rPr>
                <w:rFonts w:ascii="Times New Roman" w:hAnsi="Times New Roman" w:cs="Times New Roman"/>
                <w:sz w:val="20"/>
                <w:szCs w:val="20"/>
              </w:rPr>
              <w:t>Turn off taps etc. automatically preventing wastage.</w:t>
            </w:r>
          </w:p>
        </w:tc>
      </w:tr>
      <w:tr w:rsidR="008F4347" w:rsidRPr="003F2DB9" w14:paraId="0D00954E" w14:textId="77777777" w:rsidTr="00C911D4">
        <w:trPr>
          <w:trHeight w:val="567"/>
        </w:trPr>
        <w:tc>
          <w:tcPr>
            <w:tcW w:w="1129" w:type="dxa"/>
            <w:vAlign w:val="center"/>
          </w:tcPr>
          <w:p w14:paraId="21095B2F" w14:textId="77777777" w:rsidR="00573EBA" w:rsidRPr="003F2DB9" w:rsidRDefault="00573EBA" w:rsidP="003F69E2">
            <w:pPr>
              <w:rPr>
                <w:rFonts w:ascii="Times New Roman" w:hAnsi="Times New Roman" w:cs="Times New Roman"/>
                <w:sz w:val="20"/>
                <w:szCs w:val="20"/>
              </w:rPr>
            </w:pPr>
            <w:r w:rsidRPr="003F2DB9">
              <w:rPr>
                <w:rFonts w:ascii="Times New Roman" w:hAnsi="Times New Roman" w:cs="Times New Roman"/>
                <w:sz w:val="20"/>
                <w:szCs w:val="20"/>
              </w:rPr>
              <w:t>Hot water</w:t>
            </w:r>
          </w:p>
        </w:tc>
        <w:tc>
          <w:tcPr>
            <w:tcW w:w="3969" w:type="dxa"/>
            <w:vAlign w:val="center"/>
          </w:tcPr>
          <w:p w14:paraId="7EFBE107" w14:textId="77777777" w:rsidR="00573EBA" w:rsidRPr="003F2DB9" w:rsidRDefault="00573EBA" w:rsidP="003F69E2">
            <w:pPr>
              <w:rPr>
                <w:rFonts w:ascii="Times New Roman" w:hAnsi="Times New Roman" w:cs="Times New Roman"/>
                <w:sz w:val="20"/>
                <w:szCs w:val="20"/>
              </w:rPr>
            </w:pPr>
            <w:r w:rsidRPr="003F2DB9">
              <w:rPr>
                <w:rFonts w:ascii="Times New Roman" w:hAnsi="Times New Roman" w:cs="Times New Roman"/>
                <w:sz w:val="20"/>
                <w:szCs w:val="20"/>
              </w:rPr>
              <w:t>Sensors and actuators</w:t>
            </w:r>
          </w:p>
        </w:tc>
        <w:tc>
          <w:tcPr>
            <w:tcW w:w="4253" w:type="dxa"/>
            <w:vAlign w:val="center"/>
          </w:tcPr>
          <w:p w14:paraId="1FF4CA46" w14:textId="77777777" w:rsidR="00573EBA" w:rsidRPr="003F2DB9" w:rsidRDefault="00573EBA" w:rsidP="003F69E2">
            <w:pPr>
              <w:rPr>
                <w:rFonts w:ascii="Times New Roman" w:hAnsi="Times New Roman" w:cs="Times New Roman"/>
                <w:sz w:val="20"/>
                <w:szCs w:val="20"/>
              </w:rPr>
            </w:pPr>
            <w:r w:rsidRPr="003F2DB9">
              <w:rPr>
                <w:rFonts w:ascii="Times New Roman" w:hAnsi="Times New Roman" w:cs="Times New Roman"/>
                <w:sz w:val="20"/>
                <w:szCs w:val="20"/>
              </w:rPr>
              <w:t xml:space="preserve">The unused areas are not supplied with hot water </w:t>
            </w:r>
          </w:p>
        </w:tc>
      </w:tr>
      <w:tr w:rsidR="004470AA" w:rsidRPr="003F2DB9" w14:paraId="5E0281E9" w14:textId="77777777" w:rsidTr="00C911D4">
        <w:trPr>
          <w:trHeight w:val="567"/>
        </w:trPr>
        <w:tc>
          <w:tcPr>
            <w:tcW w:w="1129" w:type="dxa"/>
            <w:vAlign w:val="center"/>
          </w:tcPr>
          <w:p w14:paraId="6A6C9BD0" w14:textId="77777777" w:rsidR="00573EBA" w:rsidRPr="003F2DB9" w:rsidRDefault="00573EBA" w:rsidP="003F69E2">
            <w:pPr>
              <w:rPr>
                <w:rFonts w:ascii="Times New Roman" w:hAnsi="Times New Roman" w:cs="Times New Roman"/>
                <w:sz w:val="20"/>
                <w:szCs w:val="20"/>
              </w:rPr>
            </w:pPr>
            <w:r w:rsidRPr="003F2DB9">
              <w:rPr>
                <w:rFonts w:ascii="Times New Roman" w:hAnsi="Times New Roman" w:cs="Times New Roman"/>
                <w:sz w:val="20"/>
                <w:szCs w:val="20"/>
              </w:rPr>
              <w:t>Elevators</w:t>
            </w:r>
          </w:p>
        </w:tc>
        <w:tc>
          <w:tcPr>
            <w:tcW w:w="3969" w:type="dxa"/>
            <w:vAlign w:val="center"/>
          </w:tcPr>
          <w:p w14:paraId="63A26988" w14:textId="77777777" w:rsidR="00573EBA" w:rsidRPr="003F2DB9" w:rsidRDefault="00573EBA" w:rsidP="003F69E2">
            <w:pPr>
              <w:rPr>
                <w:rFonts w:ascii="Times New Roman" w:hAnsi="Times New Roman" w:cs="Times New Roman"/>
                <w:sz w:val="20"/>
                <w:szCs w:val="20"/>
              </w:rPr>
            </w:pPr>
            <w:r w:rsidRPr="003F2DB9">
              <w:rPr>
                <w:rFonts w:ascii="Times New Roman" w:hAnsi="Times New Roman" w:cs="Times New Roman"/>
                <w:sz w:val="20"/>
                <w:szCs w:val="20"/>
              </w:rPr>
              <w:t>Sensors</w:t>
            </w:r>
          </w:p>
        </w:tc>
        <w:tc>
          <w:tcPr>
            <w:tcW w:w="4253" w:type="dxa"/>
            <w:vAlign w:val="center"/>
          </w:tcPr>
          <w:p w14:paraId="68B7609E" w14:textId="77777777" w:rsidR="00573EBA" w:rsidRPr="003F2DB9" w:rsidRDefault="00573EBA" w:rsidP="003F69E2">
            <w:pPr>
              <w:rPr>
                <w:rFonts w:ascii="Times New Roman" w:hAnsi="Times New Roman" w:cs="Times New Roman"/>
                <w:sz w:val="20"/>
                <w:szCs w:val="20"/>
              </w:rPr>
            </w:pPr>
            <w:r w:rsidRPr="003F2DB9">
              <w:rPr>
                <w:rFonts w:ascii="Times New Roman" w:hAnsi="Times New Roman" w:cs="Times New Roman"/>
                <w:sz w:val="20"/>
                <w:szCs w:val="20"/>
              </w:rPr>
              <w:t>Based on the occupancy adjust the operating mode</w:t>
            </w:r>
          </w:p>
        </w:tc>
      </w:tr>
    </w:tbl>
    <w:p w14:paraId="613B9BEE" w14:textId="77777777" w:rsidR="004470AA" w:rsidRPr="003F2DB9" w:rsidRDefault="004470AA" w:rsidP="006A3B7F">
      <w:pPr>
        <w:shd w:val="clear" w:color="auto" w:fill="FFFFFF"/>
        <w:spacing w:after="150" w:line="240" w:lineRule="auto"/>
        <w:rPr>
          <w:rFonts w:ascii="Times New Roman" w:eastAsia="Times New Roman" w:hAnsi="Times New Roman" w:cs="Times New Roman"/>
          <w:sz w:val="20"/>
          <w:szCs w:val="20"/>
        </w:rPr>
      </w:pPr>
    </w:p>
    <w:p w14:paraId="4B81F07E" w14:textId="16FE2DA8" w:rsidR="00423163" w:rsidRPr="003F2DB9" w:rsidRDefault="009740B7" w:rsidP="009740B7">
      <w:pPr>
        <w:shd w:val="clear" w:color="auto" w:fill="FFFFFF"/>
        <w:spacing w:after="150" w:line="240" w:lineRule="auto"/>
        <w:jc w:val="both"/>
        <w:rPr>
          <w:rFonts w:ascii="Times New Roman" w:eastAsia="Times New Roman" w:hAnsi="Times New Roman" w:cs="Times New Roman"/>
          <w:sz w:val="20"/>
          <w:szCs w:val="20"/>
        </w:rPr>
      </w:pPr>
      <w:r w:rsidRPr="003F2DB9">
        <w:rPr>
          <w:rFonts w:ascii="Times New Roman" w:eastAsia="Times New Roman" w:hAnsi="Times New Roman" w:cs="Times New Roman"/>
          <w:sz w:val="20"/>
          <w:szCs w:val="20"/>
        </w:rPr>
        <w:lastRenderedPageBreak/>
        <w:t xml:space="preserve">Furthermore, in addition to the </w:t>
      </w:r>
      <w:r w:rsidR="00D3766A" w:rsidRPr="003F2DB9">
        <w:rPr>
          <w:rFonts w:ascii="Times New Roman" w:eastAsia="Times New Roman" w:hAnsi="Times New Roman" w:cs="Times New Roman"/>
          <w:sz w:val="20"/>
          <w:szCs w:val="20"/>
        </w:rPr>
        <w:t xml:space="preserve">above </w:t>
      </w:r>
      <w:r w:rsidRPr="003F2DB9">
        <w:rPr>
          <w:rFonts w:ascii="Times New Roman" w:eastAsia="Times New Roman" w:hAnsi="Times New Roman" w:cs="Times New Roman"/>
          <w:sz w:val="20"/>
          <w:szCs w:val="20"/>
        </w:rPr>
        <w:t>e</w:t>
      </w:r>
      <w:r w:rsidR="00D3766A" w:rsidRPr="003F2DB9">
        <w:rPr>
          <w:rFonts w:ascii="Times New Roman" w:eastAsia="Times New Roman" w:hAnsi="Times New Roman" w:cs="Times New Roman"/>
          <w:sz w:val="20"/>
          <w:szCs w:val="20"/>
        </w:rPr>
        <w:t>conomic</w:t>
      </w:r>
      <w:r w:rsidRPr="003F2DB9">
        <w:rPr>
          <w:rFonts w:ascii="Times New Roman" w:eastAsia="Times New Roman" w:hAnsi="Times New Roman" w:cs="Times New Roman"/>
          <w:sz w:val="20"/>
          <w:szCs w:val="20"/>
        </w:rPr>
        <w:t xml:space="preserve"> benefits of green certifications, the Internet of Things (IoT) has the potential to reduce various forms of waste. For instance, by implementing IoT technologies such as </w:t>
      </w:r>
      <w:r w:rsidR="00D3766A" w:rsidRPr="003F2DB9">
        <w:rPr>
          <w:rFonts w:ascii="Times New Roman" w:eastAsia="Times New Roman" w:hAnsi="Times New Roman" w:cs="Times New Roman"/>
          <w:sz w:val="20"/>
          <w:szCs w:val="20"/>
        </w:rPr>
        <w:t xml:space="preserve">the </w:t>
      </w:r>
      <w:r w:rsidRPr="003F2DB9">
        <w:rPr>
          <w:rFonts w:ascii="Times New Roman" w:eastAsia="Times New Roman" w:hAnsi="Times New Roman" w:cs="Times New Roman"/>
          <w:sz w:val="20"/>
          <w:szCs w:val="20"/>
        </w:rPr>
        <w:t>installation of</w:t>
      </w:r>
      <w:r w:rsidR="00D3766A" w:rsidRPr="003F2DB9">
        <w:rPr>
          <w:rFonts w:ascii="Times New Roman" w:eastAsia="Times New Roman" w:hAnsi="Times New Roman" w:cs="Times New Roman"/>
          <w:sz w:val="20"/>
          <w:szCs w:val="20"/>
        </w:rPr>
        <w:t xml:space="preserve"> </w:t>
      </w:r>
      <w:r w:rsidRPr="003F2DB9">
        <w:rPr>
          <w:rFonts w:ascii="Times New Roman" w:eastAsia="Times New Roman" w:hAnsi="Times New Roman" w:cs="Times New Roman"/>
          <w:sz w:val="20"/>
          <w:szCs w:val="20"/>
        </w:rPr>
        <w:t xml:space="preserve">ultrasonic sensors in each parking slot, the time and fuel wasted in searching for available parking spots in buildings can be significantly minimized, as highlighted in the research conducted by </w:t>
      </w:r>
      <w:r w:rsidR="006C2B06" w:rsidRPr="003F2DB9">
        <w:rPr>
          <w:rFonts w:ascii="Times New Roman" w:eastAsia="Times New Roman" w:hAnsi="Times New Roman" w:cs="Times New Roman"/>
          <w:sz w:val="20"/>
          <w:szCs w:val="20"/>
        </w:rPr>
        <w:t>[18]</w:t>
      </w:r>
      <w:r w:rsidRPr="003F2DB9">
        <w:rPr>
          <w:rFonts w:ascii="Times New Roman" w:eastAsia="Times New Roman" w:hAnsi="Times New Roman" w:cs="Times New Roman"/>
          <w:sz w:val="20"/>
          <w:szCs w:val="20"/>
        </w:rPr>
        <w:t>.</w:t>
      </w:r>
    </w:p>
    <w:p w14:paraId="1E404A6F" w14:textId="77777777" w:rsidR="00D3766A" w:rsidRPr="003F2DB9" w:rsidRDefault="00D3766A" w:rsidP="009740B7">
      <w:pPr>
        <w:shd w:val="clear" w:color="auto" w:fill="FFFFFF"/>
        <w:spacing w:after="150" w:line="240" w:lineRule="auto"/>
        <w:jc w:val="both"/>
        <w:rPr>
          <w:rFonts w:ascii="Times New Roman" w:eastAsia="Times New Roman" w:hAnsi="Times New Roman" w:cs="Times New Roman"/>
          <w:sz w:val="20"/>
          <w:szCs w:val="20"/>
        </w:rPr>
      </w:pPr>
    </w:p>
    <w:p w14:paraId="376F6961" w14:textId="46D9DA1E" w:rsidR="006A3B7F" w:rsidRPr="003F2DB9" w:rsidRDefault="006A3B7F" w:rsidP="006A3B7F">
      <w:pPr>
        <w:shd w:val="clear" w:color="auto" w:fill="FFFFFF"/>
        <w:spacing w:after="150" w:line="240" w:lineRule="auto"/>
        <w:rPr>
          <w:rFonts w:ascii="Times New Roman" w:eastAsia="Times New Roman" w:hAnsi="Times New Roman" w:cs="Times New Roman"/>
          <w:sz w:val="20"/>
          <w:szCs w:val="20"/>
        </w:rPr>
      </w:pPr>
      <w:r w:rsidRPr="003F2DB9">
        <w:rPr>
          <w:rFonts w:ascii="Times New Roman" w:eastAsia="Times New Roman" w:hAnsi="Times New Roman" w:cs="Times New Roman"/>
          <w:sz w:val="20"/>
          <w:szCs w:val="20"/>
        </w:rPr>
        <w:t xml:space="preserve">II. </w:t>
      </w:r>
      <w:r w:rsidR="00875B17" w:rsidRPr="003F2DB9">
        <w:rPr>
          <w:rFonts w:ascii="Times New Roman" w:eastAsia="Times New Roman" w:hAnsi="Times New Roman" w:cs="Times New Roman"/>
          <w:sz w:val="20"/>
          <w:szCs w:val="20"/>
        </w:rPr>
        <w:t>MOTIVATION FOR THE LITERATURE REVIEW</w:t>
      </w:r>
    </w:p>
    <w:p w14:paraId="7C0B3CA3" w14:textId="17133BB9" w:rsidR="00FE782E" w:rsidRPr="003F2DB9" w:rsidRDefault="00D42EB1" w:rsidP="00875B17">
      <w:pPr>
        <w:shd w:val="clear" w:color="auto" w:fill="FFFFFF"/>
        <w:spacing w:after="150" w:line="240" w:lineRule="auto"/>
        <w:jc w:val="both"/>
        <w:rPr>
          <w:rFonts w:ascii="Times New Roman" w:eastAsia="Times New Roman" w:hAnsi="Times New Roman" w:cs="Times New Roman"/>
          <w:sz w:val="20"/>
          <w:szCs w:val="20"/>
        </w:rPr>
      </w:pPr>
      <w:r w:rsidRPr="003F2DB9">
        <w:rPr>
          <w:rFonts w:ascii="Times New Roman" w:eastAsia="Times New Roman" w:hAnsi="Times New Roman" w:cs="Times New Roman"/>
          <w:sz w:val="20"/>
          <w:szCs w:val="20"/>
        </w:rPr>
        <w:t xml:space="preserve">Frankie the Dinosaur effectively communicated the urgent message of "don't choose extinction" at the Climate Change Conference, which took place in Egypt, from November 6 to 20, 2022, and was conducted by the United Nations. </w:t>
      </w:r>
      <w:r w:rsidR="00925BDF" w:rsidRPr="003F2DB9">
        <w:rPr>
          <w:rFonts w:ascii="Times New Roman" w:eastAsia="Times New Roman" w:hAnsi="Times New Roman" w:cs="Times New Roman"/>
          <w:sz w:val="20"/>
          <w:szCs w:val="20"/>
        </w:rPr>
        <w:t>During the 27th United Nations Climate Change Conference held in Sharm El Sheikh, Egypt from November 6 to November 20, 2022, Frankie the Dinosaur conveyed a clear message of "Don't Choose Extinction"</w:t>
      </w:r>
      <w:r w:rsidR="00EB37DB" w:rsidRPr="003F2DB9">
        <w:rPr>
          <w:rFonts w:ascii="Times New Roman" w:eastAsia="Times New Roman" w:hAnsi="Times New Roman" w:cs="Times New Roman"/>
          <w:sz w:val="20"/>
          <w:szCs w:val="20"/>
        </w:rPr>
        <w:t xml:space="preserve"> [19].</w:t>
      </w:r>
      <w:r w:rsidR="00925BDF" w:rsidRPr="003F2DB9">
        <w:rPr>
          <w:rFonts w:ascii="Times New Roman" w:eastAsia="Times New Roman" w:hAnsi="Times New Roman" w:cs="Times New Roman"/>
          <w:sz w:val="20"/>
          <w:szCs w:val="20"/>
        </w:rPr>
        <w:t xml:space="preserve"> This message highlighted the significant amount of money spent annually to support fossil fuels for global energy, as well as the increased frequency and intensity of natural disasters such as fires, floods, storms, hurricanes, droughts, and heatwaves due to human-induced climate change. </w:t>
      </w:r>
      <w:r w:rsidR="0007292F" w:rsidRPr="003F2DB9">
        <w:rPr>
          <w:rFonts w:ascii="Times New Roman" w:eastAsia="Times New Roman" w:hAnsi="Times New Roman" w:cs="Times New Roman"/>
          <w:sz w:val="20"/>
          <w:szCs w:val="20"/>
        </w:rPr>
        <w:t xml:space="preserve">Despite the growing concerns about sustainability, energy remains an indispensable requirement for nations across the globe. Projections suggest that primary energy consumption for pivotal sectors could soar to 17,487 Mtoe, while final energy consumption could reach 11,775 Mtoe by 2040, according to research by </w:t>
      </w:r>
      <w:r w:rsidR="006C2B06" w:rsidRPr="003F2DB9">
        <w:rPr>
          <w:rFonts w:ascii="Times New Roman" w:eastAsia="Times New Roman" w:hAnsi="Times New Roman" w:cs="Times New Roman"/>
          <w:sz w:val="20"/>
          <w:szCs w:val="20"/>
        </w:rPr>
        <w:t>[</w:t>
      </w:r>
      <w:r w:rsidR="00B82135" w:rsidRPr="003F2DB9">
        <w:rPr>
          <w:rFonts w:ascii="Times New Roman" w:eastAsia="Times New Roman" w:hAnsi="Times New Roman" w:cs="Times New Roman"/>
          <w:sz w:val="20"/>
          <w:szCs w:val="20"/>
        </w:rPr>
        <w:t>20</w:t>
      </w:r>
      <w:r w:rsidR="006C2B06" w:rsidRPr="003F2DB9">
        <w:rPr>
          <w:rFonts w:ascii="Times New Roman" w:eastAsia="Times New Roman" w:hAnsi="Times New Roman" w:cs="Times New Roman"/>
          <w:sz w:val="20"/>
          <w:szCs w:val="20"/>
        </w:rPr>
        <w:t>]</w:t>
      </w:r>
      <w:r w:rsidR="00B82135" w:rsidRPr="003F2DB9">
        <w:rPr>
          <w:rFonts w:ascii="Times New Roman" w:eastAsia="Times New Roman" w:hAnsi="Times New Roman" w:cs="Times New Roman"/>
          <w:sz w:val="20"/>
          <w:szCs w:val="20"/>
        </w:rPr>
        <w:t xml:space="preserve">. </w:t>
      </w:r>
      <w:r w:rsidR="00925BDF" w:rsidRPr="003F2DB9">
        <w:rPr>
          <w:rFonts w:ascii="Times New Roman" w:eastAsia="Times New Roman" w:hAnsi="Times New Roman" w:cs="Times New Roman"/>
          <w:sz w:val="20"/>
          <w:szCs w:val="20"/>
        </w:rPr>
        <w:t xml:space="preserve">Researchers have </w:t>
      </w:r>
      <w:r w:rsidR="00C13FFB" w:rsidRPr="003F2DB9">
        <w:rPr>
          <w:rFonts w:ascii="Times New Roman" w:eastAsia="Times New Roman" w:hAnsi="Times New Roman" w:cs="Times New Roman"/>
          <w:sz w:val="20"/>
          <w:szCs w:val="20"/>
        </w:rPr>
        <w:t>defined</w:t>
      </w:r>
      <w:r w:rsidR="00925BDF" w:rsidRPr="003F2DB9">
        <w:rPr>
          <w:rFonts w:ascii="Times New Roman" w:eastAsia="Times New Roman" w:hAnsi="Times New Roman" w:cs="Times New Roman"/>
          <w:sz w:val="20"/>
          <w:szCs w:val="20"/>
        </w:rPr>
        <w:t xml:space="preserve"> that Mtoe, which is a unit of measurement that denotes the amount of energy released from burning one metric </w:t>
      </w:r>
      <w:r w:rsidR="00C13FFB" w:rsidRPr="003F2DB9">
        <w:rPr>
          <w:rFonts w:ascii="Times New Roman" w:eastAsia="Times New Roman" w:hAnsi="Times New Roman" w:cs="Times New Roman"/>
          <w:sz w:val="20"/>
          <w:szCs w:val="20"/>
        </w:rPr>
        <w:t>ton</w:t>
      </w:r>
      <w:r w:rsidR="00925BDF" w:rsidRPr="003F2DB9">
        <w:rPr>
          <w:rFonts w:ascii="Times New Roman" w:eastAsia="Times New Roman" w:hAnsi="Times New Roman" w:cs="Times New Roman"/>
          <w:sz w:val="20"/>
          <w:szCs w:val="20"/>
        </w:rPr>
        <w:t xml:space="preserve"> of oil, is crucial to understanding global energy usage. Additionally, these experts have observed that urbanization has led to a substantial increase in energy consumption within buildings. </w:t>
      </w:r>
      <w:r w:rsidR="00FE782E" w:rsidRPr="003F2DB9">
        <w:rPr>
          <w:rFonts w:ascii="Times New Roman" w:eastAsia="Times New Roman" w:hAnsi="Times New Roman" w:cs="Times New Roman"/>
          <w:sz w:val="20"/>
          <w:szCs w:val="20"/>
        </w:rPr>
        <w:t xml:space="preserve">According to a study by </w:t>
      </w:r>
      <w:r w:rsidR="006C2B06" w:rsidRPr="003F2DB9">
        <w:rPr>
          <w:rFonts w:ascii="Times New Roman" w:eastAsia="Times New Roman" w:hAnsi="Times New Roman" w:cs="Times New Roman"/>
          <w:sz w:val="20"/>
          <w:szCs w:val="20"/>
        </w:rPr>
        <w:t>[2</w:t>
      </w:r>
      <w:r w:rsidR="00B82135" w:rsidRPr="003F2DB9">
        <w:rPr>
          <w:rFonts w:ascii="Times New Roman" w:eastAsia="Times New Roman" w:hAnsi="Times New Roman" w:cs="Times New Roman"/>
          <w:sz w:val="20"/>
          <w:szCs w:val="20"/>
        </w:rPr>
        <w:t>1</w:t>
      </w:r>
      <w:r w:rsidR="006C2B06" w:rsidRPr="003F2DB9">
        <w:rPr>
          <w:rFonts w:ascii="Times New Roman" w:eastAsia="Times New Roman" w:hAnsi="Times New Roman" w:cs="Times New Roman"/>
          <w:sz w:val="20"/>
          <w:szCs w:val="20"/>
        </w:rPr>
        <w:t>]</w:t>
      </w:r>
      <w:r w:rsidR="00FE782E" w:rsidRPr="003F2DB9">
        <w:rPr>
          <w:rFonts w:ascii="Times New Roman" w:eastAsia="Times New Roman" w:hAnsi="Times New Roman" w:cs="Times New Roman"/>
          <w:sz w:val="20"/>
          <w:szCs w:val="20"/>
        </w:rPr>
        <w:t>, the building sector is responsible for 68% of total energy consumption in the United States and 39% of global energy consumption worldwide. In line with the above finding, research conducted by</w:t>
      </w:r>
      <w:r w:rsidR="006C2B06" w:rsidRPr="003F2DB9">
        <w:rPr>
          <w:rFonts w:ascii="Times New Roman" w:eastAsia="Times New Roman" w:hAnsi="Times New Roman" w:cs="Times New Roman"/>
          <w:sz w:val="20"/>
          <w:szCs w:val="20"/>
        </w:rPr>
        <w:t xml:space="preserve"> [2</w:t>
      </w:r>
      <w:r w:rsidR="00B82135" w:rsidRPr="003F2DB9">
        <w:rPr>
          <w:rFonts w:ascii="Times New Roman" w:eastAsia="Times New Roman" w:hAnsi="Times New Roman" w:cs="Times New Roman"/>
          <w:sz w:val="20"/>
          <w:szCs w:val="20"/>
        </w:rPr>
        <w:t>2</w:t>
      </w:r>
      <w:r w:rsidR="006C2B06" w:rsidRPr="003F2DB9">
        <w:rPr>
          <w:rFonts w:ascii="Times New Roman" w:eastAsia="Times New Roman" w:hAnsi="Times New Roman" w:cs="Times New Roman"/>
          <w:sz w:val="20"/>
          <w:szCs w:val="20"/>
        </w:rPr>
        <w:t>]</w:t>
      </w:r>
      <w:r w:rsidR="00FE782E" w:rsidRPr="003F2DB9">
        <w:rPr>
          <w:rFonts w:ascii="Times New Roman" w:eastAsia="Times New Roman" w:hAnsi="Times New Roman" w:cs="Times New Roman"/>
          <w:sz w:val="20"/>
          <w:szCs w:val="20"/>
        </w:rPr>
        <w:t xml:space="preserve"> revealed that the building sector is a major contributor to global energy consumption, representing over 30% of the world's total energy usage.</w:t>
      </w:r>
    </w:p>
    <w:p w14:paraId="08277E52" w14:textId="3FAF99D0" w:rsidR="0060347D" w:rsidRPr="003F2DB9" w:rsidRDefault="0060347D" w:rsidP="0060347D">
      <w:pPr>
        <w:shd w:val="clear" w:color="auto" w:fill="FFFFFF"/>
        <w:spacing w:after="150" w:line="240" w:lineRule="auto"/>
        <w:jc w:val="both"/>
        <w:rPr>
          <w:rFonts w:ascii="Times New Roman" w:eastAsia="Times New Roman" w:hAnsi="Times New Roman" w:cs="Times New Roman"/>
          <w:vanish/>
          <w:sz w:val="20"/>
          <w:szCs w:val="20"/>
        </w:rPr>
      </w:pPr>
      <w:r w:rsidRPr="003F2DB9">
        <w:rPr>
          <w:rFonts w:ascii="Times New Roman" w:eastAsia="Times New Roman" w:hAnsi="Times New Roman" w:cs="Times New Roman"/>
          <w:sz w:val="20"/>
          <w:szCs w:val="20"/>
        </w:rPr>
        <w:t xml:space="preserve">The </w:t>
      </w:r>
      <w:r w:rsidR="00A70844" w:rsidRPr="003F2DB9">
        <w:rPr>
          <w:rFonts w:ascii="Times New Roman" w:eastAsia="Times New Roman" w:hAnsi="Times New Roman" w:cs="Times New Roman"/>
          <w:sz w:val="20"/>
          <w:szCs w:val="20"/>
        </w:rPr>
        <w:t>discussion above illustrate</w:t>
      </w:r>
      <w:r w:rsidR="00E46AAA" w:rsidRPr="003F2DB9">
        <w:rPr>
          <w:rFonts w:ascii="Times New Roman" w:eastAsia="Times New Roman" w:hAnsi="Times New Roman" w:cs="Times New Roman"/>
          <w:sz w:val="20"/>
          <w:szCs w:val="20"/>
        </w:rPr>
        <w:t>s</w:t>
      </w:r>
      <w:r w:rsidR="00A70844" w:rsidRPr="003F2DB9">
        <w:rPr>
          <w:rFonts w:ascii="Times New Roman" w:eastAsia="Times New Roman" w:hAnsi="Times New Roman" w:cs="Times New Roman"/>
          <w:sz w:val="20"/>
          <w:szCs w:val="20"/>
        </w:rPr>
        <w:t xml:space="preserve"> the </w:t>
      </w:r>
      <w:r w:rsidRPr="003F2DB9">
        <w:rPr>
          <w:rFonts w:ascii="Times New Roman" w:eastAsia="Times New Roman" w:hAnsi="Times New Roman" w:cs="Times New Roman"/>
          <w:sz w:val="20"/>
          <w:szCs w:val="20"/>
        </w:rPr>
        <w:t xml:space="preserve">significance of substituting traditional structures with eco-friendly constructions worldwide. </w:t>
      </w:r>
      <w:r w:rsidR="00A70844" w:rsidRPr="003F2DB9">
        <w:rPr>
          <w:rFonts w:ascii="Times New Roman" w:eastAsia="Times New Roman" w:hAnsi="Times New Roman" w:cs="Times New Roman"/>
          <w:sz w:val="20"/>
          <w:szCs w:val="20"/>
        </w:rPr>
        <w:t xml:space="preserve">Further to the above, </w:t>
      </w:r>
      <w:r w:rsidR="006C2B06" w:rsidRPr="003F2DB9">
        <w:rPr>
          <w:rFonts w:ascii="Times New Roman" w:eastAsia="Times New Roman" w:hAnsi="Times New Roman" w:cs="Times New Roman"/>
          <w:sz w:val="20"/>
          <w:szCs w:val="20"/>
        </w:rPr>
        <w:t>[2</w:t>
      </w:r>
      <w:r w:rsidR="00B82135" w:rsidRPr="003F2DB9">
        <w:rPr>
          <w:rFonts w:ascii="Times New Roman" w:eastAsia="Times New Roman" w:hAnsi="Times New Roman" w:cs="Times New Roman"/>
          <w:sz w:val="20"/>
          <w:szCs w:val="20"/>
        </w:rPr>
        <w:t>3</w:t>
      </w:r>
      <w:r w:rsidR="006C2B06" w:rsidRPr="003F2DB9">
        <w:rPr>
          <w:rFonts w:ascii="Times New Roman" w:eastAsia="Times New Roman" w:hAnsi="Times New Roman" w:cs="Times New Roman"/>
          <w:sz w:val="20"/>
          <w:szCs w:val="20"/>
        </w:rPr>
        <w:t xml:space="preserve">] </w:t>
      </w:r>
      <w:r w:rsidRPr="003F2DB9">
        <w:rPr>
          <w:rFonts w:ascii="Times New Roman" w:eastAsia="Times New Roman" w:hAnsi="Times New Roman" w:cs="Times New Roman"/>
          <w:sz w:val="20"/>
          <w:szCs w:val="20"/>
        </w:rPr>
        <w:t xml:space="preserve">demonstrated that utilizing IoT-based green building management can be cost-effective and facilitate monitoring and controlling energy usage. </w:t>
      </w:r>
      <w:r w:rsidR="006C2B06" w:rsidRPr="003F2DB9">
        <w:rPr>
          <w:rFonts w:ascii="Times New Roman" w:eastAsia="Times New Roman" w:hAnsi="Times New Roman" w:cs="Times New Roman"/>
          <w:sz w:val="20"/>
          <w:szCs w:val="20"/>
        </w:rPr>
        <w:t>[2</w:t>
      </w:r>
      <w:r w:rsidR="00B82135" w:rsidRPr="003F2DB9">
        <w:rPr>
          <w:rFonts w:ascii="Times New Roman" w:eastAsia="Times New Roman" w:hAnsi="Times New Roman" w:cs="Times New Roman"/>
          <w:sz w:val="20"/>
          <w:szCs w:val="20"/>
        </w:rPr>
        <w:t>4</w:t>
      </w:r>
      <w:r w:rsidR="006C2B06" w:rsidRPr="003F2DB9">
        <w:rPr>
          <w:rFonts w:ascii="Times New Roman" w:eastAsia="Times New Roman" w:hAnsi="Times New Roman" w:cs="Times New Roman"/>
          <w:sz w:val="20"/>
          <w:szCs w:val="20"/>
        </w:rPr>
        <w:t>]</w:t>
      </w:r>
      <w:r w:rsidRPr="003F2DB9">
        <w:rPr>
          <w:rFonts w:ascii="Times New Roman" w:eastAsia="Times New Roman" w:hAnsi="Times New Roman" w:cs="Times New Roman"/>
          <w:sz w:val="20"/>
          <w:szCs w:val="20"/>
        </w:rPr>
        <w:t xml:space="preserve"> took green certification and IoT to new heights by emphasizing the advancement of </w:t>
      </w:r>
      <w:r w:rsidR="00C13FFB" w:rsidRPr="003F2DB9">
        <w:rPr>
          <w:rFonts w:ascii="Times New Roman" w:eastAsia="Times New Roman" w:hAnsi="Times New Roman" w:cs="Times New Roman"/>
          <w:sz w:val="20"/>
          <w:szCs w:val="20"/>
        </w:rPr>
        <w:t>G</w:t>
      </w:r>
      <w:r w:rsidRPr="003F2DB9">
        <w:rPr>
          <w:rFonts w:ascii="Times New Roman" w:eastAsia="Times New Roman" w:hAnsi="Times New Roman" w:cs="Times New Roman"/>
          <w:sz w:val="20"/>
          <w:szCs w:val="20"/>
        </w:rPr>
        <w:t xml:space="preserve">reen </w:t>
      </w:r>
      <w:r w:rsidR="00C13FFB" w:rsidRPr="003F2DB9">
        <w:rPr>
          <w:rFonts w:ascii="Times New Roman" w:eastAsia="Times New Roman" w:hAnsi="Times New Roman" w:cs="Times New Roman"/>
          <w:sz w:val="20"/>
          <w:szCs w:val="20"/>
        </w:rPr>
        <w:t>Internet</w:t>
      </w:r>
      <w:r w:rsidRPr="003F2DB9">
        <w:rPr>
          <w:rFonts w:ascii="Times New Roman" w:eastAsia="Times New Roman" w:hAnsi="Times New Roman" w:cs="Times New Roman"/>
          <w:sz w:val="20"/>
          <w:szCs w:val="20"/>
        </w:rPr>
        <w:t xml:space="preserve"> of </w:t>
      </w:r>
      <w:r w:rsidR="00C13FFB" w:rsidRPr="003F2DB9">
        <w:rPr>
          <w:rFonts w:ascii="Times New Roman" w:eastAsia="Times New Roman" w:hAnsi="Times New Roman" w:cs="Times New Roman"/>
          <w:sz w:val="20"/>
          <w:szCs w:val="20"/>
        </w:rPr>
        <w:t>Things</w:t>
      </w:r>
      <w:r w:rsidRPr="003F2DB9">
        <w:rPr>
          <w:rFonts w:ascii="Times New Roman" w:eastAsia="Times New Roman" w:hAnsi="Times New Roman" w:cs="Times New Roman"/>
          <w:sz w:val="20"/>
          <w:szCs w:val="20"/>
        </w:rPr>
        <w:t xml:space="preserve"> (G-IoT) efforts in promoting sustainability and protecting the environment through technological progress. Green IoT refers to the production, design, and disposal of computers and servers, as well as their more efficient and frequent use, with </w:t>
      </w:r>
      <w:r w:rsidR="00C13FFB" w:rsidRPr="003F2DB9">
        <w:rPr>
          <w:rFonts w:ascii="Times New Roman" w:eastAsia="Times New Roman" w:hAnsi="Times New Roman" w:cs="Times New Roman"/>
          <w:sz w:val="20"/>
          <w:szCs w:val="20"/>
        </w:rPr>
        <w:t xml:space="preserve">a </w:t>
      </w:r>
      <w:r w:rsidRPr="003F2DB9">
        <w:rPr>
          <w:rFonts w:ascii="Times New Roman" w:eastAsia="Times New Roman" w:hAnsi="Times New Roman" w:cs="Times New Roman"/>
          <w:sz w:val="20"/>
          <w:szCs w:val="20"/>
        </w:rPr>
        <w:t xml:space="preserve">less negative impact on both society and the environment </w:t>
      </w:r>
      <w:r w:rsidR="006C2B06" w:rsidRPr="003F2DB9">
        <w:rPr>
          <w:rFonts w:ascii="Times New Roman" w:eastAsia="Times New Roman" w:hAnsi="Times New Roman" w:cs="Times New Roman"/>
          <w:sz w:val="20"/>
          <w:szCs w:val="20"/>
        </w:rPr>
        <w:t>[2</w:t>
      </w:r>
      <w:r w:rsidR="00B82135" w:rsidRPr="003F2DB9">
        <w:rPr>
          <w:rFonts w:ascii="Times New Roman" w:eastAsia="Times New Roman" w:hAnsi="Times New Roman" w:cs="Times New Roman"/>
          <w:sz w:val="20"/>
          <w:szCs w:val="20"/>
        </w:rPr>
        <w:t>5</w:t>
      </w:r>
      <w:r w:rsidR="006C2B06" w:rsidRPr="003F2DB9">
        <w:rPr>
          <w:rFonts w:ascii="Times New Roman" w:eastAsia="Times New Roman" w:hAnsi="Times New Roman" w:cs="Times New Roman"/>
          <w:sz w:val="20"/>
          <w:szCs w:val="20"/>
        </w:rPr>
        <w:t>]</w:t>
      </w:r>
      <w:r w:rsidRPr="003F2DB9">
        <w:rPr>
          <w:rFonts w:ascii="Times New Roman" w:eastAsia="Times New Roman" w:hAnsi="Times New Roman" w:cs="Times New Roman"/>
          <w:sz w:val="20"/>
          <w:szCs w:val="20"/>
        </w:rPr>
        <w:t xml:space="preserve">. However, constructing green buildings requires more investment compared to conventional building construction, and in the Massachusetts market, it costs between 0.7% to 6.5% more </w:t>
      </w:r>
      <w:r w:rsidR="006C2B06" w:rsidRPr="003F2DB9">
        <w:rPr>
          <w:rFonts w:ascii="Times New Roman" w:eastAsia="Times New Roman" w:hAnsi="Times New Roman" w:cs="Times New Roman"/>
          <w:sz w:val="20"/>
          <w:szCs w:val="20"/>
        </w:rPr>
        <w:t>[2</w:t>
      </w:r>
      <w:r w:rsidR="00B82135" w:rsidRPr="003F2DB9">
        <w:rPr>
          <w:rFonts w:ascii="Times New Roman" w:eastAsia="Times New Roman" w:hAnsi="Times New Roman" w:cs="Times New Roman"/>
          <w:sz w:val="20"/>
          <w:szCs w:val="20"/>
        </w:rPr>
        <w:t>6</w:t>
      </w:r>
      <w:r w:rsidR="006C2B06" w:rsidRPr="003F2DB9">
        <w:rPr>
          <w:rFonts w:ascii="Times New Roman" w:eastAsia="Times New Roman" w:hAnsi="Times New Roman" w:cs="Times New Roman"/>
          <w:sz w:val="20"/>
          <w:szCs w:val="20"/>
        </w:rPr>
        <w:t>]</w:t>
      </w:r>
      <w:r w:rsidRPr="003F2DB9">
        <w:rPr>
          <w:rFonts w:ascii="Times New Roman" w:eastAsia="Times New Roman" w:hAnsi="Times New Roman" w:cs="Times New Roman"/>
          <w:sz w:val="20"/>
          <w:szCs w:val="20"/>
        </w:rPr>
        <w:t xml:space="preserve">. </w:t>
      </w:r>
      <w:r w:rsidR="00770576" w:rsidRPr="003F2DB9">
        <w:rPr>
          <w:rFonts w:ascii="Times New Roman" w:eastAsia="Times New Roman" w:hAnsi="Times New Roman" w:cs="Times New Roman"/>
          <w:sz w:val="20"/>
          <w:szCs w:val="20"/>
        </w:rPr>
        <w:t xml:space="preserve">Further to the previous finding, a different study showed that the building type, project location, regional climate, site conditions, and the design team's expertise all have an impact on how much it costs to incorporate sustainable design elements into a conventional building construction </w:t>
      </w:r>
      <w:r w:rsidR="006C2B06" w:rsidRPr="003F2DB9">
        <w:rPr>
          <w:rFonts w:ascii="Times New Roman" w:eastAsia="Times New Roman" w:hAnsi="Times New Roman" w:cs="Times New Roman"/>
          <w:sz w:val="20"/>
          <w:szCs w:val="20"/>
        </w:rPr>
        <w:t>[2</w:t>
      </w:r>
      <w:r w:rsidR="00B82135" w:rsidRPr="003F2DB9">
        <w:rPr>
          <w:rFonts w:ascii="Times New Roman" w:eastAsia="Times New Roman" w:hAnsi="Times New Roman" w:cs="Times New Roman"/>
          <w:sz w:val="20"/>
          <w:szCs w:val="20"/>
        </w:rPr>
        <w:t>7</w:t>
      </w:r>
      <w:r w:rsidR="006C2B06" w:rsidRPr="003F2DB9">
        <w:rPr>
          <w:rFonts w:ascii="Times New Roman" w:eastAsia="Times New Roman" w:hAnsi="Times New Roman" w:cs="Times New Roman"/>
          <w:sz w:val="20"/>
          <w:szCs w:val="20"/>
        </w:rPr>
        <w:t>]</w:t>
      </w:r>
      <w:r w:rsidR="00770576" w:rsidRPr="003F2DB9">
        <w:rPr>
          <w:rFonts w:ascii="Times New Roman" w:eastAsia="Times New Roman" w:hAnsi="Times New Roman" w:cs="Times New Roman"/>
          <w:sz w:val="20"/>
          <w:szCs w:val="20"/>
        </w:rPr>
        <w:t xml:space="preserve">. </w:t>
      </w:r>
      <w:r w:rsidR="001172E7" w:rsidRPr="003F2DB9">
        <w:rPr>
          <w:rFonts w:ascii="Times New Roman" w:eastAsia="Times New Roman" w:hAnsi="Times New Roman" w:cs="Times New Roman"/>
          <w:sz w:val="20"/>
          <w:szCs w:val="20"/>
        </w:rPr>
        <w:t>Hence, it is crucial to evaluate the economic feasibility of investing in green buildings through a comprehensive analysis of their value and viability.</w:t>
      </w:r>
      <w:r w:rsidRPr="003F2DB9">
        <w:rPr>
          <w:rFonts w:ascii="Times New Roman" w:eastAsia="Times New Roman" w:hAnsi="Times New Roman" w:cs="Times New Roman"/>
          <w:vanish/>
          <w:sz w:val="20"/>
          <w:szCs w:val="20"/>
        </w:rPr>
        <w:t>Top of Form</w:t>
      </w:r>
    </w:p>
    <w:p w14:paraId="6E25BB3F" w14:textId="21207CE8" w:rsidR="0060347D" w:rsidRPr="003F2DB9" w:rsidRDefault="0060347D" w:rsidP="0060347D">
      <w:pPr>
        <w:shd w:val="clear" w:color="auto" w:fill="FFFFFF"/>
        <w:spacing w:after="150" w:line="240" w:lineRule="auto"/>
        <w:jc w:val="both"/>
        <w:rPr>
          <w:rFonts w:ascii="Times New Roman" w:eastAsia="Times New Roman" w:hAnsi="Times New Roman" w:cs="Times New Roman"/>
          <w:sz w:val="20"/>
          <w:szCs w:val="20"/>
        </w:rPr>
      </w:pPr>
    </w:p>
    <w:p w14:paraId="6693405D" w14:textId="32277055" w:rsidR="00140A23" w:rsidRPr="003F2DB9" w:rsidRDefault="008E370D" w:rsidP="00875B17">
      <w:pPr>
        <w:shd w:val="clear" w:color="auto" w:fill="FFFFFF"/>
        <w:spacing w:after="150" w:line="240" w:lineRule="auto"/>
        <w:jc w:val="both"/>
        <w:rPr>
          <w:rFonts w:ascii="Times New Roman" w:eastAsia="Times New Roman" w:hAnsi="Times New Roman" w:cs="Times New Roman"/>
          <w:sz w:val="20"/>
          <w:szCs w:val="20"/>
        </w:rPr>
      </w:pPr>
      <w:r w:rsidRPr="003F2DB9">
        <w:rPr>
          <w:rFonts w:ascii="Times New Roman" w:eastAsia="Times New Roman" w:hAnsi="Times New Roman" w:cs="Times New Roman"/>
          <w:sz w:val="20"/>
          <w:szCs w:val="20"/>
        </w:rPr>
        <w:t xml:space="preserve">On the other hand, </w:t>
      </w:r>
      <w:r w:rsidR="0060347D" w:rsidRPr="003F2DB9">
        <w:rPr>
          <w:rFonts w:ascii="Times New Roman" w:eastAsia="Times New Roman" w:hAnsi="Times New Roman" w:cs="Times New Roman"/>
          <w:sz w:val="20"/>
          <w:szCs w:val="20"/>
        </w:rPr>
        <w:t>the advantages of green building incentives are either speculative or challenging to quantify</w:t>
      </w:r>
      <w:r w:rsidR="0097464B" w:rsidRPr="003F2DB9">
        <w:rPr>
          <w:rFonts w:ascii="Times New Roman" w:eastAsia="Times New Roman" w:hAnsi="Times New Roman" w:cs="Times New Roman"/>
          <w:sz w:val="20"/>
          <w:szCs w:val="20"/>
        </w:rPr>
        <w:t xml:space="preserve"> [28]</w:t>
      </w:r>
      <w:r w:rsidR="00790D07" w:rsidRPr="003F2DB9">
        <w:rPr>
          <w:rFonts w:ascii="Times New Roman" w:eastAsia="Times New Roman" w:hAnsi="Times New Roman" w:cs="Times New Roman"/>
          <w:sz w:val="20"/>
          <w:szCs w:val="20"/>
        </w:rPr>
        <w:t xml:space="preserve">. </w:t>
      </w:r>
      <w:r w:rsidR="00853ED1" w:rsidRPr="003F2DB9">
        <w:rPr>
          <w:rFonts w:ascii="Times New Roman" w:eastAsia="Times New Roman" w:hAnsi="Times New Roman" w:cs="Times New Roman"/>
          <w:sz w:val="20"/>
          <w:szCs w:val="20"/>
        </w:rPr>
        <w:t xml:space="preserve">However, </w:t>
      </w:r>
      <w:r w:rsidR="0097464B" w:rsidRPr="003F2DB9">
        <w:rPr>
          <w:rFonts w:ascii="Times New Roman" w:eastAsia="Times New Roman" w:hAnsi="Times New Roman" w:cs="Times New Roman"/>
          <w:sz w:val="20"/>
          <w:szCs w:val="20"/>
        </w:rPr>
        <w:t>[29]</w:t>
      </w:r>
      <w:r w:rsidR="00853ED1" w:rsidRPr="003F2DB9">
        <w:rPr>
          <w:rFonts w:ascii="Times New Roman" w:eastAsia="Times New Roman" w:hAnsi="Times New Roman" w:cs="Times New Roman"/>
          <w:sz w:val="20"/>
          <w:szCs w:val="20"/>
        </w:rPr>
        <w:t xml:space="preserve"> reported that IoT can help overcome some of these challenges by providing real-time data on building performance and facilitating better decision-making. Furthermore, </w:t>
      </w:r>
      <w:r w:rsidR="0097464B" w:rsidRPr="003F2DB9">
        <w:rPr>
          <w:rFonts w:ascii="Times New Roman" w:eastAsia="Times New Roman" w:hAnsi="Times New Roman" w:cs="Times New Roman"/>
          <w:sz w:val="20"/>
          <w:szCs w:val="20"/>
        </w:rPr>
        <w:t xml:space="preserve">[30] </w:t>
      </w:r>
      <w:r w:rsidR="00853ED1" w:rsidRPr="003F2DB9">
        <w:rPr>
          <w:rFonts w:ascii="Times New Roman" w:eastAsia="Times New Roman" w:hAnsi="Times New Roman" w:cs="Times New Roman"/>
          <w:sz w:val="20"/>
          <w:szCs w:val="20"/>
        </w:rPr>
        <w:t>reported that IoT technologies can enable real-time monitoring and optimization of building systems, leading to significant energy savings and reduced environmental impact.</w:t>
      </w:r>
      <w:r w:rsidR="00F50878" w:rsidRPr="003F2DB9">
        <w:rPr>
          <w:rFonts w:ascii="Times New Roman" w:eastAsia="Times New Roman" w:hAnsi="Times New Roman" w:cs="Times New Roman"/>
          <w:sz w:val="20"/>
          <w:szCs w:val="20"/>
        </w:rPr>
        <w:t xml:space="preserve"> </w:t>
      </w:r>
      <w:r w:rsidRPr="003F2DB9">
        <w:rPr>
          <w:rFonts w:ascii="Times New Roman" w:eastAsia="Times New Roman" w:hAnsi="Times New Roman" w:cs="Times New Roman"/>
          <w:sz w:val="20"/>
          <w:szCs w:val="20"/>
        </w:rPr>
        <w:t>A systematic review undertaken by</w:t>
      </w:r>
      <w:r w:rsidR="002614DB" w:rsidRPr="003F2DB9">
        <w:rPr>
          <w:rFonts w:ascii="Times New Roman" w:eastAsia="Times New Roman" w:hAnsi="Times New Roman" w:cs="Times New Roman"/>
          <w:sz w:val="20"/>
          <w:szCs w:val="20"/>
        </w:rPr>
        <w:t xml:space="preserve"> [31]</w:t>
      </w:r>
      <w:r w:rsidR="00451356" w:rsidRPr="003F2DB9">
        <w:rPr>
          <w:rFonts w:ascii="Times New Roman" w:eastAsia="Times New Roman" w:hAnsi="Times New Roman" w:cs="Times New Roman"/>
          <w:sz w:val="20"/>
          <w:szCs w:val="20"/>
        </w:rPr>
        <w:t>,</w:t>
      </w:r>
      <w:r w:rsidRPr="003F2DB9">
        <w:rPr>
          <w:rFonts w:ascii="Times New Roman" w:eastAsia="Times New Roman" w:hAnsi="Times New Roman" w:cs="Times New Roman"/>
          <w:sz w:val="20"/>
          <w:szCs w:val="20"/>
        </w:rPr>
        <w:t xml:space="preserve"> divided green building incentives into two primary forms, namely external and internal rewards. </w:t>
      </w:r>
      <w:r w:rsidR="004618F4" w:rsidRPr="003F2DB9">
        <w:rPr>
          <w:rFonts w:ascii="Times New Roman" w:eastAsia="Times New Roman" w:hAnsi="Times New Roman" w:cs="Times New Roman"/>
          <w:sz w:val="20"/>
          <w:szCs w:val="20"/>
        </w:rPr>
        <w:t xml:space="preserve">Internal rewards are provided to recipients willingly, as opposed to external incentives, which require creators to meet </w:t>
      </w:r>
      <w:proofErr w:type="gramStart"/>
      <w:r w:rsidR="004618F4" w:rsidRPr="003F2DB9">
        <w:rPr>
          <w:rFonts w:ascii="Times New Roman" w:eastAsia="Times New Roman" w:hAnsi="Times New Roman" w:cs="Times New Roman"/>
          <w:sz w:val="20"/>
          <w:szCs w:val="20"/>
        </w:rPr>
        <w:t>particular criteria</w:t>
      </w:r>
      <w:proofErr w:type="gramEnd"/>
      <w:r w:rsidR="004618F4" w:rsidRPr="003F2DB9">
        <w:rPr>
          <w:rFonts w:ascii="Times New Roman" w:eastAsia="Times New Roman" w:hAnsi="Times New Roman" w:cs="Times New Roman"/>
          <w:sz w:val="20"/>
          <w:szCs w:val="20"/>
        </w:rPr>
        <w:t xml:space="preserve"> </w:t>
      </w:r>
      <w:proofErr w:type="gramStart"/>
      <w:r w:rsidR="004618F4" w:rsidRPr="003F2DB9">
        <w:rPr>
          <w:rFonts w:ascii="Times New Roman" w:eastAsia="Times New Roman" w:hAnsi="Times New Roman" w:cs="Times New Roman"/>
          <w:sz w:val="20"/>
          <w:szCs w:val="20"/>
        </w:rPr>
        <w:t>in order to</w:t>
      </w:r>
      <w:proofErr w:type="gramEnd"/>
      <w:r w:rsidR="004618F4" w:rsidRPr="003F2DB9">
        <w:rPr>
          <w:rFonts w:ascii="Times New Roman" w:eastAsia="Times New Roman" w:hAnsi="Times New Roman" w:cs="Times New Roman"/>
          <w:sz w:val="20"/>
          <w:szCs w:val="20"/>
        </w:rPr>
        <w:t xml:space="preserve"> receive rewards. </w:t>
      </w:r>
      <w:r w:rsidR="0060347D" w:rsidRPr="003F2DB9">
        <w:rPr>
          <w:rFonts w:ascii="Times New Roman" w:eastAsia="Times New Roman" w:hAnsi="Times New Roman" w:cs="Times New Roman"/>
          <w:sz w:val="20"/>
          <w:szCs w:val="20"/>
        </w:rPr>
        <w:t xml:space="preserve">Financial and non-financial incentives fall under external incentives, which are all related to monetary gain. </w:t>
      </w:r>
      <w:r w:rsidR="00003066" w:rsidRPr="003F2DB9">
        <w:rPr>
          <w:rFonts w:ascii="Times New Roman" w:eastAsia="Times New Roman" w:hAnsi="Times New Roman" w:cs="Times New Roman"/>
          <w:sz w:val="20"/>
          <w:szCs w:val="20"/>
        </w:rPr>
        <w:t>Non-financial incentives in developed markets include accelerated building permit licenses, a higher buildable area in comparison to land area, and increased rentable area in proportion to the total floor area.</w:t>
      </w:r>
      <w:r w:rsidR="00140A23" w:rsidRPr="003F2DB9">
        <w:rPr>
          <w:rFonts w:ascii="Times New Roman" w:eastAsia="Times New Roman" w:hAnsi="Times New Roman" w:cs="Times New Roman"/>
          <w:sz w:val="20"/>
          <w:szCs w:val="20"/>
        </w:rPr>
        <w:t xml:space="preserve"> </w:t>
      </w:r>
    </w:p>
    <w:p w14:paraId="4403B6F9" w14:textId="73284702" w:rsidR="0060347D" w:rsidRPr="003F2DB9" w:rsidRDefault="0060347D" w:rsidP="00875B17">
      <w:pPr>
        <w:shd w:val="clear" w:color="auto" w:fill="FFFFFF"/>
        <w:spacing w:after="150" w:line="240" w:lineRule="auto"/>
        <w:jc w:val="both"/>
        <w:rPr>
          <w:rFonts w:ascii="Times New Roman" w:eastAsia="Times New Roman" w:hAnsi="Times New Roman" w:cs="Times New Roman"/>
          <w:sz w:val="20"/>
          <w:szCs w:val="20"/>
        </w:rPr>
      </w:pPr>
      <w:r w:rsidRPr="003F2DB9">
        <w:rPr>
          <w:rFonts w:ascii="Times New Roman" w:eastAsia="Times New Roman" w:hAnsi="Times New Roman" w:cs="Times New Roman"/>
          <w:sz w:val="20"/>
          <w:szCs w:val="20"/>
        </w:rPr>
        <w:t>As previously mentioned, there are multiple avenues through which tenants can reap financial and other advantages by occupying a green building. However, the number of green developments is still relatively low in comparison to total projects. Therefore, it is crucial to determine whether developers who invested in green buildings received the promised incentives from governments and the market, such as a special incentive from tenants.</w:t>
      </w:r>
      <w:r w:rsidR="00BC1AB9" w:rsidRPr="003F2DB9">
        <w:rPr>
          <w:rFonts w:ascii="Times New Roman" w:eastAsia="Times New Roman" w:hAnsi="Times New Roman" w:cs="Times New Roman"/>
          <w:sz w:val="20"/>
          <w:szCs w:val="20"/>
        </w:rPr>
        <w:t xml:space="preserve"> The available literature on the anticipated incentives for green building development is evaluated critically in this study, with an emphasis on elements such as higher occupancy rates and increased rental rates.</w:t>
      </w:r>
    </w:p>
    <w:p w14:paraId="376F6967" w14:textId="77777777" w:rsidR="006A3B7F" w:rsidRPr="003F2DB9" w:rsidRDefault="006A3B7F" w:rsidP="006A3B7F">
      <w:pPr>
        <w:shd w:val="clear" w:color="auto" w:fill="FFFFFF"/>
        <w:spacing w:after="150" w:line="240" w:lineRule="auto"/>
        <w:rPr>
          <w:rFonts w:ascii="Times New Roman" w:eastAsia="Times New Roman" w:hAnsi="Times New Roman" w:cs="Times New Roman"/>
          <w:sz w:val="21"/>
          <w:szCs w:val="21"/>
        </w:rPr>
      </w:pPr>
    </w:p>
    <w:p w14:paraId="376F6968" w14:textId="13BF33BC" w:rsidR="006A3B7F" w:rsidRPr="003F2DB9" w:rsidRDefault="006A3B7F" w:rsidP="006A3B7F">
      <w:pPr>
        <w:shd w:val="clear" w:color="auto" w:fill="FFFFFF"/>
        <w:spacing w:after="150" w:line="240" w:lineRule="auto"/>
        <w:rPr>
          <w:rFonts w:ascii="Times New Roman" w:eastAsia="Times New Roman" w:hAnsi="Times New Roman" w:cs="Times New Roman"/>
          <w:sz w:val="20"/>
          <w:szCs w:val="20"/>
        </w:rPr>
      </w:pPr>
      <w:r w:rsidRPr="003F2DB9">
        <w:rPr>
          <w:rFonts w:ascii="Times New Roman" w:eastAsia="Times New Roman" w:hAnsi="Times New Roman" w:cs="Times New Roman"/>
          <w:sz w:val="20"/>
          <w:szCs w:val="20"/>
        </w:rPr>
        <w:t>III. RESEARCH METHODOLOGY</w:t>
      </w:r>
    </w:p>
    <w:p w14:paraId="1564A978" w14:textId="2E0D4316" w:rsidR="0060347D" w:rsidRPr="003F2DB9" w:rsidRDefault="0060347D" w:rsidP="00875B17">
      <w:pPr>
        <w:jc w:val="both"/>
        <w:rPr>
          <w:rFonts w:ascii="Times New Roman" w:hAnsi="Times New Roman" w:cs="Times New Roman"/>
          <w:bCs/>
          <w:kern w:val="28"/>
          <w:sz w:val="20"/>
          <w:szCs w:val="20"/>
          <w:lang w:eastAsia="en-US"/>
        </w:rPr>
      </w:pPr>
      <w:r w:rsidRPr="003F2DB9">
        <w:rPr>
          <w:rFonts w:ascii="Times New Roman" w:hAnsi="Times New Roman" w:cs="Times New Roman"/>
          <w:bCs/>
          <w:kern w:val="28"/>
          <w:sz w:val="20"/>
          <w:szCs w:val="20"/>
          <w:lang w:eastAsia="en-US"/>
        </w:rPr>
        <w:t xml:space="preserve">The objective of this literature review </w:t>
      </w:r>
      <w:r w:rsidR="00B912D8" w:rsidRPr="003F2DB9">
        <w:rPr>
          <w:rFonts w:ascii="Times New Roman" w:hAnsi="Times New Roman" w:cs="Times New Roman"/>
          <w:bCs/>
          <w:kern w:val="28"/>
          <w:sz w:val="20"/>
          <w:szCs w:val="20"/>
          <w:lang w:eastAsia="en-US"/>
        </w:rPr>
        <w:t xml:space="preserve">study </w:t>
      </w:r>
      <w:r w:rsidRPr="003F2DB9">
        <w:rPr>
          <w:rFonts w:ascii="Times New Roman" w:hAnsi="Times New Roman" w:cs="Times New Roman"/>
          <w:bCs/>
          <w:kern w:val="28"/>
          <w:sz w:val="20"/>
          <w:szCs w:val="20"/>
          <w:lang w:eastAsia="en-US"/>
        </w:rPr>
        <w:t xml:space="preserve">is to explore the anticipated </w:t>
      </w:r>
      <w:r w:rsidR="00B912D8" w:rsidRPr="003F2DB9">
        <w:rPr>
          <w:rFonts w:ascii="Times New Roman" w:hAnsi="Times New Roman" w:cs="Times New Roman"/>
          <w:bCs/>
          <w:kern w:val="28"/>
          <w:sz w:val="20"/>
          <w:szCs w:val="20"/>
          <w:lang w:eastAsia="en-US"/>
        </w:rPr>
        <w:t>reward</w:t>
      </w:r>
      <w:r w:rsidRPr="003F2DB9">
        <w:rPr>
          <w:rFonts w:ascii="Times New Roman" w:hAnsi="Times New Roman" w:cs="Times New Roman"/>
          <w:bCs/>
          <w:kern w:val="28"/>
          <w:sz w:val="20"/>
          <w:szCs w:val="20"/>
          <w:lang w:eastAsia="en-US"/>
        </w:rPr>
        <w:t xml:space="preserve"> for </w:t>
      </w:r>
      <w:r w:rsidR="00B912D8" w:rsidRPr="003F2DB9">
        <w:rPr>
          <w:rFonts w:ascii="Times New Roman" w:hAnsi="Times New Roman" w:cs="Times New Roman"/>
          <w:bCs/>
          <w:kern w:val="28"/>
          <w:sz w:val="20"/>
          <w:szCs w:val="20"/>
          <w:lang w:eastAsia="en-US"/>
        </w:rPr>
        <w:t xml:space="preserve">the development of </w:t>
      </w:r>
      <w:r w:rsidRPr="003F2DB9">
        <w:rPr>
          <w:rFonts w:ascii="Times New Roman" w:hAnsi="Times New Roman" w:cs="Times New Roman"/>
          <w:bCs/>
          <w:kern w:val="28"/>
          <w:sz w:val="20"/>
          <w:szCs w:val="20"/>
          <w:lang w:eastAsia="en-US"/>
        </w:rPr>
        <w:t>green building through the lens of premium rates</w:t>
      </w:r>
      <w:r w:rsidR="00B912D8" w:rsidRPr="003F2DB9">
        <w:rPr>
          <w:rFonts w:ascii="Times New Roman" w:hAnsi="Times New Roman" w:cs="Times New Roman"/>
          <w:bCs/>
          <w:kern w:val="28"/>
          <w:sz w:val="20"/>
          <w:szCs w:val="20"/>
          <w:lang w:eastAsia="en-US"/>
        </w:rPr>
        <w:t xml:space="preserve"> for rentals</w:t>
      </w:r>
      <w:r w:rsidRPr="003F2DB9">
        <w:rPr>
          <w:rFonts w:ascii="Times New Roman" w:hAnsi="Times New Roman" w:cs="Times New Roman"/>
          <w:bCs/>
          <w:kern w:val="28"/>
          <w:sz w:val="20"/>
          <w:szCs w:val="20"/>
          <w:lang w:eastAsia="en-US"/>
        </w:rPr>
        <w:t>. The study involves an examination and analysis of existing research p</w:t>
      </w:r>
      <w:r w:rsidR="00B912D8" w:rsidRPr="003F2DB9">
        <w:rPr>
          <w:rFonts w:ascii="Times New Roman" w:hAnsi="Times New Roman" w:cs="Times New Roman"/>
          <w:bCs/>
          <w:kern w:val="28"/>
          <w:sz w:val="20"/>
          <w:szCs w:val="20"/>
          <w:lang w:eastAsia="en-US"/>
        </w:rPr>
        <w:t>ublications</w:t>
      </w:r>
      <w:r w:rsidRPr="003F2DB9">
        <w:rPr>
          <w:rFonts w:ascii="Times New Roman" w:hAnsi="Times New Roman" w:cs="Times New Roman"/>
          <w:bCs/>
          <w:kern w:val="28"/>
          <w:sz w:val="20"/>
          <w:szCs w:val="20"/>
          <w:lang w:eastAsia="en-US"/>
        </w:rPr>
        <w:t xml:space="preserve"> that </w:t>
      </w:r>
      <w:r w:rsidR="00B912D8" w:rsidRPr="003F2DB9">
        <w:rPr>
          <w:rFonts w:ascii="Times New Roman" w:hAnsi="Times New Roman" w:cs="Times New Roman"/>
          <w:bCs/>
          <w:kern w:val="28"/>
          <w:sz w:val="20"/>
          <w:szCs w:val="20"/>
          <w:lang w:eastAsia="en-US"/>
        </w:rPr>
        <w:t>correlate</w:t>
      </w:r>
      <w:r w:rsidRPr="003F2DB9">
        <w:rPr>
          <w:rFonts w:ascii="Times New Roman" w:hAnsi="Times New Roman" w:cs="Times New Roman"/>
          <w:bCs/>
          <w:kern w:val="28"/>
          <w:sz w:val="20"/>
          <w:szCs w:val="20"/>
          <w:lang w:eastAsia="en-US"/>
        </w:rPr>
        <w:t xml:space="preserve"> rental rates between green-certified buildings and </w:t>
      </w:r>
      <w:proofErr w:type="gramStart"/>
      <w:r w:rsidRPr="003F2DB9">
        <w:rPr>
          <w:rFonts w:ascii="Times New Roman" w:hAnsi="Times New Roman" w:cs="Times New Roman"/>
          <w:bCs/>
          <w:kern w:val="28"/>
          <w:sz w:val="20"/>
          <w:szCs w:val="20"/>
          <w:lang w:eastAsia="en-US"/>
        </w:rPr>
        <w:t>non-green-certified</w:t>
      </w:r>
      <w:proofErr w:type="gramEnd"/>
      <w:r w:rsidRPr="003F2DB9">
        <w:rPr>
          <w:rFonts w:ascii="Times New Roman" w:hAnsi="Times New Roman" w:cs="Times New Roman"/>
          <w:bCs/>
          <w:kern w:val="28"/>
          <w:sz w:val="20"/>
          <w:szCs w:val="20"/>
          <w:lang w:eastAsia="en-US"/>
        </w:rPr>
        <w:t xml:space="preserve"> buildings. The geographical scope of this review study is not limited but rather based on </w:t>
      </w:r>
      <w:r w:rsidR="00EA519C" w:rsidRPr="003F2DB9">
        <w:rPr>
          <w:rFonts w:ascii="Times New Roman" w:hAnsi="Times New Roman" w:cs="Times New Roman"/>
          <w:bCs/>
          <w:kern w:val="28"/>
          <w:sz w:val="20"/>
          <w:szCs w:val="20"/>
          <w:lang w:eastAsia="en-US"/>
        </w:rPr>
        <w:t xml:space="preserve">literature data from published sources spanning from 2003 to 2021. </w:t>
      </w:r>
      <w:r w:rsidRPr="003F2DB9">
        <w:rPr>
          <w:rFonts w:ascii="Times New Roman" w:hAnsi="Times New Roman" w:cs="Times New Roman"/>
          <w:bCs/>
          <w:kern w:val="28"/>
          <w:sz w:val="20"/>
          <w:szCs w:val="20"/>
          <w:lang w:eastAsia="en-US"/>
        </w:rPr>
        <w:t xml:space="preserve">The paper utilizes a systematic review methodology, illustrated in Figure 1. </w:t>
      </w:r>
      <w:r w:rsidR="002614DB" w:rsidRPr="003F2DB9">
        <w:rPr>
          <w:rFonts w:ascii="Times New Roman" w:hAnsi="Times New Roman" w:cs="Times New Roman"/>
          <w:bCs/>
          <w:kern w:val="28"/>
          <w:sz w:val="20"/>
          <w:szCs w:val="20"/>
          <w:lang w:eastAsia="en-US"/>
        </w:rPr>
        <w:t xml:space="preserve">[32] </w:t>
      </w:r>
      <w:r w:rsidR="00B507AB" w:rsidRPr="003F2DB9">
        <w:rPr>
          <w:rFonts w:ascii="Times New Roman" w:hAnsi="Times New Roman" w:cs="Times New Roman"/>
          <w:bCs/>
          <w:kern w:val="28"/>
          <w:sz w:val="20"/>
          <w:szCs w:val="20"/>
          <w:lang w:eastAsia="en-US"/>
        </w:rPr>
        <w:t xml:space="preserve">utilized a similar methodology in their study conducted in the USA, which aimed to investigate "the impact of green certification on the cash flow and values of commercial buildings" through a review study. </w:t>
      </w:r>
      <w:r w:rsidRPr="003F2DB9">
        <w:rPr>
          <w:rFonts w:ascii="Times New Roman" w:hAnsi="Times New Roman" w:cs="Times New Roman"/>
          <w:bCs/>
          <w:kern w:val="28"/>
          <w:sz w:val="20"/>
          <w:szCs w:val="20"/>
          <w:lang w:eastAsia="en-US"/>
        </w:rPr>
        <w:t>The initial step involved conducting an electronic search using Google Scholar and Scopus, utilizing keywords such as "effect of green building certification on rental rate office space" in various combinations of Boolean operators</w:t>
      </w:r>
      <w:r w:rsidR="00F50878" w:rsidRPr="003F2DB9">
        <w:rPr>
          <w:rFonts w:ascii="Times New Roman" w:hAnsi="Times New Roman" w:cs="Times New Roman"/>
          <w:bCs/>
          <w:kern w:val="28"/>
          <w:sz w:val="20"/>
          <w:szCs w:val="20"/>
          <w:lang w:eastAsia="en-US"/>
        </w:rPr>
        <w:t xml:space="preserve"> as shown below</w:t>
      </w:r>
      <w:r w:rsidRPr="003F2DB9">
        <w:rPr>
          <w:rFonts w:ascii="Times New Roman" w:hAnsi="Times New Roman" w:cs="Times New Roman"/>
          <w:bCs/>
          <w:kern w:val="28"/>
          <w:sz w:val="20"/>
          <w:szCs w:val="20"/>
          <w:lang w:eastAsia="en-US"/>
        </w:rPr>
        <w:t>.</w:t>
      </w:r>
    </w:p>
    <w:p w14:paraId="1CBCD1D3" w14:textId="6D426822" w:rsidR="00875B17" w:rsidRPr="003F2DB9" w:rsidRDefault="00875B17" w:rsidP="00875B17">
      <w:pPr>
        <w:rPr>
          <w:rFonts w:ascii="Times New Roman" w:hAnsi="Times New Roman" w:cs="Times New Roman"/>
          <w:bCs/>
          <w:kern w:val="28"/>
          <w:sz w:val="20"/>
          <w:szCs w:val="20"/>
          <w:lang w:eastAsia="en-US"/>
        </w:rPr>
      </w:pPr>
      <w:r w:rsidRPr="003F2DB9">
        <w:rPr>
          <w:rFonts w:ascii="Times New Roman" w:hAnsi="Times New Roman" w:cs="Times New Roman"/>
          <w:bCs/>
          <w:kern w:val="28"/>
          <w:sz w:val="20"/>
          <w:szCs w:val="20"/>
          <w:lang w:eastAsia="en-US"/>
        </w:rPr>
        <w:t>•</w:t>
      </w:r>
      <w:r w:rsidRPr="003F2DB9">
        <w:rPr>
          <w:rFonts w:ascii="Times New Roman" w:hAnsi="Times New Roman" w:cs="Times New Roman"/>
          <w:bCs/>
          <w:kern w:val="28"/>
          <w:sz w:val="20"/>
          <w:szCs w:val="20"/>
          <w:lang w:eastAsia="en-US"/>
        </w:rPr>
        <w:tab/>
        <w:t>Green certification, green label</w:t>
      </w:r>
      <w:r w:rsidR="005E13CB" w:rsidRPr="003F2DB9">
        <w:rPr>
          <w:rFonts w:ascii="Times New Roman" w:hAnsi="Times New Roman" w:cs="Times New Roman"/>
          <w:bCs/>
          <w:kern w:val="28"/>
          <w:sz w:val="20"/>
          <w:szCs w:val="20"/>
          <w:lang w:eastAsia="en-US"/>
        </w:rPr>
        <w:t>, eco-labelling</w:t>
      </w:r>
    </w:p>
    <w:p w14:paraId="12CA559C" w14:textId="1B918A7D" w:rsidR="00875B17" w:rsidRPr="003F2DB9" w:rsidRDefault="00875B17" w:rsidP="00875B17">
      <w:pPr>
        <w:rPr>
          <w:rFonts w:ascii="Times New Roman" w:hAnsi="Times New Roman" w:cs="Times New Roman"/>
          <w:bCs/>
          <w:kern w:val="28"/>
          <w:sz w:val="20"/>
          <w:szCs w:val="20"/>
          <w:lang w:eastAsia="en-US"/>
        </w:rPr>
      </w:pPr>
      <w:r w:rsidRPr="003F2DB9">
        <w:rPr>
          <w:rFonts w:ascii="Times New Roman" w:hAnsi="Times New Roman" w:cs="Times New Roman"/>
          <w:bCs/>
          <w:kern w:val="28"/>
          <w:sz w:val="20"/>
          <w:szCs w:val="20"/>
          <w:lang w:eastAsia="en-US"/>
        </w:rPr>
        <w:t>•</w:t>
      </w:r>
      <w:r w:rsidRPr="003F2DB9">
        <w:rPr>
          <w:rFonts w:ascii="Times New Roman" w:hAnsi="Times New Roman" w:cs="Times New Roman"/>
          <w:bCs/>
          <w:kern w:val="28"/>
          <w:sz w:val="20"/>
          <w:szCs w:val="20"/>
          <w:lang w:eastAsia="en-US"/>
        </w:rPr>
        <w:tab/>
      </w:r>
      <w:r w:rsidR="005E13CB" w:rsidRPr="003F2DB9">
        <w:rPr>
          <w:rFonts w:ascii="Times New Roman" w:hAnsi="Times New Roman" w:cs="Times New Roman"/>
          <w:bCs/>
          <w:kern w:val="28"/>
          <w:sz w:val="20"/>
          <w:szCs w:val="20"/>
          <w:lang w:eastAsia="en-US"/>
        </w:rPr>
        <w:t>Commercial property, business premises, o</w:t>
      </w:r>
      <w:r w:rsidRPr="003F2DB9">
        <w:rPr>
          <w:rFonts w:ascii="Times New Roman" w:hAnsi="Times New Roman" w:cs="Times New Roman"/>
          <w:bCs/>
          <w:kern w:val="28"/>
          <w:sz w:val="20"/>
          <w:szCs w:val="20"/>
          <w:lang w:eastAsia="en-US"/>
        </w:rPr>
        <w:t>ffice space</w:t>
      </w:r>
      <w:r w:rsidR="005E13CB" w:rsidRPr="003F2DB9">
        <w:rPr>
          <w:rFonts w:ascii="Times New Roman" w:hAnsi="Times New Roman" w:cs="Times New Roman"/>
          <w:bCs/>
          <w:kern w:val="28"/>
          <w:sz w:val="20"/>
          <w:szCs w:val="20"/>
          <w:lang w:eastAsia="en-US"/>
        </w:rPr>
        <w:t xml:space="preserve"> or </w:t>
      </w:r>
      <w:r w:rsidRPr="003F2DB9">
        <w:rPr>
          <w:rFonts w:ascii="Times New Roman" w:hAnsi="Times New Roman" w:cs="Times New Roman"/>
          <w:bCs/>
          <w:kern w:val="28"/>
          <w:sz w:val="20"/>
          <w:szCs w:val="20"/>
          <w:lang w:eastAsia="en-US"/>
        </w:rPr>
        <w:t>office buildings</w:t>
      </w:r>
    </w:p>
    <w:p w14:paraId="7742FFDC" w14:textId="430F8092" w:rsidR="00875B17" w:rsidRPr="003F2DB9" w:rsidRDefault="00875B17" w:rsidP="00875B17">
      <w:pPr>
        <w:rPr>
          <w:rFonts w:ascii="Times New Roman" w:hAnsi="Times New Roman" w:cs="Times New Roman"/>
          <w:bCs/>
          <w:kern w:val="28"/>
          <w:sz w:val="20"/>
          <w:szCs w:val="20"/>
          <w:lang w:eastAsia="en-US"/>
        </w:rPr>
      </w:pPr>
      <w:r w:rsidRPr="003F2DB9">
        <w:rPr>
          <w:rFonts w:ascii="Times New Roman" w:hAnsi="Times New Roman" w:cs="Times New Roman"/>
          <w:bCs/>
          <w:kern w:val="28"/>
          <w:sz w:val="20"/>
          <w:szCs w:val="20"/>
          <w:lang w:eastAsia="en-US"/>
        </w:rPr>
        <w:t>•</w:t>
      </w:r>
      <w:r w:rsidRPr="003F2DB9">
        <w:rPr>
          <w:rFonts w:ascii="Times New Roman" w:hAnsi="Times New Roman" w:cs="Times New Roman"/>
          <w:bCs/>
          <w:kern w:val="28"/>
          <w:sz w:val="20"/>
          <w:szCs w:val="20"/>
          <w:lang w:eastAsia="en-US"/>
        </w:rPr>
        <w:tab/>
        <w:t xml:space="preserve">Rental </w:t>
      </w:r>
      <w:r w:rsidR="005E13CB" w:rsidRPr="003F2DB9">
        <w:rPr>
          <w:rFonts w:ascii="Times New Roman" w:hAnsi="Times New Roman" w:cs="Times New Roman"/>
          <w:bCs/>
          <w:kern w:val="28"/>
          <w:sz w:val="20"/>
          <w:szCs w:val="20"/>
          <w:lang w:eastAsia="en-US"/>
        </w:rPr>
        <w:t>prices</w:t>
      </w:r>
      <w:r w:rsidRPr="003F2DB9">
        <w:rPr>
          <w:rFonts w:ascii="Times New Roman" w:hAnsi="Times New Roman" w:cs="Times New Roman"/>
          <w:bCs/>
          <w:kern w:val="28"/>
          <w:sz w:val="20"/>
          <w:szCs w:val="20"/>
          <w:lang w:eastAsia="en-US"/>
        </w:rPr>
        <w:t>, green premium</w:t>
      </w:r>
    </w:p>
    <w:p w14:paraId="5B4F6451" w14:textId="7534B820" w:rsidR="002B78D9" w:rsidRPr="003F2DB9" w:rsidRDefault="002B78D9" w:rsidP="00873D45">
      <w:pPr>
        <w:jc w:val="both"/>
        <w:rPr>
          <w:rFonts w:ascii="Times New Roman" w:hAnsi="Times New Roman" w:cs="Times New Roman"/>
          <w:bCs/>
          <w:kern w:val="28"/>
          <w:sz w:val="20"/>
          <w:szCs w:val="20"/>
          <w:lang w:eastAsia="en-US"/>
        </w:rPr>
      </w:pPr>
      <w:r w:rsidRPr="003F2DB9">
        <w:rPr>
          <w:rFonts w:ascii="Times New Roman" w:hAnsi="Times New Roman" w:cs="Times New Roman"/>
          <w:bCs/>
          <w:kern w:val="28"/>
          <w:sz w:val="20"/>
          <w:szCs w:val="20"/>
          <w:lang w:eastAsia="en-US"/>
        </w:rPr>
        <w:t xml:space="preserve">The titles and abstracts of the articles were carefully examined, and keywords were identified in many of them. Duplicates and false positives were eliminated after a thorough review of the topic and abstract. Then, a rejection process was employed to exclude articles that </w:t>
      </w:r>
      <w:r w:rsidR="001F1612" w:rsidRPr="003F2DB9">
        <w:rPr>
          <w:rFonts w:ascii="Times New Roman" w:hAnsi="Times New Roman" w:cs="Times New Roman"/>
          <w:bCs/>
          <w:kern w:val="28"/>
          <w:sz w:val="20"/>
          <w:szCs w:val="20"/>
          <w:lang w:eastAsia="en-US"/>
        </w:rPr>
        <w:t xml:space="preserve">were not pertinent </w:t>
      </w:r>
      <w:r w:rsidRPr="003F2DB9">
        <w:rPr>
          <w:rFonts w:ascii="Times New Roman" w:hAnsi="Times New Roman" w:cs="Times New Roman"/>
          <w:bCs/>
          <w:kern w:val="28"/>
          <w:sz w:val="20"/>
          <w:szCs w:val="20"/>
          <w:lang w:eastAsia="en-US"/>
        </w:rPr>
        <w:t xml:space="preserve">to the relationship between </w:t>
      </w:r>
      <w:r w:rsidR="001F1612" w:rsidRPr="003F2DB9">
        <w:rPr>
          <w:rFonts w:ascii="Times New Roman" w:hAnsi="Times New Roman" w:cs="Times New Roman"/>
          <w:bCs/>
          <w:kern w:val="28"/>
          <w:sz w:val="20"/>
          <w:szCs w:val="20"/>
          <w:lang w:eastAsia="en-US"/>
        </w:rPr>
        <w:t xml:space="preserve">any form of </w:t>
      </w:r>
      <w:r w:rsidRPr="003F2DB9">
        <w:rPr>
          <w:rFonts w:ascii="Times New Roman" w:hAnsi="Times New Roman" w:cs="Times New Roman"/>
          <w:bCs/>
          <w:kern w:val="28"/>
          <w:sz w:val="20"/>
          <w:szCs w:val="20"/>
          <w:lang w:eastAsia="en-US"/>
        </w:rPr>
        <w:t>green certification and rent</w:t>
      </w:r>
      <w:r w:rsidR="001F1612" w:rsidRPr="003F2DB9">
        <w:rPr>
          <w:rFonts w:ascii="Times New Roman" w:hAnsi="Times New Roman" w:cs="Times New Roman"/>
          <w:bCs/>
          <w:kern w:val="28"/>
          <w:sz w:val="20"/>
          <w:szCs w:val="20"/>
          <w:lang w:eastAsia="en-US"/>
        </w:rPr>
        <w:t xml:space="preserve">. </w:t>
      </w:r>
      <w:r w:rsidRPr="003F2DB9">
        <w:rPr>
          <w:rFonts w:ascii="Times New Roman" w:hAnsi="Times New Roman" w:cs="Times New Roman"/>
          <w:bCs/>
          <w:kern w:val="28"/>
          <w:sz w:val="20"/>
          <w:szCs w:val="20"/>
          <w:lang w:eastAsia="en-US"/>
        </w:rPr>
        <w:t xml:space="preserve">Finally, the remaining articles were analyzed using </w:t>
      </w:r>
      <w:r w:rsidR="003434FC" w:rsidRPr="003F2DB9">
        <w:rPr>
          <w:rFonts w:ascii="Times New Roman" w:hAnsi="Times New Roman" w:cs="Times New Roman"/>
          <w:bCs/>
          <w:kern w:val="28"/>
          <w:sz w:val="20"/>
          <w:szCs w:val="20"/>
          <w:lang w:eastAsia="en-US"/>
        </w:rPr>
        <w:t>the following</w:t>
      </w:r>
      <w:r w:rsidRPr="003F2DB9">
        <w:rPr>
          <w:rFonts w:ascii="Times New Roman" w:hAnsi="Times New Roman" w:cs="Times New Roman"/>
          <w:bCs/>
          <w:kern w:val="28"/>
          <w:sz w:val="20"/>
          <w:szCs w:val="20"/>
          <w:lang w:eastAsia="en-US"/>
        </w:rPr>
        <w:t xml:space="preserve"> systematic approach.</w:t>
      </w:r>
    </w:p>
    <w:p w14:paraId="61FA1241" w14:textId="046738FA" w:rsidR="00A63E5A" w:rsidRPr="003F2DB9" w:rsidRDefault="00A63E5A" w:rsidP="00A63E5A">
      <w:pPr>
        <w:jc w:val="center"/>
        <w:rPr>
          <w:rFonts w:ascii="Times New Roman" w:hAnsi="Times New Roman" w:cs="Times New Roman"/>
          <w:bCs/>
          <w:kern w:val="28"/>
          <w:sz w:val="20"/>
          <w:szCs w:val="20"/>
          <w:lang w:eastAsia="en-US"/>
        </w:rPr>
      </w:pPr>
    </w:p>
    <w:p w14:paraId="50F5693F" w14:textId="14309705" w:rsidR="0048738E" w:rsidRPr="003F2DB9" w:rsidRDefault="0048738E" w:rsidP="00A63E5A">
      <w:pPr>
        <w:jc w:val="center"/>
        <w:rPr>
          <w:rFonts w:ascii="Times New Roman" w:hAnsi="Times New Roman" w:cs="Times New Roman"/>
          <w:bCs/>
          <w:kern w:val="28"/>
          <w:sz w:val="20"/>
          <w:szCs w:val="20"/>
          <w:lang w:eastAsia="en-US"/>
        </w:rPr>
      </w:pPr>
      <w:r w:rsidRPr="003F2DB9">
        <w:rPr>
          <w:rFonts w:ascii="Times New Roman" w:hAnsi="Times New Roman" w:cs="Times New Roman"/>
          <w:bCs/>
          <w:noProof/>
          <w:kern w:val="28"/>
          <w:sz w:val="20"/>
          <w:szCs w:val="20"/>
          <w:lang w:eastAsia="en-US"/>
        </w:rPr>
        <w:drawing>
          <wp:inline distT="0" distB="0" distL="0" distR="0" wp14:anchorId="271E526A" wp14:editId="514C7DCE">
            <wp:extent cx="3982006" cy="34485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2006" cy="3448531"/>
                    </a:xfrm>
                    <a:prstGeom prst="rect">
                      <a:avLst/>
                    </a:prstGeom>
                  </pic:spPr>
                </pic:pic>
              </a:graphicData>
            </a:graphic>
          </wp:inline>
        </w:drawing>
      </w:r>
    </w:p>
    <w:p w14:paraId="2CA08102" w14:textId="38F38E90" w:rsidR="00875B17" w:rsidRPr="003F2DB9" w:rsidRDefault="00875B17" w:rsidP="00875B17">
      <w:pPr>
        <w:jc w:val="center"/>
        <w:rPr>
          <w:rFonts w:ascii="Times New Roman" w:hAnsi="Times New Roman" w:cs="Times New Roman"/>
          <w:bCs/>
          <w:kern w:val="28"/>
          <w:sz w:val="16"/>
          <w:szCs w:val="16"/>
          <w:lang w:eastAsia="en-US"/>
        </w:rPr>
      </w:pPr>
      <w:r w:rsidRPr="003F2DB9">
        <w:rPr>
          <w:rFonts w:ascii="Times New Roman" w:hAnsi="Times New Roman" w:cs="Times New Roman"/>
          <w:bCs/>
          <w:kern w:val="28"/>
          <w:sz w:val="16"/>
          <w:szCs w:val="16"/>
          <w:highlight w:val="yellow"/>
          <w:lang w:eastAsia="en-US"/>
        </w:rPr>
        <w:t xml:space="preserve">Figure 1. Search </w:t>
      </w:r>
      <w:r w:rsidR="00E2578E" w:rsidRPr="003F2DB9">
        <w:rPr>
          <w:rFonts w:ascii="Times New Roman" w:hAnsi="Times New Roman" w:cs="Times New Roman"/>
          <w:bCs/>
          <w:kern w:val="28"/>
          <w:sz w:val="16"/>
          <w:szCs w:val="16"/>
          <w:highlight w:val="yellow"/>
          <w:lang w:eastAsia="en-US"/>
        </w:rPr>
        <w:t>Strategy Process</w:t>
      </w:r>
    </w:p>
    <w:p w14:paraId="46147348" w14:textId="77777777" w:rsidR="002B78D9" w:rsidRPr="003F2DB9" w:rsidRDefault="002B78D9" w:rsidP="00875B17">
      <w:pPr>
        <w:rPr>
          <w:rFonts w:ascii="Times New Roman" w:hAnsi="Times New Roman" w:cs="Times New Roman"/>
          <w:bCs/>
          <w:kern w:val="28"/>
          <w:sz w:val="20"/>
          <w:szCs w:val="20"/>
          <w:lang w:eastAsia="en-US"/>
        </w:rPr>
      </w:pPr>
      <w:r w:rsidRPr="003F2DB9">
        <w:rPr>
          <w:rFonts w:ascii="Times New Roman" w:hAnsi="Times New Roman" w:cs="Times New Roman"/>
          <w:bCs/>
          <w:kern w:val="28"/>
          <w:sz w:val="20"/>
          <w:szCs w:val="20"/>
          <w:lang w:eastAsia="en-US"/>
        </w:rPr>
        <w:lastRenderedPageBreak/>
        <w:t>At first, a total of 256 articles were retrieved from the electronic search. Afterwards, by reviewing the abstracts, the number was reduced to 83. Eventually, the search was narrowed down to only 47 articles that exclusively examined how green building certification affected the rental prices of office buildings on a global scale. These chosen articles were limited to the time frame between 2003 and 2021, based on their year of publication.</w:t>
      </w:r>
    </w:p>
    <w:p w14:paraId="376F6971" w14:textId="6A51878D" w:rsidR="006A3B7F" w:rsidRPr="003F2DB9" w:rsidRDefault="006A3B7F" w:rsidP="006A3B7F">
      <w:pPr>
        <w:shd w:val="clear" w:color="auto" w:fill="FFFFFF"/>
        <w:spacing w:after="150" w:line="240" w:lineRule="auto"/>
        <w:rPr>
          <w:rFonts w:ascii="Times New Roman" w:eastAsia="Times New Roman" w:hAnsi="Times New Roman" w:cs="Times New Roman"/>
          <w:sz w:val="20"/>
          <w:szCs w:val="20"/>
        </w:rPr>
      </w:pPr>
      <w:r w:rsidRPr="003F2DB9">
        <w:rPr>
          <w:rFonts w:ascii="Times New Roman" w:eastAsia="Times New Roman" w:hAnsi="Times New Roman" w:cs="Times New Roman"/>
          <w:sz w:val="20"/>
          <w:szCs w:val="20"/>
        </w:rPr>
        <w:t>IV. RESULTS</w:t>
      </w:r>
    </w:p>
    <w:p w14:paraId="26068285" w14:textId="1F5D432F" w:rsidR="002B78D9" w:rsidRPr="003F2DB9" w:rsidRDefault="002B78D9" w:rsidP="00875B17">
      <w:pPr>
        <w:pStyle w:val="ICCENormalText1stparagraph"/>
        <w:rPr>
          <w:sz w:val="20"/>
          <w:szCs w:val="20"/>
        </w:rPr>
      </w:pPr>
      <w:r w:rsidRPr="003F2DB9">
        <w:rPr>
          <w:sz w:val="20"/>
          <w:szCs w:val="20"/>
        </w:rPr>
        <w:t>Between 2003 and 2021, there were a significant number of research papers published on the topic of green or sustainable office buildings. Out of those publications, 83 were examined to explore the financial advantages of green certification. Within that same time frame, 49 of the 83 papers focused on the correlation between green certification and rental prices. In these studies, the rent per square area was the only dependent variable considered. The year 2018 had the highest number of research publications, as illustrated in Figure 2.</w:t>
      </w:r>
    </w:p>
    <w:p w14:paraId="06A77602" w14:textId="6166F068" w:rsidR="003F5A10" w:rsidRPr="003F2DB9" w:rsidRDefault="003F5A10" w:rsidP="00875B17">
      <w:pPr>
        <w:pStyle w:val="ICCENormalText1stparagraph"/>
        <w:rPr>
          <w:sz w:val="20"/>
          <w:szCs w:val="20"/>
        </w:rPr>
      </w:pPr>
    </w:p>
    <w:p w14:paraId="72E67E65" w14:textId="5BDFAE96" w:rsidR="006B718B" w:rsidRPr="003F2DB9" w:rsidRDefault="006B718B" w:rsidP="006B718B">
      <w:pPr>
        <w:pStyle w:val="ICCENormalText1stparagraph"/>
        <w:rPr>
          <w:sz w:val="20"/>
          <w:szCs w:val="20"/>
        </w:rPr>
      </w:pPr>
      <w:r w:rsidRPr="003F2DB9">
        <w:rPr>
          <w:sz w:val="20"/>
          <w:szCs w:val="20"/>
        </w:rPr>
        <w:t xml:space="preserve">Furthermore, this study has classified several research papers according to their geographic regions, as presented in Figure 3. According to research by </w:t>
      </w:r>
      <w:r w:rsidR="002614DB" w:rsidRPr="003F2DB9">
        <w:rPr>
          <w:sz w:val="20"/>
          <w:szCs w:val="20"/>
        </w:rPr>
        <w:t>[10]</w:t>
      </w:r>
      <w:r w:rsidRPr="003F2DB9">
        <w:rPr>
          <w:sz w:val="20"/>
          <w:szCs w:val="20"/>
        </w:rPr>
        <w:t>, who carried out a thorough bibliometric assessment of green commercial structures by examining publications published from 1998 to 2018, the US market had the most total number of publications.</w:t>
      </w:r>
    </w:p>
    <w:p w14:paraId="3A308837" w14:textId="77777777" w:rsidR="006B718B" w:rsidRPr="003F2DB9" w:rsidRDefault="006B718B" w:rsidP="00875B17">
      <w:pPr>
        <w:pStyle w:val="ICCENormalText1stparagraph"/>
        <w:rPr>
          <w:sz w:val="20"/>
          <w:szCs w:val="20"/>
        </w:rPr>
      </w:pPr>
    </w:p>
    <w:p w14:paraId="5219F456" w14:textId="77777777" w:rsidR="006B718B" w:rsidRPr="003F2DB9" w:rsidRDefault="006B718B" w:rsidP="006B718B">
      <w:pPr>
        <w:pStyle w:val="ICCENormalText1stparagraph"/>
        <w:rPr>
          <w:sz w:val="20"/>
          <w:szCs w:val="20"/>
        </w:rPr>
      </w:pPr>
      <w:r w:rsidRPr="003F2DB9">
        <w:rPr>
          <w:sz w:val="20"/>
          <w:szCs w:val="20"/>
        </w:rPr>
        <w:t xml:space="preserve">The findings were mixed, but </w:t>
      </w:r>
      <w:proofErr w:type="gramStart"/>
      <w:r w:rsidRPr="003F2DB9">
        <w:rPr>
          <w:sz w:val="20"/>
          <w:szCs w:val="20"/>
        </w:rPr>
        <w:t>the majority of</w:t>
      </w:r>
      <w:proofErr w:type="gramEnd"/>
      <w:r w:rsidRPr="003F2DB9">
        <w:rPr>
          <w:sz w:val="20"/>
          <w:szCs w:val="20"/>
        </w:rPr>
        <w:t xml:space="preserve"> the studies, 36 out of 47 (77%), indicated that any form of green certification had a positive effect on rental rates for office buildings. Conversely, only 11 out of the 47 studies (23%) discovered no significant link. Figure 4 and Table 4 provide a concise overview of the findings across different geopolitical regions.</w:t>
      </w:r>
    </w:p>
    <w:p w14:paraId="590FE6E6" w14:textId="77777777" w:rsidR="006B718B" w:rsidRPr="003F2DB9" w:rsidRDefault="006B718B" w:rsidP="00875B17">
      <w:pPr>
        <w:pStyle w:val="ICCENormalText1stparagraph"/>
        <w:rPr>
          <w:sz w:val="20"/>
          <w:szCs w:val="20"/>
        </w:rPr>
      </w:pPr>
    </w:p>
    <w:p w14:paraId="4521C323" w14:textId="33A3B08C" w:rsidR="003F5A10" w:rsidRPr="003F2DB9" w:rsidRDefault="003F5A10" w:rsidP="003F5A10">
      <w:pPr>
        <w:pStyle w:val="ICCENormalText1stparagraph"/>
        <w:jc w:val="center"/>
        <w:rPr>
          <w:sz w:val="20"/>
          <w:szCs w:val="20"/>
        </w:rPr>
      </w:pPr>
      <w:r w:rsidRPr="003F2DB9">
        <w:rPr>
          <w:noProof/>
        </w:rPr>
        <w:drawing>
          <wp:inline distT="0" distB="0" distL="0" distR="0" wp14:anchorId="29B8CD2B" wp14:editId="42DA11C1">
            <wp:extent cx="4572000" cy="2743200"/>
            <wp:effectExtent l="0" t="0" r="0" b="0"/>
            <wp:docPr id="4" name="Chart 4">
              <a:extLst xmlns:a="http://schemas.openxmlformats.org/drawingml/2006/main">
                <a:ext uri="{FF2B5EF4-FFF2-40B4-BE49-F238E27FC236}">
                  <a16:creationId xmlns:a16="http://schemas.microsoft.com/office/drawing/2014/main" id="{9E28BBD2-0B11-44A6-B9AB-1DB0E107EB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A95BB34" w14:textId="04C2D287" w:rsidR="00875B17" w:rsidRPr="003F2DB9" w:rsidRDefault="00875B17" w:rsidP="00875B17">
      <w:pPr>
        <w:pStyle w:val="ICCENormalText1stparagraph"/>
        <w:jc w:val="center"/>
        <w:rPr>
          <w:noProof/>
        </w:rPr>
      </w:pPr>
    </w:p>
    <w:p w14:paraId="7D3B6C04" w14:textId="3E850979" w:rsidR="00875B17" w:rsidRPr="003F2DB9" w:rsidRDefault="00875B17" w:rsidP="00875B17">
      <w:pPr>
        <w:pStyle w:val="ICCENormalText1stparagraph"/>
        <w:jc w:val="center"/>
        <w:rPr>
          <w:noProof/>
          <w:sz w:val="16"/>
          <w:szCs w:val="16"/>
        </w:rPr>
      </w:pPr>
      <w:r w:rsidRPr="003F2DB9">
        <w:rPr>
          <w:noProof/>
          <w:sz w:val="16"/>
          <w:szCs w:val="16"/>
          <w:highlight w:val="yellow"/>
        </w:rPr>
        <w:t xml:space="preserve">Figure 2. Number of </w:t>
      </w:r>
      <w:r w:rsidR="003167D1" w:rsidRPr="003F2DB9">
        <w:rPr>
          <w:noProof/>
          <w:sz w:val="16"/>
          <w:szCs w:val="16"/>
          <w:highlight w:val="yellow"/>
        </w:rPr>
        <w:t>Publications</w:t>
      </w:r>
      <w:r w:rsidR="00E2578E" w:rsidRPr="003F2DB9">
        <w:rPr>
          <w:noProof/>
          <w:sz w:val="16"/>
          <w:szCs w:val="16"/>
          <w:highlight w:val="yellow"/>
        </w:rPr>
        <w:t xml:space="preserve"> Conducted </w:t>
      </w:r>
      <w:r w:rsidR="00420107" w:rsidRPr="003F2DB9">
        <w:rPr>
          <w:noProof/>
          <w:sz w:val="16"/>
          <w:szCs w:val="16"/>
          <w:highlight w:val="yellow"/>
        </w:rPr>
        <w:t>O</w:t>
      </w:r>
      <w:r w:rsidRPr="003F2DB9">
        <w:rPr>
          <w:noProof/>
          <w:sz w:val="16"/>
          <w:szCs w:val="16"/>
          <w:highlight w:val="yellow"/>
        </w:rPr>
        <w:t xml:space="preserve">ver </w:t>
      </w:r>
      <w:r w:rsidR="00E2578E" w:rsidRPr="003F2DB9">
        <w:rPr>
          <w:noProof/>
          <w:sz w:val="16"/>
          <w:szCs w:val="16"/>
          <w:highlight w:val="yellow"/>
        </w:rPr>
        <w:t>T</w:t>
      </w:r>
      <w:r w:rsidRPr="003F2DB9">
        <w:rPr>
          <w:noProof/>
          <w:sz w:val="16"/>
          <w:szCs w:val="16"/>
          <w:highlight w:val="yellow"/>
        </w:rPr>
        <w:t>ime</w:t>
      </w:r>
    </w:p>
    <w:p w14:paraId="1C9893E9" w14:textId="77777777" w:rsidR="003821E0" w:rsidRPr="003F2DB9" w:rsidRDefault="003821E0" w:rsidP="00875B17">
      <w:pPr>
        <w:pStyle w:val="ICCENormalText1stparagraph"/>
        <w:jc w:val="center"/>
        <w:rPr>
          <w:noProof/>
          <w:sz w:val="22"/>
          <w:szCs w:val="22"/>
        </w:rPr>
      </w:pPr>
    </w:p>
    <w:p w14:paraId="222C6905" w14:textId="77777777" w:rsidR="009E0C28" w:rsidRPr="003F2DB9" w:rsidRDefault="009E0C28" w:rsidP="009E0C28">
      <w:pPr>
        <w:pStyle w:val="ICCENormalText1stparagraph"/>
        <w:jc w:val="center"/>
        <w:rPr>
          <w:sz w:val="20"/>
          <w:szCs w:val="20"/>
        </w:rPr>
      </w:pPr>
    </w:p>
    <w:p w14:paraId="376A5FA6" w14:textId="5B3EB352" w:rsidR="00875B17" w:rsidRPr="003F2DB9" w:rsidRDefault="009E0C28" w:rsidP="009E0C28">
      <w:pPr>
        <w:pStyle w:val="ICCENormalText1stparagraph"/>
        <w:jc w:val="center"/>
        <w:rPr>
          <w:sz w:val="22"/>
          <w:szCs w:val="22"/>
        </w:rPr>
      </w:pPr>
      <w:r w:rsidRPr="003F2DB9">
        <w:rPr>
          <w:noProof/>
        </w:rPr>
        <w:lastRenderedPageBreak/>
        <w:drawing>
          <wp:inline distT="0" distB="0" distL="0" distR="0" wp14:anchorId="0F722DDA" wp14:editId="55829536">
            <wp:extent cx="4572000" cy="2886324"/>
            <wp:effectExtent l="0" t="0" r="0" b="9525"/>
            <wp:docPr id="1" name="Chart 1">
              <a:extLst xmlns:a="http://schemas.openxmlformats.org/drawingml/2006/main">
                <a:ext uri="{FF2B5EF4-FFF2-40B4-BE49-F238E27FC236}">
                  <a16:creationId xmlns:a16="http://schemas.microsoft.com/office/drawing/2014/main" id="{EE3F13B9-EA32-45A1-89E5-943B6F4BA0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6E42ADD" w14:textId="67F0B540" w:rsidR="00875B17" w:rsidRPr="003F2DB9" w:rsidRDefault="00875B17" w:rsidP="00875B17">
      <w:pPr>
        <w:pStyle w:val="ICCENormalText1stparagraph"/>
        <w:jc w:val="center"/>
        <w:rPr>
          <w:sz w:val="22"/>
          <w:szCs w:val="22"/>
        </w:rPr>
      </w:pPr>
    </w:p>
    <w:p w14:paraId="7A4D25AA" w14:textId="14A146CF" w:rsidR="00875B17" w:rsidRPr="003F2DB9" w:rsidRDefault="00875B17" w:rsidP="00875B17">
      <w:pPr>
        <w:pStyle w:val="ICCENormalText1stparagraph"/>
        <w:jc w:val="center"/>
        <w:rPr>
          <w:noProof/>
          <w:sz w:val="16"/>
          <w:szCs w:val="16"/>
        </w:rPr>
      </w:pPr>
      <w:r w:rsidRPr="003F2DB9">
        <w:rPr>
          <w:noProof/>
          <w:sz w:val="16"/>
          <w:szCs w:val="16"/>
          <w:highlight w:val="yellow"/>
        </w:rPr>
        <w:t xml:space="preserve">Figure 3. Number of </w:t>
      </w:r>
      <w:r w:rsidR="004709AE" w:rsidRPr="003F2DB9">
        <w:rPr>
          <w:noProof/>
          <w:sz w:val="16"/>
          <w:szCs w:val="16"/>
          <w:highlight w:val="yellow"/>
        </w:rPr>
        <w:t>Studies</w:t>
      </w:r>
      <w:r w:rsidR="00E2578E" w:rsidRPr="003F2DB9">
        <w:rPr>
          <w:noProof/>
          <w:sz w:val="16"/>
          <w:szCs w:val="16"/>
          <w:highlight w:val="yellow"/>
        </w:rPr>
        <w:t xml:space="preserve"> Conducted </w:t>
      </w:r>
      <w:r w:rsidRPr="003F2DB9">
        <w:rPr>
          <w:noProof/>
          <w:sz w:val="16"/>
          <w:szCs w:val="16"/>
          <w:highlight w:val="yellow"/>
        </w:rPr>
        <w:t xml:space="preserve">in </w:t>
      </w:r>
      <w:r w:rsidR="00E2578E" w:rsidRPr="003F2DB9">
        <w:rPr>
          <w:noProof/>
          <w:sz w:val="16"/>
          <w:szCs w:val="16"/>
          <w:highlight w:val="yellow"/>
        </w:rPr>
        <w:t xml:space="preserve">Different </w:t>
      </w:r>
      <w:r w:rsidR="004709AE" w:rsidRPr="003F2DB9">
        <w:rPr>
          <w:noProof/>
          <w:sz w:val="16"/>
          <w:szCs w:val="16"/>
          <w:highlight w:val="yellow"/>
        </w:rPr>
        <w:t>Country</w:t>
      </w:r>
    </w:p>
    <w:p w14:paraId="01A116EA" w14:textId="77777777" w:rsidR="006B718B" w:rsidRPr="003F2DB9" w:rsidRDefault="006B718B" w:rsidP="00875B17">
      <w:pPr>
        <w:pStyle w:val="ICCENormalText1stparagraph"/>
        <w:rPr>
          <w:sz w:val="20"/>
          <w:szCs w:val="20"/>
        </w:rPr>
      </w:pPr>
    </w:p>
    <w:p w14:paraId="340066E8" w14:textId="77777777" w:rsidR="006B718B" w:rsidRPr="003F2DB9" w:rsidRDefault="006B718B" w:rsidP="006B718B">
      <w:pPr>
        <w:shd w:val="clear" w:color="auto" w:fill="FFFFFF"/>
        <w:spacing w:after="150" w:line="240" w:lineRule="auto"/>
        <w:jc w:val="center"/>
        <w:rPr>
          <w:rFonts w:ascii="Times New Roman" w:eastAsia="Times New Roman" w:hAnsi="Times New Roman" w:cs="Times New Roman"/>
          <w:sz w:val="20"/>
          <w:szCs w:val="20"/>
        </w:rPr>
      </w:pPr>
      <w:r w:rsidRPr="003F2DB9">
        <w:rPr>
          <w:noProof/>
        </w:rPr>
        <w:drawing>
          <wp:inline distT="0" distB="0" distL="0" distR="0" wp14:anchorId="44988825" wp14:editId="2AABBE26">
            <wp:extent cx="4572000" cy="2743200"/>
            <wp:effectExtent l="0" t="0" r="0" b="0"/>
            <wp:docPr id="3" name="Chart 3">
              <a:extLst xmlns:a="http://schemas.openxmlformats.org/drawingml/2006/main">
                <a:ext uri="{FF2B5EF4-FFF2-40B4-BE49-F238E27FC236}">
                  <a16:creationId xmlns:a16="http://schemas.microsoft.com/office/drawing/2014/main" id="{753BD539-B09A-B090-DA76-8A023BFE33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E789FD6" w14:textId="6293C588" w:rsidR="006B718B" w:rsidRPr="003F2DB9" w:rsidRDefault="006B718B" w:rsidP="006B718B">
      <w:pPr>
        <w:pStyle w:val="ICCENormalText1stparagraph"/>
        <w:jc w:val="center"/>
        <w:rPr>
          <w:noProof/>
          <w:sz w:val="16"/>
          <w:szCs w:val="16"/>
        </w:rPr>
      </w:pPr>
      <w:r w:rsidRPr="003F2DB9">
        <w:rPr>
          <w:noProof/>
          <w:sz w:val="16"/>
          <w:szCs w:val="16"/>
          <w:highlight w:val="yellow"/>
        </w:rPr>
        <w:t xml:space="preserve">Figure 4. The </w:t>
      </w:r>
      <w:r w:rsidR="00420107" w:rsidRPr="003F2DB9">
        <w:rPr>
          <w:noProof/>
          <w:sz w:val="16"/>
          <w:szCs w:val="16"/>
          <w:highlight w:val="yellow"/>
        </w:rPr>
        <w:t>P</w:t>
      </w:r>
      <w:r w:rsidRPr="003F2DB9">
        <w:rPr>
          <w:noProof/>
          <w:sz w:val="16"/>
          <w:szCs w:val="16"/>
          <w:highlight w:val="yellow"/>
        </w:rPr>
        <w:t xml:space="preserve">ercentage of </w:t>
      </w:r>
      <w:r w:rsidR="00420107" w:rsidRPr="003F2DB9">
        <w:rPr>
          <w:noProof/>
          <w:sz w:val="16"/>
          <w:szCs w:val="16"/>
          <w:highlight w:val="yellow"/>
        </w:rPr>
        <w:t>S</w:t>
      </w:r>
      <w:r w:rsidRPr="003F2DB9">
        <w:rPr>
          <w:noProof/>
          <w:sz w:val="16"/>
          <w:szCs w:val="16"/>
          <w:highlight w:val="yellow"/>
        </w:rPr>
        <w:t xml:space="preserve">tudies </w:t>
      </w:r>
      <w:r w:rsidR="00420107" w:rsidRPr="003F2DB9">
        <w:rPr>
          <w:noProof/>
          <w:sz w:val="16"/>
          <w:szCs w:val="16"/>
          <w:highlight w:val="yellow"/>
        </w:rPr>
        <w:t>C</w:t>
      </w:r>
      <w:r w:rsidRPr="003F2DB9">
        <w:rPr>
          <w:noProof/>
          <w:sz w:val="16"/>
          <w:szCs w:val="16"/>
          <w:highlight w:val="yellow"/>
        </w:rPr>
        <w:t xml:space="preserve">onfirmed </w:t>
      </w:r>
      <w:r w:rsidR="00420107" w:rsidRPr="003F2DB9">
        <w:rPr>
          <w:noProof/>
          <w:sz w:val="16"/>
          <w:szCs w:val="16"/>
          <w:highlight w:val="yellow"/>
        </w:rPr>
        <w:t>A</w:t>
      </w:r>
      <w:r w:rsidRPr="003F2DB9">
        <w:rPr>
          <w:noProof/>
          <w:sz w:val="16"/>
          <w:szCs w:val="16"/>
          <w:highlight w:val="yellow"/>
        </w:rPr>
        <w:t xml:space="preserve"> </w:t>
      </w:r>
      <w:r w:rsidR="00420107" w:rsidRPr="003F2DB9">
        <w:rPr>
          <w:noProof/>
          <w:sz w:val="16"/>
          <w:szCs w:val="16"/>
          <w:highlight w:val="yellow"/>
        </w:rPr>
        <w:t>P</w:t>
      </w:r>
      <w:r w:rsidRPr="003F2DB9">
        <w:rPr>
          <w:noProof/>
          <w:sz w:val="16"/>
          <w:szCs w:val="16"/>
          <w:highlight w:val="yellow"/>
        </w:rPr>
        <w:t xml:space="preserve">ositive </w:t>
      </w:r>
      <w:r w:rsidR="00420107" w:rsidRPr="003F2DB9">
        <w:rPr>
          <w:noProof/>
          <w:sz w:val="16"/>
          <w:szCs w:val="16"/>
          <w:highlight w:val="yellow"/>
        </w:rPr>
        <w:t>C</w:t>
      </w:r>
      <w:r w:rsidRPr="003F2DB9">
        <w:rPr>
          <w:noProof/>
          <w:sz w:val="16"/>
          <w:szCs w:val="16"/>
          <w:highlight w:val="yellow"/>
        </w:rPr>
        <w:t xml:space="preserve">orrelation </w:t>
      </w:r>
      <w:r w:rsidR="00420107" w:rsidRPr="003F2DB9">
        <w:rPr>
          <w:noProof/>
          <w:sz w:val="16"/>
          <w:szCs w:val="16"/>
          <w:highlight w:val="yellow"/>
        </w:rPr>
        <w:t>I</w:t>
      </w:r>
      <w:r w:rsidRPr="003F2DB9">
        <w:rPr>
          <w:noProof/>
          <w:sz w:val="16"/>
          <w:szCs w:val="16"/>
          <w:highlight w:val="yellow"/>
        </w:rPr>
        <w:t xml:space="preserve">n </w:t>
      </w:r>
      <w:r w:rsidR="00420107" w:rsidRPr="003F2DB9">
        <w:rPr>
          <w:noProof/>
          <w:sz w:val="16"/>
          <w:szCs w:val="16"/>
          <w:highlight w:val="yellow"/>
        </w:rPr>
        <w:t>E</w:t>
      </w:r>
      <w:r w:rsidRPr="003F2DB9">
        <w:rPr>
          <w:noProof/>
          <w:sz w:val="16"/>
          <w:szCs w:val="16"/>
          <w:highlight w:val="yellow"/>
        </w:rPr>
        <w:t xml:space="preserve">ach </w:t>
      </w:r>
      <w:r w:rsidR="00420107" w:rsidRPr="003F2DB9">
        <w:rPr>
          <w:noProof/>
          <w:sz w:val="16"/>
          <w:szCs w:val="16"/>
          <w:highlight w:val="yellow"/>
        </w:rPr>
        <w:t>G</w:t>
      </w:r>
      <w:r w:rsidRPr="003F2DB9">
        <w:rPr>
          <w:noProof/>
          <w:sz w:val="16"/>
          <w:szCs w:val="16"/>
          <w:highlight w:val="yellow"/>
        </w:rPr>
        <w:t xml:space="preserve">eopolitical </w:t>
      </w:r>
      <w:r w:rsidR="00420107" w:rsidRPr="003F2DB9">
        <w:rPr>
          <w:noProof/>
          <w:sz w:val="16"/>
          <w:szCs w:val="16"/>
          <w:highlight w:val="yellow"/>
        </w:rPr>
        <w:t>R</w:t>
      </w:r>
      <w:r w:rsidRPr="003F2DB9">
        <w:rPr>
          <w:noProof/>
          <w:sz w:val="16"/>
          <w:szCs w:val="16"/>
          <w:highlight w:val="yellow"/>
        </w:rPr>
        <w:t>egion</w:t>
      </w:r>
    </w:p>
    <w:p w14:paraId="7319B6D0" w14:textId="1D8EB48F" w:rsidR="00875B17" w:rsidRPr="003F2DB9" w:rsidRDefault="00875B17" w:rsidP="00875B17">
      <w:pPr>
        <w:pStyle w:val="ICCENormalText1stparagraph"/>
        <w:jc w:val="left"/>
        <w:rPr>
          <w:sz w:val="22"/>
          <w:szCs w:val="22"/>
        </w:rPr>
      </w:pPr>
    </w:p>
    <w:p w14:paraId="1482D49D" w14:textId="77777777" w:rsidR="00454172" w:rsidRPr="003F2DB9" w:rsidRDefault="00454172" w:rsidP="00875B17">
      <w:pPr>
        <w:pStyle w:val="ICCENormalText1stparagraph"/>
        <w:jc w:val="left"/>
        <w:rPr>
          <w:sz w:val="20"/>
          <w:szCs w:val="20"/>
        </w:rPr>
      </w:pPr>
    </w:p>
    <w:p w14:paraId="3C8740D9" w14:textId="629FA317" w:rsidR="00875B17" w:rsidRPr="003F2DB9" w:rsidRDefault="00875B17" w:rsidP="00F40799">
      <w:pPr>
        <w:pStyle w:val="ICCENormalText1stparagraph"/>
        <w:spacing w:after="240"/>
        <w:jc w:val="center"/>
        <w:rPr>
          <w:sz w:val="16"/>
          <w:szCs w:val="16"/>
        </w:rPr>
      </w:pPr>
      <w:r w:rsidRPr="003F2DB9">
        <w:rPr>
          <w:sz w:val="16"/>
          <w:szCs w:val="16"/>
          <w:highlight w:val="yellow"/>
        </w:rPr>
        <w:t xml:space="preserve">Table </w:t>
      </w:r>
      <w:r w:rsidR="00D95C9E" w:rsidRPr="003F2DB9">
        <w:rPr>
          <w:sz w:val="16"/>
          <w:szCs w:val="16"/>
          <w:highlight w:val="yellow"/>
        </w:rPr>
        <w:t>4</w:t>
      </w:r>
      <w:r w:rsidRPr="003F2DB9">
        <w:rPr>
          <w:sz w:val="16"/>
          <w:szCs w:val="16"/>
          <w:highlight w:val="yellow"/>
        </w:rPr>
        <w:t xml:space="preserve">. </w:t>
      </w:r>
      <w:r w:rsidR="00454172" w:rsidRPr="003F2DB9">
        <w:rPr>
          <w:sz w:val="16"/>
          <w:szCs w:val="16"/>
          <w:highlight w:val="yellow"/>
        </w:rPr>
        <w:t xml:space="preserve">Main </w:t>
      </w:r>
      <w:r w:rsidR="001455E1" w:rsidRPr="003F2DB9">
        <w:rPr>
          <w:sz w:val="16"/>
          <w:szCs w:val="16"/>
          <w:highlight w:val="yellow"/>
        </w:rPr>
        <w:t xml:space="preserve">Green Certification </w:t>
      </w:r>
      <w:proofErr w:type="gramStart"/>
      <w:r w:rsidR="00420107" w:rsidRPr="003F2DB9">
        <w:rPr>
          <w:sz w:val="16"/>
          <w:szCs w:val="16"/>
          <w:highlight w:val="yellow"/>
        </w:rPr>
        <w:t>I</w:t>
      </w:r>
      <w:r w:rsidR="00454172" w:rsidRPr="003F2DB9">
        <w:rPr>
          <w:sz w:val="16"/>
          <w:szCs w:val="16"/>
          <w:highlight w:val="yellow"/>
        </w:rPr>
        <w:t>n</w:t>
      </w:r>
      <w:proofErr w:type="gramEnd"/>
      <w:r w:rsidR="00454172" w:rsidRPr="003F2DB9">
        <w:rPr>
          <w:sz w:val="16"/>
          <w:szCs w:val="16"/>
          <w:highlight w:val="yellow"/>
        </w:rPr>
        <w:t xml:space="preserve"> </w:t>
      </w:r>
      <w:r w:rsidR="00420107" w:rsidRPr="003F2DB9">
        <w:rPr>
          <w:sz w:val="16"/>
          <w:szCs w:val="16"/>
          <w:highlight w:val="yellow"/>
        </w:rPr>
        <w:t>E</w:t>
      </w:r>
      <w:r w:rsidR="00454172" w:rsidRPr="003F2DB9">
        <w:rPr>
          <w:sz w:val="16"/>
          <w:szCs w:val="16"/>
          <w:highlight w:val="yellow"/>
        </w:rPr>
        <w:t>ach Region</w:t>
      </w:r>
    </w:p>
    <w:tbl>
      <w:tblPr>
        <w:tblW w:w="6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2589"/>
      </w:tblGrid>
      <w:tr w:rsidR="008F4347" w:rsidRPr="003F2DB9" w14:paraId="779079DD" w14:textId="77777777" w:rsidTr="006B718B">
        <w:trPr>
          <w:trHeight w:val="520"/>
          <w:jc w:val="center"/>
        </w:trPr>
        <w:tc>
          <w:tcPr>
            <w:tcW w:w="4111" w:type="dxa"/>
            <w:vAlign w:val="center"/>
          </w:tcPr>
          <w:p w14:paraId="1BE0394B" w14:textId="45859C6C" w:rsidR="00454172" w:rsidRPr="003F2DB9" w:rsidRDefault="00454172" w:rsidP="00454172">
            <w:pPr>
              <w:pStyle w:val="ICCENormalText1stparagraph"/>
              <w:jc w:val="left"/>
              <w:rPr>
                <w:sz w:val="20"/>
                <w:szCs w:val="20"/>
              </w:rPr>
            </w:pPr>
            <w:r w:rsidRPr="003F2DB9">
              <w:rPr>
                <w:sz w:val="20"/>
                <w:szCs w:val="20"/>
              </w:rPr>
              <w:t>The geopolitical location of the publication</w:t>
            </w:r>
          </w:p>
        </w:tc>
        <w:tc>
          <w:tcPr>
            <w:tcW w:w="2589" w:type="dxa"/>
            <w:vAlign w:val="center"/>
          </w:tcPr>
          <w:p w14:paraId="2A7D98A4" w14:textId="4D4C6DA9" w:rsidR="00454172" w:rsidRPr="003F2DB9" w:rsidRDefault="00454172" w:rsidP="003821E0">
            <w:pPr>
              <w:pStyle w:val="ICCENormalText1stparagraph"/>
              <w:jc w:val="left"/>
              <w:rPr>
                <w:sz w:val="20"/>
                <w:szCs w:val="20"/>
              </w:rPr>
            </w:pPr>
            <w:r w:rsidRPr="003F2DB9">
              <w:rPr>
                <w:sz w:val="20"/>
                <w:szCs w:val="20"/>
              </w:rPr>
              <w:t xml:space="preserve">Main certification type </w:t>
            </w:r>
          </w:p>
        </w:tc>
      </w:tr>
      <w:tr w:rsidR="008F4347" w:rsidRPr="003F2DB9" w14:paraId="7329E43E" w14:textId="77777777" w:rsidTr="006B718B">
        <w:trPr>
          <w:trHeight w:hRule="exact" w:val="520"/>
          <w:jc w:val="center"/>
        </w:trPr>
        <w:tc>
          <w:tcPr>
            <w:tcW w:w="4111" w:type="dxa"/>
            <w:vAlign w:val="center"/>
          </w:tcPr>
          <w:p w14:paraId="1C7059D4" w14:textId="77777777" w:rsidR="00454172" w:rsidRPr="003F2DB9" w:rsidRDefault="00454172" w:rsidP="003821E0">
            <w:pPr>
              <w:pStyle w:val="ICCENormalText1stparagraph"/>
              <w:rPr>
                <w:sz w:val="20"/>
                <w:szCs w:val="20"/>
              </w:rPr>
            </w:pPr>
            <w:r w:rsidRPr="003F2DB9">
              <w:rPr>
                <w:sz w:val="20"/>
                <w:szCs w:val="20"/>
              </w:rPr>
              <w:t>USA</w:t>
            </w:r>
          </w:p>
        </w:tc>
        <w:tc>
          <w:tcPr>
            <w:tcW w:w="2589" w:type="dxa"/>
            <w:vAlign w:val="center"/>
          </w:tcPr>
          <w:p w14:paraId="1D32D391" w14:textId="62D9384D" w:rsidR="00454172" w:rsidRPr="003F2DB9" w:rsidRDefault="00454172" w:rsidP="003821E0">
            <w:pPr>
              <w:pStyle w:val="ICCENormalText1stparagraph"/>
              <w:rPr>
                <w:sz w:val="20"/>
                <w:szCs w:val="20"/>
              </w:rPr>
            </w:pPr>
            <w:r w:rsidRPr="003F2DB9">
              <w:rPr>
                <w:sz w:val="20"/>
                <w:szCs w:val="20"/>
              </w:rPr>
              <w:t>LEED</w:t>
            </w:r>
            <w:r w:rsidR="0099280C" w:rsidRPr="003F2DB9">
              <w:rPr>
                <w:sz w:val="20"/>
                <w:szCs w:val="20"/>
              </w:rPr>
              <w:t>,</w:t>
            </w:r>
            <w:r w:rsidRPr="003F2DB9">
              <w:rPr>
                <w:sz w:val="20"/>
                <w:szCs w:val="20"/>
              </w:rPr>
              <w:t xml:space="preserve"> Energy Star</w:t>
            </w:r>
          </w:p>
        </w:tc>
      </w:tr>
      <w:tr w:rsidR="008F4347" w:rsidRPr="003F2DB9" w14:paraId="3B688257" w14:textId="77777777" w:rsidTr="006B718B">
        <w:trPr>
          <w:trHeight w:hRule="exact" w:val="520"/>
          <w:jc w:val="center"/>
        </w:trPr>
        <w:tc>
          <w:tcPr>
            <w:tcW w:w="4111" w:type="dxa"/>
            <w:vAlign w:val="center"/>
          </w:tcPr>
          <w:p w14:paraId="29260BEC" w14:textId="77777777" w:rsidR="00454172" w:rsidRPr="003F2DB9" w:rsidRDefault="00454172" w:rsidP="003821E0">
            <w:pPr>
              <w:pStyle w:val="ICCENormalText1stparagraph"/>
              <w:rPr>
                <w:sz w:val="20"/>
                <w:szCs w:val="20"/>
              </w:rPr>
            </w:pPr>
            <w:r w:rsidRPr="003F2DB9">
              <w:rPr>
                <w:sz w:val="20"/>
                <w:szCs w:val="20"/>
              </w:rPr>
              <w:t>Europe</w:t>
            </w:r>
          </w:p>
        </w:tc>
        <w:tc>
          <w:tcPr>
            <w:tcW w:w="2589" w:type="dxa"/>
            <w:vAlign w:val="center"/>
          </w:tcPr>
          <w:p w14:paraId="33A417B4" w14:textId="68FE00B7" w:rsidR="00454172" w:rsidRPr="003F2DB9" w:rsidRDefault="00454172" w:rsidP="003821E0">
            <w:pPr>
              <w:pStyle w:val="ICCENormalText1stparagraph"/>
              <w:rPr>
                <w:sz w:val="20"/>
                <w:szCs w:val="20"/>
              </w:rPr>
            </w:pPr>
            <w:r w:rsidRPr="003F2DB9">
              <w:rPr>
                <w:sz w:val="20"/>
                <w:szCs w:val="20"/>
              </w:rPr>
              <w:t>BREEAM</w:t>
            </w:r>
            <w:r w:rsidR="0099280C" w:rsidRPr="003F2DB9">
              <w:rPr>
                <w:sz w:val="20"/>
                <w:szCs w:val="20"/>
              </w:rPr>
              <w:t xml:space="preserve">, </w:t>
            </w:r>
            <w:r w:rsidRPr="003F2DB9">
              <w:rPr>
                <w:sz w:val="20"/>
                <w:szCs w:val="20"/>
              </w:rPr>
              <w:t>DGNB</w:t>
            </w:r>
          </w:p>
        </w:tc>
      </w:tr>
      <w:tr w:rsidR="00454172" w:rsidRPr="003F2DB9" w14:paraId="0C2D8CF8" w14:textId="77777777" w:rsidTr="006B718B">
        <w:trPr>
          <w:trHeight w:hRule="exact" w:val="520"/>
          <w:jc w:val="center"/>
        </w:trPr>
        <w:tc>
          <w:tcPr>
            <w:tcW w:w="4111" w:type="dxa"/>
            <w:vAlign w:val="center"/>
          </w:tcPr>
          <w:p w14:paraId="335D10EF" w14:textId="77777777" w:rsidR="00454172" w:rsidRPr="003F2DB9" w:rsidRDefault="00454172" w:rsidP="003821E0">
            <w:pPr>
              <w:pStyle w:val="ICCENormalText1stparagraph"/>
              <w:rPr>
                <w:sz w:val="20"/>
                <w:szCs w:val="20"/>
              </w:rPr>
            </w:pPr>
            <w:r w:rsidRPr="003F2DB9">
              <w:rPr>
                <w:sz w:val="20"/>
                <w:szCs w:val="20"/>
              </w:rPr>
              <w:lastRenderedPageBreak/>
              <w:t>Other parts of the world</w:t>
            </w:r>
          </w:p>
        </w:tc>
        <w:tc>
          <w:tcPr>
            <w:tcW w:w="2589" w:type="dxa"/>
            <w:vAlign w:val="center"/>
          </w:tcPr>
          <w:p w14:paraId="145F65B0" w14:textId="398A5A54" w:rsidR="00454172" w:rsidRPr="003F2DB9" w:rsidRDefault="00454172" w:rsidP="003821E0">
            <w:pPr>
              <w:pStyle w:val="ICCENormalText1stparagraph"/>
              <w:rPr>
                <w:sz w:val="20"/>
                <w:szCs w:val="20"/>
              </w:rPr>
            </w:pPr>
            <w:r w:rsidRPr="003F2DB9">
              <w:rPr>
                <w:sz w:val="20"/>
                <w:szCs w:val="20"/>
              </w:rPr>
              <w:t>LEED</w:t>
            </w:r>
            <w:r w:rsidR="0099280C" w:rsidRPr="003F2DB9">
              <w:rPr>
                <w:sz w:val="20"/>
                <w:szCs w:val="20"/>
              </w:rPr>
              <w:t>,</w:t>
            </w:r>
            <w:r w:rsidRPr="003F2DB9">
              <w:rPr>
                <w:sz w:val="20"/>
                <w:szCs w:val="20"/>
              </w:rPr>
              <w:t xml:space="preserve"> </w:t>
            </w:r>
            <w:r w:rsidR="0099280C" w:rsidRPr="003F2DB9">
              <w:rPr>
                <w:sz w:val="20"/>
                <w:szCs w:val="20"/>
              </w:rPr>
              <w:t>C</w:t>
            </w:r>
            <w:r w:rsidRPr="003F2DB9">
              <w:rPr>
                <w:sz w:val="20"/>
                <w:szCs w:val="20"/>
              </w:rPr>
              <w:t>ountry-specific certifications</w:t>
            </w:r>
          </w:p>
        </w:tc>
      </w:tr>
    </w:tbl>
    <w:p w14:paraId="70A1DCF9" w14:textId="77777777" w:rsidR="003821E0" w:rsidRPr="003F2DB9" w:rsidRDefault="003821E0" w:rsidP="00875B17">
      <w:pPr>
        <w:pStyle w:val="ICCENormalText1stparagraph"/>
        <w:jc w:val="left"/>
        <w:rPr>
          <w:sz w:val="20"/>
          <w:szCs w:val="20"/>
        </w:rPr>
      </w:pPr>
    </w:p>
    <w:p w14:paraId="66A9C361" w14:textId="77777777" w:rsidR="00423163" w:rsidRPr="003F2DB9" w:rsidRDefault="00423163" w:rsidP="00387F68">
      <w:pPr>
        <w:shd w:val="clear" w:color="auto" w:fill="FFFFFF"/>
        <w:spacing w:after="150" w:line="240" w:lineRule="auto"/>
        <w:jc w:val="center"/>
        <w:rPr>
          <w:rFonts w:ascii="Times New Roman" w:eastAsia="Times New Roman" w:hAnsi="Times New Roman" w:cs="Times New Roman"/>
          <w:sz w:val="20"/>
          <w:szCs w:val="20"/>
        </w:rPr>
      </w:pPr>
    </w:p>
    <w:p w14:paraId="376F6974" w14:textId="277F88A5" w:rsidR="006A3B7F" w:rsidRPr="003F2DB9" w:rsidRDefault="006A3B7F" w:rsidP="006A3B7F">
      <w:pPr>
        <w:shd w:val="clear" w:color="auto" w:fill="FFFFFF"/>
        <w:spacing w:after="150" w:line="240" w:lineRule="auto"/>
        <w:rPr>
          <w:rFonts w:ascii="Times New Roman" w:eastAsia="Times New Roman" w:hAnsi="Times New Roman" w:cs="Times New Roman"/>
          <w:sz w:val="20"/>
          <w:szCs w:val="20"/>
        </w:rPr>
      </w:pPr>
      <w:r w:rsidRPr="003F2DB9">
        <w:rPr>
          <w:rFonts w:ascii="Times New Roman" w:eastAsia="Times New Roman" w:hAnsi="Times New Roman" w:cs="Times New Roman"/>
          <w:sz w:val="20"/>
          <w:szCs w:val="20"/>
        </w:rPr>
        <w:t xml:space="preserve">V. </w:t>
      </w:r>
      <w:r w:rsidR="008516D0" w:rsidRPr="003F2DB9">
        <w:rPr>
          <w:rFonts w:ascii="Times New Roman" w:eastAsia="Times New Roman" w:hAnsi="Times New Roman" w:cs="Times New Roman"/>
          <w:sz w:val="20"/>
          <w:szCs w:val="20"/>
        </w:rPr>
        <w:t>DISCUSSION</w:t>
      </w:r>
    </w:p>
    <w:p w14:paraId="33E4BD2A" w14:textId="59860E10" w:rsidR="002B78D9" w:rsidRPr="003F2DB9" w:rsidRDefault="002B78D9" w:rsidP="002B78D9">
      <w:pPr>
        <w:shd w:val="clear" w:color="auto" w:fill="FFFFFF"/>
        <w:spacing w:after="150" w:line="240" w:lineRule="auto"/>
        <w:jc w:val="both"/>
        <w:rPr>
          <w:rFonts w:ascii="Times New Roman" w:eastAsia="Times New Roman" w:hAnsi="Times New Roman" w:cs="Times New Roman"/>
          <w:sz w:val="20"/>
          <w:szCs w:val="20"/>
        </w:rPr>
      </w:pPr>
      <w:r w:rsidRPr="003F2DB9">
        <w:rPr>
          <w:rFonts w:ascii="Times New Roman" w:eastAsia="Times New Roman" w:hAnsi="Times New Roman" w:cs="Times New Roman"/>
          <w:sz w:val="20"/>
          <w:szCs w:val="20"/>
        </w:rPr>
        <w:t xml:space="preserve">The outcomes indicate that distinct geopolitical regions implement various green certifications. Nevertheless, </w:t>
      </w:r>
      <w:proofErr w:type="gramStart"/>
      <w:r w:rsidRPr="003F2DB9">
        <w:rPr>
          <w:rFonts w:ascii="Times New Roman" w:eastAsia="Times New Roman" w:hAnsi="Times New Roman" w:cs="Times New Roman"/>
          <w:sz w:val="20"/>
          <w:szCs w:val="20"/>
        </w:rPr>
        <w:t>all of</w:t>
      </w:r>
      <w:proofErr w:type="gramEnd"/>
      <w:r w:rsidRPr="003F2DB9">
        <w:rPr>
          <w:rFonts w:ascii="Times New Roman" w:eastAsia="Times New Roman" w:hAnsi="Times New Roman" w:cs="Times New Roman"/>
          <w:sz w:val="20"/>
          <w:szCs w:val="20"/>
        </w:rPr>
        <w:t xml:space="preserve"> these certifications demand an added investment in MEP, especially in IoT, to attain green status, regardless of the geopolitical zone. Consequently, the aim of this review study was to determine how green certification impacted the rental prices of office buildings. </w:t>
      </w:r>
      <w:bookmarkStart w:id="0" w:name="_Hlk135763239"/>
      <w:r w:rsidRPr="003F2DB9">
        <w:rPr>
          <w:rFonts w:ascii="Times New Roman" w:eastAsia="Times New Roman" w:hAnsi="Times New Roman" w:cs="Times New Roman"/>
          <w:sz w:val="20"/>
          <w:szCs w:val="20"/>
        </w:rPr>
        <w:t>The rental premiums that green-certified buildings received in comparison to non-certified buildings in various geopolitical regions are presented in Tables 5,</w:t>
      </w:r>
      <w:r w:rsidR="00D95C9E" w:rsidRPr="003F2DB9">
        <w:rPr>
          <w:rFonts w:ascii="Times New Roman" w:eastAsia="Times New Roman" w:hAnsi="Times New Roman" w:cs="Times New Roman"/>
          <w:sz w:val="20"/>
          <w:szCs w:val="20"/>
        </w:rPr>
        <w:t xml:space="preserve"> 6</w:t>
      </w:r>
      <w:r w:rsidRPr="003F2DB9">
        <w:rPr>
          <w:rFonts w:ascii="Times New Roman" w:eastAsia="Times New Roman" w:hAnsi="Times New Roman" w:cs="Times New Roman"/>
          <w:sz w:val="20"/>
          <w:szCs w:val="20"/>
        </w:rPr>
        <w:t xml:space="preserve"> and </w:t>
      </w:r>
      <w:r w:rsidR="00D95C9E" w:rsidRPr="003F2DB9">
        <w:rPr>
          <w:rFonts w:ascii="Times New Roman" w:eastAsia="Times New Roman" w:hAnsi="Times New Roman" w:cs="Times New Roman"/>
          <w:sz w:val="20"/>
          <w:szCs w:val="20"/>
        </w:rPr>
        <w:t>7</w:t>
      </w:r>
      <w:bookmarkEnd w:id="0"/>
      <w:r w:rsidRPr="003F2DB9">
        <w:rPr>
          <w:rFonts w:ascii="Times New Roman" w:eastAsia="Times New Roman" w:hAnsi="Times New Roman" w:cs="Times New Roman"/>
          <w:sz w:val="20"/>
          <w:szCs w:val="20"/>
        </w:rPr>
        <w:t xml:space="preserve">. Overall, the findings confirmed that tenants in the USA and Europe placed a high value on green office development and were willing to pay a higher rental premium for certified buildings over non-certified ones. This trend also extended to other parts of the world, including Latin America and Asia. However, the green premium varied according to the type of certification within the same geopolitical region. </w:t>
      </w:r>
      <w:r w:rsidR="00E03BF8" w:rsidRPr="003F2DB9">
        <w:rPr>
          <w:rFonts w:ascii="Times New Roman" w:eastAsia="Times New Roman" w:hAnsi="Times New Roman" w:cs="Times New Roman"/>
          <w:sz w:val="20"/>
          <w:szCs w:val="20"/>
        </w:rPr>
        <w:t>The outcomes of the sample reviews are thoroughly analyzed and scored individually for important geopolitical zones in the next section.</w:t>
      </w:r>
      <w:r w:rsidRPr="003F2DB9">
        <w:rPr>
          <w:rFonts w:ascii="Times New Roman" w:eastAsia="Times New Roman" w:hAnsi="Times New Roman" w:cs="Times New Roman"/>
          <w:vanish/>
          <w:sz w:val="20"/>
          <w:szCs w:val="20"/>
        </w:rPr>
        <w:t>Top of Form</w:t>
      </w:r>
    </w:p>
    <w:p w14:paraId="7642D167" w14:textId="77777777" w:rsidR="00423163" w:rsidRPr="003F2DB9" w:rsidRDefault="00423163" w:rsidP="002B78D9">
      <w:pPr>
        <w:shd w:val="clear" w:color="auto" w:fill="FFFFFF"/>
        <w:spacing w:after="150" w:line="240" w:lineRule="auto"/>
        <w:jc w:val="both"/>
        <w:rPr>
          <w:rFonts w:ascii="Times New Roman" w:eastAsia="Times New Roman" w:hAnsi="Times New Roman" w:cs="Times New Roman"/>
          <w:vanish/>
          <w:sz w:val="20"/>
          <w:szCs w:val="20"/>
        </w:rPr>
      </w:pPr>
    </w:p>
    <w:p w14:paraId="1D1D7C2E" w14:textId="4E035A6A" w:rsidR="008516D0" w:rsidRPr="003F2DB9" w:rsidRDefault="008516D0" w:rsidP="008516D0">
      <w:pPr>
        <w:shd w:val="clear" w:color="auto" w:fill="FFFFFF"/>
        <w:spacing w:after="150" w:line="240" w:lineRule="auto"/>
        <w:rPr>
          <w:rFonts w:ascii="Times New Roman" w:eastAsia="Times New Roman" w:hAnsi="Times New Roman" w:cs="Times New Roman"/>
          <w:i/>
          <w:sz w:val="20"/>
          <w:szCs w:val="20"/>
        </w:rPr>
      </w:pPr>
      <w:r w:rsidRPr="003F2DB9">
        <w:rPr>
          <w:rFonts w:ascii="Times New Roman" w:eastAsia="Times New Roman" w:hAnsi="Times New Roman" w:cs="Times New Roman"/>
          <w:i/>
          <w:sz w:val="20"/>
          <w:szCs w:val="20"/>
        </w:rPr>
        <w:t xml:space="preserve">A. Studies conducted in the </w:t>
      </w:r>
      <w:r w:rsidR="00113627" w:rsidRPr="003F2DB9">
        <w:rPr>
          <w:rFonts w:ascii="Times New Roman" w:eastAsia="Times New Roman" w:hAnsi="Times New Roman" w:cs="Times New Roman"/>
          <w:i/>
          <w:sz w:val="20"/>
          <w:szCs w:val="20"/>
        </w:rPr>
        <w:t>USA</w:t>
      </w:r>
    </w:p>
    <w:p w14:paraId="303623AE" w14:textId="0982643E" w:rsidR="002B78D9" w:rsidRPr="003F2DB9" w:rsidRDefault="002614DB" w:rsidP="008516D0">
      <w:pPr>
        <w:shd w:val="clear" w:color="auto" w:fill="FFFFFF"/>
        <w:spacing w:after="150" w:line="240" w:lineRule="auto"/>
        <w:jc w:val="both"/>
        <w:rPr>
          <w:rFonts w:ascii="Times New Roman" w:eastAsia="Times New Roman" w:hAnsi="Times New Roman" w:cs="Times New Roman"/>
          <w:sz w:val="20"/>
          <w:szCs w:val="20"/>
        </w:rPr>
      </w:pPr>
      <w:r w:rsidRPr="003F2DB9">
        <w:rPr>
          <w:rFonts w:ascii="Times New Roman" w:eastAsia="Times New Roman" w:hAnsi="Times New Roman" w:cs="Times New Roman"/>
          <w:sz w:val="20"/>
          <w:szCs w:val="20"/>
        </w:rPr>
        <w:t xml:space="preserve">[33] </w:t>
      </w:r>
      <w:r w:rsidR="002B78D9" w:rsidRPr="003F2DB9">
        <w:rPr>
          <w:rFonts w:ascii="Times New Roman" w:eastAsia="Times New Roman" w:hAnsi="Times New Roman" w:cs="Times New Roman"/>
          <w:sz w:val="20"/>
          <w:szCs w:val="20"/>
        </w:rPr>
        <w:t xml:space="preserve">conducted a notable study in the United States, reporting rent premiums of 5.2% and 3.3% for LEED and Energy Star-rated buildings, respectively, between 2004 and 2007. </w:t>
      </w:r>
      <w:r w:rsidRPr="003F2DB9">
        <w:rPr>
          <w:rFonts w:ascii="Times New Roman" w:eastAsia="Times New Roman" w:hAnsi="Times New Roman" w:cs="Times New Roman"/>
          <w:sz w:val="20"/>
          <w:szCs w:val="20"/>
        </w:rPr>
        <w:t xml:space="preserve">[34] </w:t>
      </w:r>
      <w:r w:rsidR="002B78D9" w:rsidRPr="003F2DB9">
        <w:rPr>
          <w:rFonts w:ascii="Times New Roman" w:eastAsia="Times New Roman" w:hAnsi="Times New Roman" w:cs="Times New Roman"/>
          <w:sz w:val="20"/>
          <w:szCs w:val="20"/>
        </w:rPr>
        <w:t xml:space="preserve">conducted a similar study, covering data from 1999 to 2009, and found that </w:t>
      </w:r>
      <w:r w:rsidR="00524E1F" w:rsidRPr="003F2DB9">
        <w:rPr>
          <w:rFonts w:ascii="Times New Roman" w:eastAsia="Times New Roman" w:hAnsi="Times New Roman" w:cs="Times New Roman"/>
          <w:sz w:val="20"/>
          <w:szCs w:val="20"/>
        </w:rPr>
        <w:t xml:space="preserve">the buildings with the certification of </w:t>
      </w:r>
      <w:r w:rsidR="002B78D9" w:rsidRPr="003F2DB9">
        <w:rPr>
          <w:rFonts w:ascii="Times New Roman" w:eastAsia="Times New Roman" w:hAnsi="Times New Roman" w:cs="Times New Roman"/>
          <w:sz w:val="20"/>
          <w:szCs w:val="20"/>
        </w:rPr>
        <w:t xml:space="preserve">LEED and Energy Star had </w:t>
      </w:r>
      <w:r w:rsidR="00524E1F" w:rsidRPr="003F2DB9">
        <w:rPr>
          <w:rFonts w:ascii="Times New Roman" w:eastAsia="Times New Roman" w:hAnsi="Times New Roman" w:cs="Times New Roman"/>
          <w:sz w:val="20"/>
          <w:szCs w:val="20"/>
        </w:rPr>
        <w:t>increased rent by</w:t>
      </w:r>
      <w:r w:rsidR="002B78D9" w:rsidRPr="003F2DB9">
        <w:rPr>
          <w:rFonts w:ascii="Times New Roman" w:eastAsia="Times New Roman" w:hAnsi="Times New Roman" w:cs="Times New Roman"/>
          <w:sz w:val="20"/>
          <w:szCs w:val="20"/>
        </w:rPr>
        <w:t xml:space="preserve"> 3% to 5%, which was consistent with Eichholtz et al.'s earlier findings. Furthermore, the study indicated that a building with dual certification garnered a 9% </w:t>
      </w:r>
      <w:r w:rsidR="004942D5" w:rsidRPr="003F2DB9">
        <w:rPr>
          <w:rFonts w:ascii="Times New Roman" w:eastAsia="Times New Roman" w:hAnsi="Times New Roman" w:cs="Times New Roman"/>
          <w:sz w:val="20"/>
          <w:szCs w:val="20"/>
        </w:rPr>
        <w:t xml:space="preserve">incremental </w:t>
      </w:r>
      <w:r w:rsidR="002B78D9" w:rsidRPr="003F2DB9">
        <w:rPr>
          <w:rFonts w:ascii="Times New Roman" w:eastAsia="Times New Roman" w:hAnsi="Times New Roman" w:cs="Times New Roman"/>
          <w:sz w:val="20"/>
          <w:szCs w:val="20"/>
        </w:rPr>
        <w:t xml:space="preserve">rent. </w:t>
      </w:r>
      <w:r w:rsidRPr="003F2DB9">
        <w:rPr>
          <w:rFonts w:ascii="Times New Roman" w:eastAsia="Times New Roman" w:hAnsi="Times New Roman" w:cs="Times New Roman"/>
          <w:sz w:val="20"/>
          <w:szCs w:val="20"/>
        </w:rPr>
        <w:t xml:space="preserve">[35] </w:t>
      </w:r>
      <w:r w:rsidR="002B78D9" w:rsidRPr="003F2DB9">
        <w:rPr>
          <w:rFonts w:ascii="Times New Roman" w:eastAsia="Times New Roman" w:hAnsi="Times New Roman" w:cs="Times New Roman"/>
          <w:sz w:val="20"/>
          <w:szCs w:val="20"/>
        </w:rPr>
        <w:t xml:space="preserve">conducted a study </w:t>
      </w:r>
      <w:r w:rsidR="004942D5" w:rsidRPr="003F2DB9">
        <w:rPr>
          <w:rFonts w:ascii="Times New Roman" w:eastAsia="Times New Roman" w:hAnsi="Times New Roman" w:cs="Times New Roman"/>
          <w:sz w:val="20"/>
          <w:szCs w:val="20"/>
        </w:rPr>
        <w:t xml:space="preserve">between 2000 to 2010 </w:t>
      </w:r>
      <w:r w:rsidR="002B78D9" w:rsidRPr="003F2DB9">
        <w:rPr>
          <w:rFonts w:ascii="Times New Roman" w:eastAsia="Times New Roman" w:hAnsi="Times New Roman" w:cs="Times New Roman"/>
          <w:sz w:val="20"/>
          <w:szCs w:val="20"/>
        </w:rPr>
        <w:t xml:space="preserve">in the US, which showed that </w:t>
      </w:r>
      <w:r w:rsidR="004942D5" w:rsidRPr="003F2DB9">
        <w:rPr>
          <w:rFonts w:ascii="Times New Roman" w:eastAsia="Times New Roman" w:hAnsi="Times New Roman" w:cs="Times New Roman"/>
          <w:sz w:val="20"/>
          <w:szCs w:val="20"/>
        </w:rPr>
        <w:t xml:space="preserve">the buildings certified with </w:t>
      </w:r>
      <w:r w:rsidR="002B78D9" w:rsidRPr="003F2DB9">
        <w:rPr>
          <w:rFonts w:ascii="Times New Roman" w:eastAsia="Times New Roman" w:hAnsi="Times New Roman" w:cs="Times New Roman"/>
          <w:sz w:val="20"/>
          <w:szCs w:val="20"/>
        </w:rPr>
        <w:t xml:space="preserve">Energy Star and LEED commanded a rental premium, and the premium increased between 2006 and 2008 but decreased after 2008, likely due to the economic downturn. </w:t>
      </w:r>
      <w:r w:rsidR="00454BCB" w:rsidRPr="003F2DB9">
        <w:rPr>
          <w:rFonts w:ascii="Times New Roman" w:eastAsia="Times New Roman" w:hAnsi="Times New Roman" w:cs="Times New Roman"/>
          <w:sz w:val="20"/>
          <w:szCs w:val="20"/>
        </w:rPr>
        <w:t xml:space="preserve">[36] </w:t>
      </w:r>
      <w:r w:rsidR="002B78D9" w:rsidRPr="003F2DB9">
        <w:rPr>
          <w:rFonts w:ascii="Times New Roman" w:eastAsia="Times New Roman" w:hAnsi="Times New Roman" w:cs="Times New Roman"/>
          <w:sz w:val="20"/>
          <w:szCs w:val="20"/>
        </w:rPr>
        <w:t>obtained similar results, showing that the effective rent remained constant between green and non-green buildings, but both experienced a decrease in rent due to the economic crisis between 2007 and 2009.</w:t>
      </w:r>
      <w:r w:rsidR="0007710D" w:rsidRPr="003F2DB9">
        <w:rPr>
          <w:rFonts w:ascii="Times New Roman" w:eastAsia="Times New Roman" w:hAnsi="Times New Roman" w:cs="Times New Roman"/>
          <w:sz w:val="20"/>
          <w:szCs w:val="20"/>
        </w:rPr>
        <w:t xml:space="preserve"> The evidence suggests that the economic crisis was the sole factor responsible for the decline in rental rates, which impacted both green-certified and non-green buildings.</w:t>
      </w:r>
    </w:p>
    <w:p w14:paraId="2B7CB304" w14:textId="025E1ACD" w:rsidR="003C0757" w:rsidRPr="003F2DB9" w:rsidRDefault="00724055" w:rsidP="00807891">
      <w:pPr>
        <w:shd w:val="clear" w:color="auto" w:fill="FFFFFF"/>
        <w:spacing w:after="150" w:line="240" w:lineRule="auto"/>
        <w:jc w:val="both"/>
        <w:rPr>
          <w:rFonts w:ascii="Times New Roman" w:eastAsia="Times New Roman" w:hAnsi="Times New Roman" w:cs="Times New Roman"/>
          <w:sz w:val="20"/>
          <w:szCs w:val="20"/>
        </w:rPr>
      </w:pPr>
      <w:r w:rsidRPr="003F2DB9">
        <w:rPr>
          <w:rFonts w:ascii="Times New Roman" w:eastAsia="Times New Roman" w:hAnsi="Times New Roman" w:cs="Times New Roman"/>
          <w:sz w:val="20"/>
          <w:szCs w:val="20"/>
        </w:rPr>
        <w:t>Green buildings offer significant economic advantages beyond</w:t>
      </w:r>
      <w:r w:rsidR="000667F7" w:rsidRPr="003F2DB9">
        <w:rPr>
          <w:rFonts w:ascii="Times New Roman" w:eastAsia="Times New Roman" w:hAnsi="Times New Roman" w:cs="Times New Roman"/>
          <w:sz w:val="20"/>
          <w:szCs w:val="20"/>
        </w:rPr>
        <w:t xml:space="preserve"> </w:t>
      </w:r>
      <w:r w:rsidRPr="003F2DB9">
        <w:rPr>
          <w:rFonts w:ascii="Times New Roman" w:eastAsia="Times New Roman" w:hAnsi="Times New Roman" w:cs="Times New Roman"/>
          <w:sz w:val="20"/>
          <w:szCs w:val="20"/>
        </w:rPr>
        <w:t xml:space="preserve">rental premiums. According to research conducted by </w:t>
      </w:r>
      <w:r w:rsidR="00454BCB" w:rsidRPr="003F2DB9">
        <w:rPr>
          <w:rFonts w:ascii="Times New Roman" w:eastAsia="Times New Roman" w:hAnsi="Times New Roman" w:cs="Times New Roman"/>
          <w:sz w:val="20"/>
          <w:szCs w:val="20"/>
        </w:rPr>
        <w:t>[37]</w:t>
      </w:r>
      <w:r w:rsidRPr="003F2DB9">
        <w:rPr>
          <w:rFonts w:ascii="Times New Roman" w:eastAsia="Times New Roman" w:hAnsi="Times New Roman" w:cs="Times New Roman"/>
          <w:sz w:val="20"/>
          <w:szCs w:val="20"/>
        </w:rPr>
        <w:t xml:space="preserve">, there is a clear positive correlation between LEED and Energy </w:t>
      </w:r>
      <w:r w:rsidR="00C41AD7" w:rsidRPr="003F2DB9">
        <w:rPr>
          <w:rFonts w:ascii="Times New Roman" w:eastAsia="Times New Roman" w:hAnsi="Times New Roman" w:cs="Times New Roman"/>
          <w:sz w:val="20"/>
          <w:szCs w:val="20"/>
        </w:rPr>
        <w:t>Star-certified</w:t>
      </w:r>
      <w:r w:rsidRPr="003F2DB9">
        <w:rPr>
          <w:rFonts w:ascii="Times New Roman" w:eastAsia="Times New Roman" w:hAnsi="Times New Roman" w:cs="Times New Roman"/>
          <w:sz w:val="20"/>
          <w:szCs w:val="20"/>
        </w:rPr>
        <w:t xml:space="preserve"> buildings and rental rates, occupancy levels, and selling prices. </w:t>
      </w:r>
      <w:r w:rsidR="006C5AD3" w:rsidRPr="003F2DB9">
        <w:rPr>
          <w:rFonts w:ascii="Times New Roman" w:eastAsia="Times New Roman" w:hAnsi="Times New Roman" w:cs="Times New Roman"/>
          <w:sz w:val="20"/>
          <w:szCs w:val="20"/>
        </w:rPr>
        <w:t xml:space="preserve">Corroborating the </w:t>
      </w:r>
      <w:proofErr w:type="gramStart"/>
      <w:r w:rsidR="006C5AD3" w:rsidRPr="003F2DB9">
        <w:rPr>
          <w:rFonts w:ascii="Times New Roman" w:eastAsia="Times New Roman" w:hAnsi="Times New Roman" w:cs="Times New Roman"/>
          <w:sz w:val="20"/>
          <w:szCs w:val="20"/>
        </w:rPr>
        <w:t>aforementioned point</w:t>
      </w:r>
      <w:proofErr w:type="gramEnd"/>
      <w:r w:rsidR="006C5AD3" w:rsidRPr="003F2DB9">
        <w:rPr>
          <w:rFonts w:ascii="Times New Roman" w:eastAsia="Times New Roman" w:hAnsi="Times New Roman" w:cs="Times New Roman"/>
          <w:sz w:val="20"/>
          <w:szCs w:val="20"/>
        </w:rPr>
        <w:t xml:space="preserve">, several studies conducted in the US market have confirmed that green certification positively impacts occupancy rates </w:t>
      </w:r>
      <w:r w:rsidR="00454BCB" w:rsidRPr="003F2DB9">
        <w:rPr>
          <w:rFonts w:ascii="Times New Roman" w:eastAsia="Times New Roman" w:hAnsi="Times New Roman" w:cs="Times New Roman"/>
          <w:sz w:val="20"/>
          <w:szCs w:val="20"/>
        </w:rPr>
        <w:t>[32] [38]</w:t>
      </w:r>
      <w:r w:rsidR="006C5AD3" w:rsidRPr="003F2DB9">
        <w:rPr>
          <w:rFonts w:ascii="Times New Roman" w:eastAsia="Times New Roman" w:hAnsi="Times New Roman" w:cs="Times New Roman"/>
          <w:sz w:val="20"/>
          <w:szCs w:val="20"/>
        </w:rPr>
        <w:t>.</w:t>
      </w:r>
      <w:r w:rsidR="00631C86" w:rsidRPr="003F2DB9">
        <w:rPr>
          <w:rFonts w:ascii="Times New Roman" w:eastAsia="Times New Roman" w:hAnsi="Times New Roman" w:cs="Times New Roman"/>
          <w:sz w:val="20"/>
          <w:szCs w:val="20"/>
        </w:rPr>
        <w:t xml:space="preserve"> </w:t>
      </w:r>
      <w:r w:rsidR="00622577" w:rsidRPr="003F2DB9">
        <w:rPr>
          <w:rFonts w:ascii="Times New Roman" w:eastAsia="Times New Roman" w:hAnsi="Times New Roman" w:cs="Times New Roman"/>
          <w:sz w:val="20"/>
          <w:szCs w:val="20"/>
        </w:rPr>
        <w:t xml:space="preserve">An interesting discovery from an independent study conducted by </w:t>
      </w:r>
      <w:r w:rsidR="00454BCB" w:rsidRPr="003F2DB9">
        <w:rPr>
          <w:rFonts w:ascii="Times New Roman" w:eastAsia="Times New Roman" w:hAnsi="Times New Roman" w:cs="Times New Roman"/>
          <w:sz w:val="20"/>
          <w:szCs w:val="20"/>
        </w:rPr>
        <w:t xml:space="preserve">[39] </w:t>
      </w:r>
      <w:r w:rsidR="00622577" w:rsidRPr="003F2DB9">
        <w:rPr>
          <w:rFonts w:ascii="Times New Roman" w:eastAsia="Times New Roman" w:hAnsi="Times New Roman" w:cs="Times New Roman"/>
          <w:sz w:val="20"/>
          <w:szCs w:val="20"/>
        </w:rPr>
        <w:t xml:space="preserve">indicated that commercial mortgage-backed securities (CMBS) for buildings with green certifications demonstrated a 34% lower default rate in loan repayment when compared to conventional office buildings. </w:t>
      </w:r>
      <w:r w:rsidRPr="003F2DB9">
        <w:rPr>
          <w:rFonts w:ascii="Times New Roman" w:eastAsia="Times New Roman" w:hAnsi="Times New Roman" w:cs="Times New Roman"/>
          <w:sz w:val="20"/>
          <w:szCs w:val="20"/>
        </w:rPr>
        <w:t xml:space="preserve">This indicates that </w:t>
      </w:r>
      <w:r w:rsidR="0052622F" w:rsidRPr="003F2DB9">
        <w:rPr>
          <w:rFonts w:ascii="Times New Roman" w:eastAsia="Times New Roman" w:hAnsi="Times New Roman" w:cs="Times New Roman"/>
          <w:sz w:val="20"/>
          <w:szCs w:val="20"/>
        </w:rPr>
        <w:t>green-rated</w:t>
      </w:r>
      <w:r w:rsidR="00631C86" w:rsidRPr="003F2DB9">
        <w:rPr>
          <w:rFonts w:ascii="Times New Roman" w:eastAsia="Times New Roman" w:hAnsi="Times New Roman" w:cs="Times New Roman"/>
          <w:sz w:val="20"/>
          <w:szCs w:val="20"/>
        </w:rPr>
        <w:t xml:space="preserve"> </w:t>
      </w:r>
      <w:r w:rsidRPr="003F2DB9">
        <w:rPr>
          <w:rFonts w:ascii="Times New Roman" w:eastAsia="Times New Roman" w:hAnsi="Times New Roman" w:cs="Times New Roman"/>
          <w:sz w:val="20"/>
          <w:szCs w:val="20"/>
        </w:rPr>
        <w:t xml:space="preserve">buildings perform better than their non-certified counterparts. Furthermore, green buildings have been shown to help </w:t>
      </w:r>
      <w:proofErr w:type="spellStart"/>
      <w:r w:rsidRPr="003F2DB9">
        <w:rPr>
          <w:rFonts w:ascii="Times New Roman" w:eastAsia="Times New Roman" w:hAnsi="Times New Roman" w:cs="Times New Roman"/>
          <w:sz w:val="20"/>
          <w:szCs w:val="20"/>
        </w:rPr>
        <w:t>stabilise</w:t>
      </w:r>
      <w:proofErr w:type="spellEnd"/>
      <w:r w:rsidRPr="003F2DB9">
        <w:rPr>
          <w:rFonts w:ascii="Times New Roman" w:eastAsia="Times New Roman" w:hAnsi="Times New Roman" w:cs="Times New Roman"/>
          <w:sz w:val="20"/>
          <w:szCs w:val="20"/>
        </w:rPr>
        <w:t xml:space="preserve"> rental prices </w:t>
      </w:r>
      <w:r w:rsidR="00D93E4A" w:rsidRPr="003F2DB9">
        <w:rPr>
          <w:rFonts w:ascii="Times New Roman" w:eastAsia="Times New Roman" w:hAnsi="Times New Roman" w:cs="Times New Roman"/>
          <w:sz w:val="20"/>
          <w:szCs w:val="20"/>
        </w:rPr>
        <w:t>in different real estate market circumstances</w:t>
      </w:r>
      <w:r w:rsidRPr="003F2DB9">
        <w:rPr>
          <w:rFonts w:ascii="Times New Roman" w:eastAsia="Times New Roman" w:hAnsi="Times New Roman" w:cs="Times New Roman"/>
          <w:sz w:val="20"/>
          <w:szCs w:val="20"/>
        </w:rPr>
        <w:t xml:space="preserve">, </w:t>
      </w:r>
      <w:r w:rsidR="00801DB6" w:rsidRPr="003F2DB9">
        <w:rPr>
          <w:rFonts w:ascii="Times New Roman" w:eastAsia="Times New Roman" w:hAnsi="Times New Roman" w:cs="Times New Roman"/>
          <w:sz w:val="20"/>
          <w:szCs w:val="20"/>
        </w:rPr>
        <w:t xml:space="preserve">mitigating or potentially eliminating certain adverse impacts of economic downturns. </w:t>
      </w:r>
      <w:r w:rsidR="008E2E44" w:rsidRPr="003F2DB9">
        <w:rPr>
          <w:rFonts w:ascii="Times New Roman" w:eastAsia="Times New Roman" w:hAnsi="Times New Roman" w:cs="Times New Roman"/>
          <w:sz w:val="20"/>
          <w:szCs w:val="20"/>
        </w:rPr>
        <w:t>[40]</w:t>
      </w:r>
      <w:r w:rsidRPr="003F2DB9">
        <w:rPr>
          <w:rFonts w:ascii="Times New Roman" w:eastAsia="Times New Roman" w:hAnsi="Times New Roman" w:cs="Times New Roman"/>
          <w:sz w:val="20"/>
          <w:szCs w:val="20"/>
        </w:rPr>
        <w:t>.</w:t>
      </w:r>
      <w:r w:rsidR="00507522" w:rsidRPr="003F2DB9">
        <w:rPr>
          <w:rFonts w:ascii="Times New Roman" w:eastAsia="Times New Roman" w:hAnsi="Times New Roman" w:cs="Times New Roman"/>
          <w:sz w:val="20"/>
          <w:szCs w:val="20"/>
        </w:rPr>
        <w:t xml:space="preserve"> Furthermore, various studies have been published that compare the effectiveness of different green rating systems. One such study, conducted by </w:t>
      </w:r>
      <w:r w:rsidR="008E2E44" w:rsidRPr="003F2DB9">
        <w:rPr>
          <w:rFonts w:ascii="Times New Roman" w:eastAsia="Times New Roman" w:hAnsi="Times New Roman" w:cs="Times New Roman"/>
          <w:sz w:val="20"/>
          <w:szCs w:val="20"/>
        </w:rPr>
        <w:t>[41]</w:t>
      </w:r>
      <w:r w:rsidR="00507522" w:rsidRPr="003F2DB9">
        <w:rPr>
          <w:rFonts w:ascii="Times New Roman" w:eastAsia="Times New Roman" w:hAnsi="Times New Roman" w:cs="Times New Roman"/>
          <w:sz w:val="20"/>
          <w:szCs w:val="20"/>
        </w:rPr>
        <w:t xml:space="preserve">, examined the </w:t>
      </w:r>
      <w:r w:rsidR="00A70113" w:rsidRPr="003F2DB9">
        <w:rPr>
          <w:rFonts w:ascii="Times New Roman" w:eastAsia="Times New Roman" w:hAnsi="Times New Roman" w:cs="Times New Roman"/>
          <w:sz w:val="20"/>
          <w:szCs w:val="20"/>
        </w:rPr>
        <w:t xml:space="preserve">efficacy of </w:t>
      </w:r>
      <w:r w:rsidR="00507522" w:rsidRPr="003F2DB9">
        <w:rPr>
          <w:rFonts w:ascii="Times New Roman" w:eastAsia="Times New Roman" w:hAnsi="Times New Roman" w:cs="Times New Roman"/>
          <w:sz w:val="20"/>
          <w:szCs w:val="20"/>
        </w:rPr>
        <w:t xml:space="preserve">LEED </w:t>
      </w:r>
      <w:r w:rsidR="00A70113" w:rsidRPr="003F2DB9">
        <w:rPr>
          <w:rFonts w:ascii="Times New Roman" w:eastAsia="Times New Roman" w:hAnsi="Times New Roman" w:cs="Times New Roman"/>
          <w:sz w:val="20"/>
          <w:szCs w:val="20"/>
        </w:rPr>
        <w:t xml:space="preserve">certification </w:t>
      </w:r>
      <w:r w:rsidR="00507522" w:rsidRPr="003F2DB9">
        <w:rPr>
          <w:rFonts w:ascii="Times New Roman" w:eastAsia="Times New Roman" w:hAnsi="Times New Roman" w:cs="Times New Roman"/>
          <w:sz w:val="20"/>
          <w:szCs w:val="20"/>
        </w:rPr>
        <w:t xml:space="preserve">and Energy Star </w:t>
      </w:r>
      <w:r w:rsidR="009B0540" w:rsidRPr="003F2DB9">
        <w:rPr>
          <w:rFonts w:ascii="Times New Roman" w:eastAsia="Times New Roman" w:hAnsi="Times New Roman" w:cs="Times New Roman"/>
          <w:sz w:val="20"/>
          <w:szCs w:val="20"/>
        </w:rPr>
        <w:t>ratings</w:t>
      </w:r>
      <w:r w:rsidR="00A70113" w:rsidRPr="003F2DB9">
        <w:rPr>
          <w:rFonts w:ascii="Times New Roman" w:eastAsia="Times New Roman" w:hAnsi="Times New Roman" w:cs="Times New Roman"/>
          <w:sz w:val="20"/>
          <w:szCs w:val="20"/>
        </w:rPr>
        <w:t xml:space="preserve"> </w:t>
      </w:r>
      <w:r w:rsidR="00507522" w:rsidRPr="003F2DB9">
        <w:rPr>
          <w:rFonts w:ascii="Times New Roman" w:eastAsia="Times New Roman" w:hAnsi="Times New Roman" w:cs="Times New Roman"/>
          <w:sz w:val="20"/>
          <w:szCs w:val="20"/>
        </w:rPr>
        <w:t xml:space="preserve">and found that </w:t>
      </w:r>
      <w:r w:rsidR="000013BB" w:rsidRPr="003F2DB9">
        <w:rPr>
          <w:rFonts w:ascii="Times New Roman" w:eastAsia="Times New Roman" w:hAnsi="Times New Roman" w:cs="Times New Roman"/>
          <w:sz w:val="20"/>
          <w:szCs w:val="20"/>
        </w:rPr>
        <w:t>the premium associated with Energy Star certifications decreases as buildings age, whereas the premium for LEED-certified buildings remains constant.</w:t>
      </w:r>
      <w:r w:rsidRPr="003F2DB9">
        <w:rPr>
          <w:rFonts w:ascii="Times New Roman" w:eastAsia="Times New Roman" w:hAnsi="Times New Roman" w:cs="Times New Roman"/>
          <w:sz w:val="20"/>
          <w:szCs w:val="20"/>
        </w:rPr>
        <w:t xml:space="preserve"> This suggests that LEED certification is more effective than Energy Star in mitigating the negative consequences of the market, as noted by </w:t>
      </w:r>
      <w:r w:rsidR="008E2E44" w:rsidRPr="003F2DB9">
        <w:rPr>
          <w:rFonts w:ascii="Times New Roman" w:eastAsia="Times New Roman" w:hAnsi="Times New Roman" w:cs="Times New Roman"/>
          <w:sz w:val="20"/>
          <w:szCs w:val="20"/>
        </w:rPr>
        <w:t>[40]</w:t>
      </w:r>
      <w:r w:rsidRPr="003F2DB9">
        <w:rPr>
          <w:rFonts w:ascii="Times New Roman" w:eastAsia="Times New Roman" w:hAnsi="Times New Roman" w:cs="Times New Roman"/>
          <w:sz w:val="20"/>
          <w:szCs w:val="20"/>
        </w:rPr>
        <w:t xml:space="preserve">. </w:t>
      </w:r>
      <w:r w:rsidR="00075414" w:rsidRPr="003F2DB9">
        <w:rPr>
          <w:rFonts w:ascii="Times New Roman" w:eastAsia="Times New Roman" w:hAnsi="Times New Roman" w:cs="Times New Roman"/>
          <w:sz w:val="20"/>
          <w:szCs w:val="20"/>
        </w:rPr>
        <w:t>This could potentially elucidate the greater popularity of LEED certification over Energy Star in the United States.</w:t>
      </w:r>
      <w:r w:rsidR="003C0757" w:rsidRPr="003F2DB9">
        <w:rPr>
          <w:rFonts w:ascii="Times New Roman" w:eastAsia="Times New Roman" w:hAnsi="Times New Roman" w:cs="Times New Roman"/>
          <w:sz w:val="20"/>
          <w:szCs w:val="20"/>
        </w:rPr>
        <w:t xml:space="preserve"> </w:t>
      </w:r>
    </w:p>
    <w:p w14:paraId="2FC714DB" w14:textId="0170FB6D" w:rsidR="00724055" w:rsidRPr="003F2DB9" w:rsidRDefault="00724055" w:rsidP="008516D0">
      <w:pPr>
        <w:shd w:val="clear" w:color="auto" w:fill="FFFFFF"/>
        <w:spacing w:after="150" w:line="240" w:lineRule="auto"/>
        <w:jc w:val="both"/>
        <w:rPr>
          <w:rFonts w:ascii="Times New Roman" w:eastAsia="Times New Roman" w:hAnsi="Times New Roman" w:cs="Times New Roman"/>
          <w:sz w:val="20"/>
          <w:szCs w:val="20"/>
        </w:rPr>
      </w:pPr>
      <w:r w:rsidRPr="003F2DB9">
        <w:rPr>
          <w:rFonts w:ascii="Times New Roman" w:eastAsia="Times New Roman" w:hAnsi="Times New Roman" w:cs="Times New Roman"/>
          <w:sz w:val="20"/>
          <w:szCs w:val="20"/>
        </w:rPr>
        <w:t xml:space="preserve">It should be noted that not all green features promoted by certification bodies are viewed positively by the public or tenants. </w:t>
      </w:r>
      <w:r w:rsidR="00841C96" w:rsidRPr="003F2DB9">
        <w:rPr>
          <w:rFonts w:ascii="Times New Roman" w:eastAsia="Times New Roman" w:hAnsi="Times New Roman" w:cs="Times New Roman"/>
          <w:sz w:val="20"/>
          <w:szCs w:val="20"/>
        </w:rPr>
        <w:t xml:space="preserve">To investigate the above, the preferences of renters and their willingness to pay (WTP) for green building amenities were looked at in a study by </w:t>
      </w:r>
      <w:r w:rsidR="002228FC" w:rsidRPr="003F2DB9">
        <w:rPr>
          <w:rFonts w:ascii="Times New Roman" w:eastAsia="Times New Roman" w:hAnsi="Times New Roman" w:cs="Times New Roman"/>
          <w:sz w:val="20"/>
          <w:szCs w:val="20"/>
        </w:rPr>
        <w:t>[42]</w:t>
      </w:r>
      <w:r w:rsidR="00841C96" w:rsidRPr="003F2DB9">
        <w:rPr>
          <w:rFonts w:ascii="Times New Roman" w:eastAsia="Times New Roman" w:hAnsi="Times New Roman" w:cs="Times New Roman"/>
          <w:sz w:val="20"/>
          <w:szCs w:val="20"/>
        </w:rPr>
        <w:t>.</w:t>
      </w:r>
      <w:r w:rsidRPr="003F2DB9">
        <w:rPr>
          <w:rFonts w:ascii="Times New Roman" w:eastAsia="Times New Roman" w:hAnsi="Times New Roman" w:cs="Times New Roman"/>
          <w:sz w:val="20"/>
          <w:szCs w:val="20"/>
        </w:rPr>
        <w:t xml:space="preserve"> </w:t>
      </w:r>
      <w:r w:rsidR="00EB37A5" w:rsidRPr="003F2DB9">
        <w:rPr>
          <w:rFonts w:ascii="Times New Roman" w:eastAsia="Times New Roman" w:hAnsi="Times New Roman" w:cs="Times New Roman"/>
          <w:sz w:val="20"/>
          <w:szCs w:val="20"/>
        </w:rPr>
        <w:t>The findings revealed that enhanced indoor air quality and abundant access to natural light were identified as the topmost significant features of green buildings, with a reported willingness-to-pay (WTP) premium of 9.3% in total.</w:t>
      </w:r>
      <w:r w:rsidRPr="003F2DB9">
        <w:rPr>
          <w:rFonts w:ascii="Times New Roman" w:eastAsia="Times New Roman" w:hAnsi="Times New Roman" w:cs="Times New Roman"/>
          <w:sz w:val="20"/>
          <w:szCs w:val="20"/>
        </w:rPr>
        <w:t xml:space="preserve"> To determine which green feature increases the rental premium, another study was conducted by </w:t>
      </w:r>
      <w:r w:rsidR="00124006" w:rsidRPr="003F2DB9">
        <w:rPr>
          <w:rFonts w:ascii="Times New Roman" w:eastAsia="Times New Roman" w:hAnsi="Times New Roman" w:cs="Times New Roman"/>
          <w:sz w:val="20"/>
          <w:szCs w:val="20"/>
        </w:rPr>
        <w:t>[43]</w:t>
      </w:r>
      <w:r w:rsidRPr="003F2DB9">
        <w:rPr>
          <w:rFonts w:ascii="Times New Roman" w:eastAsia="Times New Roman" w:hAnsi="Times New Roman" w:cs="Times New Roman"/>
          <w:sz w:val="20"/>
          <w:szCs w:val="20"/>
        </w:rPr>
        <w:t xml:space="preserve">. </w:t>
      </w:r>
      <w:r w:rsidR="00223962" w:rsidRPr="003F2DB9">
        <w:rPr>
          <w:rFonts w:ascii="Times New Roman" w:eastAsia="Times New Roman" w:hAnsi="Times New Roman" w:cs="Times New Roman"/>
          <w:sz w:val="20"/>
          <w:szCs w:val="20"/>
        </w:rPr>
        <w:t xml:space="preserve">In this study, the floors were categorized into extremely high, high, and low natural daylight levels based on lux level, coverage, and duration, as determined by the researchers. The findings showed that regions with high levels of natural daylight were associated with a premium of 5% compared to regions with low natural daylight levels, while regions with extremely high natural daylight levels commanded a premium of </w:t>
      </w:r>
      <w:r w:rsidR="00223962" w:rsidRPr="003F2DB9">
        <w:rPr>
          <w:rFonts w:ascii="Times New Roman" w:eastAsia="Times New Roman" w:hAnsi="Times New Roman" w:cs="Times New Roman"/>
          <w:sz w:val="20"/>
          <w:szCs w:val="20"/>
        </w:rPr>
        <w:lastRenderedPageBreak/>
        <w:t>6.1% over spaces with low natural daylight levels.</w:t>
      </w:r>
      <w:r w:rsidR="00D46A93" w:rsidRPr="003F2DB9">
        <w:rPr>
          <w:rFonts w:ascii="Times New Roman" w:eastAsia="Times New Roman" w:hAnsi="Times New Roman" w:cs="Times New Roman"/>
          <w:sz w:val="20"/>
          <w:szCs w:val="20"/>
        </w:rPr>
        <w:t xml:space="preserve"> </w:t>
      </w:r>
      <w:r w:rsidRPr="003F2DB9">
        <w:rPr>
          <w:rFonts w:ascii="Times New Roman" w:eastAsia="Times New Roman" w:hAnsi="Times New Roman" w:cs="Times New Roman"/>
          <w:sz w:val="20"/>
          <w:szCs w:val="20"/>
        </w:rPr>
        <w:t xml:space="preserve">Furthermore, </w:t>
      </w:r>
      <w:r w:rsidR="00124006" w:rsidRPr="003F2DB9">
        <w:rPr>
          <w:rFonts w:ascii="Times New Roman" w:eastAsia="Times New Roman" w:hAnsi="Times New Roman" w:cs="Times New Roman"/>
          <w:sz w:val="20"/>
          <w:szCs w:val="20"/>
        </w:rPr>
        <w:t xml:space="preserve">[44] </w:t>
      </w:r>
      <w:r w:rsidRPr="003F2DB9">
        <w:rPr>
          <w:rFonts w:ascii="Times New Roman" w:eastAsia="Times New Roman" w:hAnsi="Times New Roman" w:cs="Times New Roman"/>
          <w:sz w:val="20"/>
          <w:szCs w:val="20"/>
        </w:rPr>
        <w:t xml:space="preserve">conducted a study to identify </w:t>
      </w:r>
      <w:proofErr w:type="spellStart"/>
      <w:r w:rsidR="00D46A93" w:rsidRPr="003F2DB9">
        <w:rPr>
          <w:rFonts w:ascii="Times New Roman" w:eastAsia="Times New Roman" w:hAnsi="Times New Roman" w:cs="Times New Roman"/>
          <w:sz w:val="20"/>
          <w:szCs w:val="20"/>
        </w:rPr>
        <w:t>favoured</w:t>
      </w:r>
      <w:proofErr w:type="spellEnd"/>
      <w:r w:rsidR="00D46A93" w:rsidRPr="003F2DB9">
        <w:rPr>
          <w:rFonts w:ascii="Times New Roman" w:eastAsia="Times New Roman" w:hAnsi="Times New Roman" w:cs="Times New Roman"/>
          <w:sz w:val="20"/>
          <w:szCs w:val="20"/>
        </w:rPr>
        <w:t xml:space="preserve"> green qualities</w:t>
      </w:r>
      <w:r w:rsidRPr="003F2DB9">
        <w:rPr>
          <w:rFonts w:ascii="Times New Roman" w:eastAsia="Times New Roman" w:hAnsi="Times New Roman" w:cs="Times New Roman"/>
          <w:sz w:val="20"/>
          <w:szCs w:val="20"/>
        </w:rPr>
        <w:t xml:space="preserve">. </w:t>
      </w:r>
      <w:r w:rsidR="00D46A93" w:rsidRPr="003F2DB9">
        <w:rPr>
          <w:rFonts w:ascii="Times New Roman" w:eastAsia="Times New Roman" w:hAnsi="Times New Roman" w:cs="Times New Roman"/>
          <w:sz w:val="20"/>
          <w:szCs w:val="20"/>
        </w:rPr>
        <w:t>They discovered that when tenants see green certification marketed by advertisements, they generally assume that the green qualities are there, and their responses reflect this view.</w:t>
      </w:r>
    </w:p>
    <w:p w14:paraId="0078BD79" w14:textId="13F8E273" w:rsidR="00A7727D" w:rsidRPr="003F2DB9" w:rsidRDefault="00A7727D" w:rsidP="008516D0">
      <w:pPr>
        <w:shd w:val="clear" w:color="auto" w:fill="FFFFFF"/>
        <w:spacing w:after="150" w:line="240" w:lineRule="auto"/>
        <w:jc w:val="both"/>
        <w:rPr>
          <w:rFonts w:ascii="Times New Roman" w:eastAsia="Times New Roman" w:hAnsi="Times New Roman" w:cs="Times New Roman"/>
          <w:sz w:val="20"/>
          <w:szCs w:val="20"/>
        </w:rPr>
      </w:pPr>
      <w:r w:rsidRPr="003F2DB9">
        <w:rPr>
          <w:rFonts w:ascii="Times New Roman" w:eastAsia="Times New Roman" w:hAnsi="Times New Roman" w:cs="Times New Roman"/>
          <w:sz w:val="20"/>
          <w:szCs w:val="20"/>
        </w:rPr>
        <w:t xml:space="preserve">Despite the preponderance of research conducted in the United States demonstrating a </w:t>
      </w:r>
      <w:proofErr w:type="spellStart"/>
      <w:r w:rsidRPr="003F2DB9">
        <w:rPr>
          <w:rFonts w:ascii="Times New Roman" w:eastAsia="Times New Roman" w:hAnsi="Times New Roman" w:cs="Times New Roman"/>
          <w:sz w:val="20"/>
          <w:szCs w:val="20"/>
        </w:rPr>
        <w:t>favourable</w:t>
      </w:r>
      <w:proofErr w:type="spellEnd"/>
      <w:r w:rsidRPr="003F2DB9">
        <w:rPr>
          <w:rFonts w:ascii="Times New Roman" w:eastAsia="Times New Roman" w:hAnsi="Times New Roman" w:cs="Times New Roman"/>
          <w:sz w:val="20"/>
          <w:szCs w:val="20"/>
        </w:rPr>
        <w:t xml:space="preserve"> association between green certification and rental rates, </w:t>
      </w:r>
      <w:r w:rsidR="00124006" w:rsidRPr="003F2DB9">
        <w:rPr>
          <w:rFonts w:ascii="Times New Roman" w:eastAsia="Times New Roman" w:hAnsi="Times New Roman" w:cs="Times New Roman"/>
          <w:sz w:val="20"/>
          <w:szCs w:val="20"/>
        </w:rPr>
        <w:t xml:space="preserve">[45] </w:t>
      </w:r>
      <w:r w:rsidRPr="003F2DB9">
        <w:rPr>
          <w:rFonts w:ascii="Times New Roman" w:eastAsia="Times New Roman" w:hAnsi="Times New Roman" w:cs="Times New Roman"/>
          <w:sz w:val="20"/>
          <w:szCs w:val="20"/>
        </w:rPr>
        <w:t xml:space="preserve">revealed that this green premium was evident only in smaller buildings during the period from 2001 to 2011, with limited evidence of such a premium for larger buildings. Adding to this, another study emphasized the need to exercise caution when generalizing findings across various markets within the same country </w:t>
      </w:r>
      <w:r w:rsidR="00124006" w:rsidRPr="003F2DB9">
        <w:rPr>
          <w:rFonts w:ascii="Times New Roman" w:eastAsia="Times New Roman" w:hAnsi="Times New Roman" w:cs="Times New Roman"/>
          <w:sz w:val="20"/>
          <w:szCs w:val="20"/>
        </w:rPr>
        <w:t>[46]</w:t>
      </w:r>
      <w:r w:rsidRPr="003F2DB9">
        <w:rPr>
          <w:rFonts w:ascii="Times New Roman" w:eastAsia="Times New Roman" w:hAnsi="Times New Roman" w:cs="Times New Roman"/>
          <w:sz w:val="20"/>
          <w:szCs w:val="20"/>
        </w:rPr>
        <w:t xml:space="preserve">. </w:t>
      </w:r>
      <w:r w:rsidR="000779FC" w:rsidRPr="003F2DB9">
        <w:rPr>
          <w:rFonts w:ascii="Times New Roman" w:eastAsia="Times New Roman" w:hAnsi="Times New Roman" w:cs="Times New Roman"/>
          <w:sz w:val="20"/>
          <w:szCs w:val="20"/>
        </w:rPr>
        <w:t>The authors conducted a targeted investigation into the influence of the political economy on green developments, with a particular focus on A-grade offices.</w:t>
      </w:r>
      <w:r w:rsidR="00724011" w:rsidRPr="003F2DB9">
        <w:rPr>
          <w:rFonts w:ascii="Times New Roman" w:eastAsia="Times New Roman" w:hAnsi="Times New Roman" w:cs="Times New Roman"/>
          <w:sz w:val="20"/>
          <w:szCs w:val="20"/>
        </w:rPr>
        <w:t xml:space="preserve"> In summary, their findings indicated that rental rates were higher for both green-certified and structures without green certification in blue counties (Democratic) compared to red counties (Republican), as supported by the 2008 election results. This underscores the significant impact of political and economic factors on the rental premiums associated with green certification and highlights the potential influence of market-specific dynamics on the observed outcomes.</w:t>
      </w:r>
    </w:p>
    <w:p w14:paraId="7539B477" w14:textId="72BC4862" w:rsidR="00C35FA8" w:rsidRPr="003F2DB9" w:rsidRDefault="00CB1095" w:rsidP="00B60479">
      <w:pPr>
        <w:shd w:val="clear" w:color="auto" w:fill="FFFFFF"/>
        <w:spacing w:after="150" w:line="240" w:lineRule="auto"/>
        <w:jc w:val="both"/>
        <w:rPr>
          <w:rFonts w:ascii="Times New Roman" w:eastAsia="Times New Roman" w:hAnsi="Times New Roman" w:cs="Times New Roman"/>
          <w:sz w:val="20"/>
          <w:szCs w:val="20"/>
        </w:rPr>
      </w:pPr>
      <w:r w:rsidRPr="003F2DB9">
        <w:rPr>
          <w:rFonts w:ascii="Times New Roman" w:eastAsia="Times New Roman" w:hAnsi="Times New Roman" w:cs="Times New Roman"/>
          <w:sz w:val="20"/>
          <w:szCs w:val="20"/>
        </w:rPr>
        <w:t xml:space="preserve">In addition, there have been other review studies conducted in the US market to investigate the green premium. For instance, </w:t>
      </w:r>
      <w:bookmarkStart w:id="1" w:name="_Hlk132279118"/>
      <w:r w:rsidR="00124006" w:rsidRPr="003F2DB9">
        <w:rPr>
          <w:rFonts w:ascii="Times New Roman" w:eastAsia="Times New Roman" w:hAnsi="Times New Roman" w:cs="Times New Roman"/>
          <w:sz w:val="20"/>
          <w:szCs w:val="20"/>
        </w:rPr>
        <w:t xml:space="preserve">[47] </w:t>
      </w:r>
      <w:bookmarkEnd w:id="1"/>
      <w:r w:rsidRPr="003F2DB9">
        <w:rPr>
          <w:rFonts w:ascii="Times New Roman" w:eastAsia="Times New Roman" w:hAnsi="Times New Roman" w:cs="Times New Roman"/>
          <w:sz w:val="20"/>
          <w:szCs w:val="20"/>
        </w:rPr>
        <w:t>substantiated the existence of green premiums associated with green building certification in the US market. Their research also documented that out of 39 studies, 27 published research papers confirmed a positive correlation between rent and certification, as affirmed by the US Department of Energy.</w:t>
      </w:r>
      <w:r w:rsidR="00612D2F" w:rsidRPr="003F2DB9">
        <w:rPr>
          <w:rFonts w:ascii="Times New Roman" w:eastAsia="Times New Roman" w:hAnsi="Times New Roman" w:cs="Times New Roman"/>
          <w:sz w:val="20"/>
          <w:szCs w:val="20"/>
        </w:rPr>
        <w:t xml:space="preserve"> The </w:t>
      </w:r>
      <w:proofErr w:type="gramStart"/>
      <w:r w:rsidR="00612D2F" w:rsidRPr="003F2DB9">
        <w:rPr>
          <w:rFonts w:ascii="Times New Roman" w:eastAsia="Times New Roman" w:hAnsi="Times New Roman" w:cs="Times New Roman"/>
          <w:sz w:val="20"/>
          <w:szCs w:val="20"/>
        </w:rPr>
        <w:t>aforementioned research</w:t>
      </w:r>
      <w:proofErr w:type="gramEnd"/>
      <w:r w:rsidR="00612D2F" w:rsidRPr="003F2DB9">
        <w:rPr>
          <w:rFonts w:ascii="Times New Roman" w:eastAsia="Times New Roman" w:hAnsi="Times New Roman" w:cs="Times New Roman"/>
          <w:sz w:val="20"/>
          <w:szCs w:val="20"/>
        </w:rPr>
        <w:t xml:space="preserve"> study revealed that the estimated rental premium ranges from approximately 5% and can even reach up to 20% in certain cases.</w:t>
      </w:r>
      <w:r w:rsidR="00C35FA8" w:rsidRPr="003F2DB9">
        <w:rPr>
          <w:rFonts w:ascii="Times New Roman" w:eastAsia="Times New Roman" w:hAnsi="Times New Roman" w:cs="Times New Roman"/>
          <w:sz w:val="20"/>
          <w:szCs w:val="20"/>
        </w:rPr>
        <w:t xml:space="preserve"> A separate review study conducted in the US market by </w:t>
      </w:r>
      <w:r w:rsidR="00124006" w:rsidRPr="003F2DB9">
        <w:rPr>
          <w:rFonts w:ascii="Times New Roman" w:eastAsia="Times New Roman" w:hAnsi="Times New Roman" w:cs="Times New Roman"/>
          <w:sz w:val="20"/>
          <w:szCs w:val="20"/>
        </w:rPr>
        <w:t>[</w:t>
      </w:r>
      <w:r w:rsidR="00464F9C" w:rsidRPr="003F2DB9">
        <w:rPr>
          <w:rFonts w:ascii="Times New Roman" w:eastAsia="Times New Roman" w:hAnsi="Times New Roman" w:cs="Times New Roman"/>
          <w:sz w:val="20"/>
          <w:szCs w:val="20"/>
        </w:rPr>
        <w:t>32</w:t>
      </w:r>
      <w:r w:rsidR="00124006" w:rsidRPr="003F2DB9">
        <w:rPr>
          <w:rFonts w:ascii="Times New Roman" w:eastAsia="Times New Roman" w:hAnsi="Times New Roman" w:cs="Times New Roman"/>
          <w:sz w:val="20"/>
          <w:szCs w:val="20"/>
        </w:rPr>
        <w:t xml:space="preserve">] </w:t>
      </w:r>
      <w:r w:rsidR="00C35FA8" w:rsidRPr="003F2DB9">
        <w:rPr>
          <w:rFonts w:ascii="Times New Roman" w:eastAsia="Times New Roman" w:hAnsi="Times New Roman" w:cs="Times New Roman"/>
          <w:sz w:val="20"/>
          <w:szCs w:val="20"/>
        </w:rPr>
        <w:t>corroborated the existence of a green premium when compared to non-certified counterparts. The study also indicated that the rental premium varied from 0% to 23%, based on their review of 71 published research articles.</w:t>
      </w:r>
    </w:p>
    <w:p w14:paraId="04BA3AEE" w14:textId="32D97D10" w:rsidR="00F834D5" w:rsidRPr="003F2DB9" w:rsidRDefault="00B60479" w:rsidP="006B718B">
      <w:pPr>
        <w:shd w:val="clear" w:color="auto" w:fill="FFFFFF"/>
        <w:spacing w:after="150" w:line="240" w:lineRule="auto"/>
        <w:jc w:val="both"/>
        <w:rPr>
          <w:rFonts w:ascii="Times New Roman" w:eastAsia="Times New Roman" w:hAnsi="Times New Roman" w:cs="Times New Roman"/>
          <w:sz w:val="20"/>
          <w:szCs w:val="20"/>
        </w:rPr>
      </w:pPr>
      <w:r w:rsidRPr="003F2DB9">
        <w:rPr>
          <w:rFonts w:ascii="Times New Roman" w:eastAsia="Times New Roman" w:hAnsi="Times New Roman" w:cs="Times New Roman"/>
          <w:sz w:val="20"/>
          <w:szCs w:val="20"/>
        </w:rPr>
        <w:t>In conclusion, evidence suggests that green certification in the US market contributes positively to rent, with a potential increase of around 10% for certified buildings compared to non-certified ones, although there are few instances of adverse effects. Nonetheless, variations in this premium may occur across different markets due to political and economic factors, and even within a single market based on its overall performance over time</w:t>
      </w:r>
      <w:r w:rsidR="006B718B" w:rsidRPr="003F2DB9">
        <w:rPr>
          <w:rFonts w:ascii="Times New Roman" w:eastAsia="Times New Roman" w:hAnsi="Times New Roman" w:cs="Times New Roman"/>
          <w:sz w:val="20"/>
          <w:szCs w:val="20"/>
        </w:rPr>
        <w:t>.</w:t>
      </w:r>
    </w:p>
    <w:p w14:paraId="70B78723" w14:textId="77777777" w:rsidR="006B718B" w:rsidRPr="003F2DB9" w:rsidRDefault="006B718B" w:rsidP="006B718B">
      <w:pPr>
        <w:shd w:val="clear" w:color="auto" w:fill="FFFFFF"/>
        <w:spacing w:after="150" w:line="240" w:lineRule="auto"/>
        <w:jc w:val="both"/>
        <w:rPr>
          <w:rFonts w:ascii="Times New Roman" w:eastAsia="Times New Roman" w:hAnsi="Times New Roman" w:cs="Times New Roman"/>
          <w:sz w:val="20"/>
          <w:szCs w:val="20"/>
        </w:rPr>
      </w:pPr>
    </w:p>
    <w:p w14:paraId="67FE7558" w14:textId="71B07EC1" w:rsidR="008516D0" w:rsidRPr="003F2DB9" w:rsidRDefault="008516D0" w:rsidP="008516D0">
      <w:pPr>
        <w:shd w:val="clear" w:color="auto" w:fill="FFFFFF"/>
        <w:spacing w:after="150" w:line="240" w:lineRule="auto"/>
        <w:rPr>
          <w:rFonts w:ascii="Times New Roman" w:eastAsia="Times New Roman" w:hAnsi="Times New Roman" w:cs="Times New Roman"/>
          <w:sz w:val="20"/>
          <w:szCs w:val="20"/>
        </w:rPr>
      </w:pPr>
      <w:r w:rsidRPr="003F2DB9">
        <w:rPr>
          <w:rFonts w:ascii="Times New Roman" w:eastAsia="Times New Roman" w:hAnsi="Times New Roman" w:cs="Times New Roman"/>
          <w:sz w:val="20"/>
          <w:szCs w:val="20"/>
        </w:rPr>
        <w:t xml:space="preserve">B. </w:t>
      </w:r>
      <w:r w:rsidRPr="003F2DB9">
        <w:rPr>
          <w:rFonts w:ascii="Times New Roman" w:eastAsia="Times New Roman" w:hAnsi="Times New Roman" w:cs="Times New Roman"/>
          <w:i/>
          <w:iCs/>
          <w:sz w:val="20"/>
          <w:szCs w:val="20"/>
        </w:rPr>
        <w:t xml:space="preserve">Studies conducted in </w:t>
      </w:r>
      <w:r w:rsidR="000D3A3B" w:rsidRPr="003F2DB9">
        <w:rPr>
          <w:rFonts w:ascii="Times New Roman" w:eastAsia="Times New Roman" w:hAnsi="Times New Roman" w:cs="Times New Roman"/>
          <w:i/>
          <w:iCs/>
          <w:sz w:val="20"/>
          <w:szCs w:val="20"/>
        </w:rPr>
        <w:t xml:space="preserve">the European </w:t>
      </w:r>
      <w:r w:rsidR="00CA6293" w:rsidRPr="003F2DB9">
        <w:rPr>
          <w:rFonts w:ascii="Times New Roman" w:eastAsia="Times New Roman" w:hAnsi="Times New Roman" w:cs="Times New Roman"/>
          <w:i/>
          <w:iCs/>
          <w:sz w:val="20"/>
          <w:szCs w:val="20"/>
        </w:rPr>
        <w:t>continent</w:t>
      </w:r>
    </w:p>
    <w:p w14:paraId="0EF3270C" w14:textId="7A6D3189" w:rsidR="00733DC8" w:rsidRPr="003F2DB9" w:rsidRDefault="00733DC8" w:rsidP="005A4352">
      <w:pPr>
        <w:shd w:val="clear" w:color="auto" w:fill="FFFFFF"/>
        <w:spacing w:after="150" w:line="240" w:lineRule="auto"/>
        <w:jc w:val="both"/>
        <w:rPr>
          <w:rFonts w:ascii="Times New Roman" w:eastAsia="Times New Roman" w:hAnsi="Times New Roman" w:cs="Times New Roman"/>
          <w:sz w:val="20"/>
          <w:szCs w:val="20"/>
        </w:rPr>
      </w:pPr>
      <w:r w:rsidRPr="003F2DB9">
        <w:rPr>
          <w:rFonts w:ascii="Times New Roman" w:eastAsia="Times New Roman" w:hAnsi="Times New Roman" w:cs="Times New Roman"/>
          <w:sz w:val="20"/>
          <w:szCs w:val="20"/>
        </w:rPr>
        <w:t xml:space="preserve">The topic has also been extensively studied in Europe, with the </w:t>
      </w:r>
      <w:r w:rsidR="002F0BE7" w:rsidRPr="003F2DB9">
        <w:rPr>
          <w:rFonts w:ascii="Times New Roman" w:eastAsia="Times New Roman" w:hAnsi="Times New Roman" w:cs="Times New Roman"/>
          <w:sz w:val="20"/>
          <w:szCs w:val="20"/>
        </w:rPr>
        <w:t>second-highest</w:t>
      </w:r>
      <w:r w:rsidRPr="003F2DB9">
        <w:rPr>
          <w:rFonts w:ascii="Times New Roman" w:eastAsia="Times New Roman" w:hAnsi="Times New Roman" w:cs="Times New Roman"/>
          <w:sz w:val="20"/>
          <w:szCs w:val="20"/>
        </w:rPr>
        <w:t xml:space="preserve"> number of studies conducted on this subject. </w:t>
      </w:r>
      <w:r w:rsidR="00C117A0" w:rsidRPr="003F2DB9">
        <w:rPr>
          <w:rFonts w:ascii="Times New Roman" w:eastAsia="Times New Roman" w:hAnsi="Times New Roman" w:cs="Times New Roman"/>
          <w:sz w:val="20"/>
          <w:szCs w:val="20"/>
        </w:rPr>
        <w:t>Similarly,</w:t>
      </w:r>
      <w:r w:rsidRPr="003F2DB9">
        <w:rPr>
          <w:rFonts w:ascii="Times New Roman" w:eastAsia="Times New Roman" w:hAnsi="Times New Roman" w:cs="Times New Roman"/>
          <w:sz w:val="20"/>
          <w:szCs w:val="20"/>
        </w:rPr>
        <w:t xml:space="preserve"> to the US market, the results of these studies have been mixed. Among the studies reviewed, 81% showed a</w:t>
      </w:r>
      <w:r w:rsidR="005A4352" w:rsidRPr="003F2DB9">
        <w:rPr>
          <w:rFonts w:ascii="Times New Roman" w:eastAsia="Times New Roman" w:hAnsi="Times New Roman" w:cs="Times New Roman"/>
          <w:sz w:val="20"/>
          <w:szCs w:val="20"/>
        </w:rPr>
        <w:t xml:space="preserve"> </w:t>
      </w:r>
      <w:proofErr w:type="spellStart"/>
      <w:r w:rsidR="005A4352" w:rsidRPr="003F2DB9">
        <w:rPr>
          <w:rFonts w:ascii="Times New Roman" w:eastAsia="Times New Roman" w:hAnsi="Times New Roman" w:cs="Times New Roman"/>
          <w:sz w:val="20"/>
          <w:szCs w:val="20"/>
        </w:rPr>
        <w:t>favourable</w:t>
      </w:r>
      <w:proofErr w:type="spellEnd"/>
      <w:r w:rsidR="005A4352" w:rsidRPr="003F2DB9">
        <w:rPr>
          <w:rFonts w:ascii="Times New Roman" w:eastAsia="Times New Roman" w:hAnsi="Times New Roman" w:cs="Times New Roman"/>
          <w:sz w:val="20"/>
          <w:szCs w:val="20"/>
        </w:rPr>
        <w:t xml:space="preserve"> association </w:t>
      </w:r>
      <w:r w:rsidRPr="003F2DB9">
        <w:rPr>
          <w:rFonts w:ascii="Times New Roman" w:eastAsia="Times New Roman" w:hAnsi="Times New Roman" w:cs="Times New Roman"/>
          <w:sz w:val="20"/>
          <w:szCs w:val="20"/>
        </w:rPr>
        <w:t>between rental rates</w:t>
      </w:r>
      <w:r w:rsidR="005A4352" w:rsidRPr="003F2DB9">
        <w:rPr>
          <w:rFonts w:ascii="Times New Roman" w:eastAsia="Times New Roman" w:hAnsi="Times New Roman" w:cs="Times New Roman"/>
          <w:sz w:val="20"/>
          <w:szCs w:val="20"/>
        </w:rPr>
        <w:t xml:space="preserve"> and green status</w:t>
      </w:r>
      <w:r w:rsidRPr="003F2DB9">
        <w:rPr>
          <w:rFonts w:ascii="Times New Roman" w:eastAsia="Times New Roman" w:hAnsi="Times New Roman" w:cs="Times New Roman"/>
          <w:sz w:val="20"/>
          <w:szCs w:val="20"/>
        </w:rPr>
        <w:t xml:space="preserve">. In contrast to the United States, where LEED and Energy Star are the primary certifications, </w:t>
      </w:r>
      <w:r w:rsidR="005A4352" w:rsidRPr="003F2DB9">
        <w:rPr>
          <w:rFonts w:ascii="Times New Roman" w:eastAsia="Times New Roman" w:hAnsi="Times New Roman" w:cs="Times New Roman"/>
          <w:sz w:val="20"/>
          <w:szCs w:val="20"/>
        </w:rPr>
        <w:t xml:space="preserve">in Europe, BREEAM and DGNB are the more commonly used certifications. </w:t>
      </w:r>
      <w:r w:rsidR="005D2D42" w:rsidRPr="003F2DB9">
        <w:rPr>
          <w:rFonts w:ascii="Times New Roman" w:eastAsia="Times New Roman" w:hAnsi="Times New Roman" w:cs="Times New Roman"/>
          <w:sz w:val="20"/>
          <w:szCs w:val="20"/>
        </w:rPr>
        <w:t>The upcoming subsection will analyze and interpret the findings of research conducted in European countries.</w:t>
      </w:r>
    </w:p>
    <w:p w14:paraId="72A2B6A9" w14:textId="433DC5D3" w:rsidR="00182A87" w:rsidRPr="003F2DB9" w:rsidRDefault="00464F9C" w:rsidP="005941B5">
      <w:pPr>
        <w:shd w:val="clear" w:color="auto" w:fill="FFFFFF"/>
        <w:spacing w:after="150" w:line="240" w:lineRule="auto"/>
        <w:jc w:val="both"/>
        <w:rPr>
          <w:rFonts w:ascii="Times New Roman" w:eastAsia="Times New Roman" w:hAnsi="Times New Roman" w:cs="Times New Roman"/>
          <w:sz w:val="20"/>
          <w:szCs w:val="20"/>
        </w:rPr>
      </w:pPr>
      <w:r w:rsidRPr="003F2DB9">
        <w:rPr>
          <w:rFonts w:ascii="Times New Roman" w:eastAsia="Times New Roman" w:hAnsi="Times New Roman" w:cs="Times New Roman"/>
          <w:sz w:val="20"/>
          <w:szCs w:val="20"/>
        </w:rPr>
        <w:t xml:space="preserve">[48] </w:t>
      </w:r>
      <w:r w:rsidR="00724055" w:rsidRPr="003F2DB9">
        <w:rPr>
          <w:rFonts w:ascii="Times New Roman" w:eastAsia="Times New Roman" w:hAnsi="Times New Roman" w:cs="Times New Roman"/>
          <w:sz w:val="20"/>
          <w:szCs w:val="20"/>
        </w:rPr>
        <w:t xml:space="preserve">conducted a significant study that demonstrated green-labelled (BREEAM) buildings in the London office market earned 21% higher rental rates and 26% greater sales transactions compared to non-green-certified buildings. This investigation also discovered that for each additional observed green-certified building, the derived rental rate per square </w:t>
      </w:r>
      <w:r w:rsidR="00D27D38" w:rsidRPr="003F2DB9">
        <w:rPr>
          <w:rFonts w:ascii="Times New Roman" w:eastAsia="Times New Roman" w:hAnsi="Times New Roman" w:cs="Times New Roman"/>
          <w:sz w:val="20"/>
          <w:szCs w:val="20"/>
        </w:rPr>
        <w:t>meter</w:t>
      </w:r>
      <w:r w:rsidR="00724055" w:rsidRPr="003F2DB9">
        <w:rPr>
          <w:rFonts w:ascii="Times New Roman" w:eastAsia="Times New Roman" w:hAnsi="Times New Roman" w:cs="Times New Roman"/>
          <w:sz w:val="20"/>
          <w:szCs w:val="20"/>
        </w:rPr>
        <w:t xml:space="preserve"> increased by 1.6%, potentially due to gentrification. However, clustering green buildings caused a 1.4% lower achievable rental rate for each additional green building, indicating that saturation may lead to lower premiums. Similar results were observed by </w:t>
      </w:r>
      <w:r w:rsidRPr="003F2DB9">
        <w:rPr>
          <w:rFonts w:ascii="Times New Roman" w:eastAsia="Times New Roman" w:hAnsi="Times New Roman" w:cs="Times New Roman"/>
          <w:sz w:val="20"/>
          <w:szCs w:val="20"/>
        </w:rPr>
        <w:t xml:space="preserve">[49] </w:t>
      </w:r>
      <w:r w:rsidR="00724055" w:rsidRPr="003F2DB9">
        <w:rPr>
          <w:rFonts w:ascii="Times New Roman" w:eastAsia="Times New Roman" w:hAnsi="Times New Roman" w:cs="Times New Roman"/>
          <w:sz w:val="20"/>
          <w:szCs w:val="20"/>
        </w:rPr>
        <w:t xml:space="preserve">in the Netherlands office market, with rental premiums limited to 6.5% for designated energy-efficient buildings. </w:t>
      </w:r>
      <w:r w:rsidR="00EF3792" w:rsidRPr="003F2DB9">
        <w:rPr>
          <w:rFonts w:ascii="Times New Roman" w:eastAsia="Times New Roman" w:hAnsi="Times New Roman" w:cs="Times New Roman"/>
          <w:sz w:val="20"/>
          <w:szCs w:val="20"/>
        </w:rPr>
        <w:t xml:space="preserve">According to the research findings, the rental rates for buildings with green ratings experienced a decline during the economic recession of 2008-2009. In particular, the research revealed that a mere one-point rise in the energy index resulted in a 5% decrease in the rental rate. </w:t>
      </w:r>
      <w:r w:rsidR="002F0BE7" w:rsidRPr="003F2DB9">
        <w:rPr>
          <w:rFonts w:ascii="Times New Roman" w:eastAsia="Times New Roman" w:hAnsi="Times New Roman" w:cs="Times New Roman"/>
          <w:sz w:val="20"/>
          <w:szCs w:val="20"/>
        </w:rPr>
        <w:t>However, as the economic conditions improved, there was an upward trend in rental prices for energy-efficient buildings, whereas rental prices for inefficient buildings continued to experience a decline.</w:t>
      </w:r>
      <w:r w:rsidR="002531F3" w:rsidRPr="003F2DB9">
        <w:rPr>
          <w:rFonts w:ascii="Times New Roman" w:eastAsia="Times New Roman" w:hAnsi="Times New Roman" w:cs="Times New Roman"/>
          <w:sz w:val="20"/>
          <w:szCs w:val="20"/>
        </w:rPr>
        <w:t xml:space="preserve"> </w:t>
      </w:r>
      <w:r w:rsidR="0075168F" w:rsidRPr="003F2DB9">
        <w:rPr>
          <w:rFonts w:ascii="Times New Roman" w:eastAsia="Times New Roman" w:hAnsi="Times New Roman" w:cs="Times New Roman"/>
          <w:sz w:val="20"/>
          <w:szCs w:val="20"/>
        </w:rPr>
        <w:t xml:space="preserve">Consistent with the previous findings, </w:t>
      </w:r>
      <w:r w:rsidRPr="003F2DB9">
        <w:rPr>
          <w:rFonts w:ascii="Times New Roman" w:eastAsia="Times New Roman" w:hAnsi="Times New Roman" w:cs="Times New Roman"/>
          <w:sz w:val="20"/>
          <w:szCs w:val="20"/>
        </w:rPr>
        <w:t xml:space="preserve">[50] </w:t>
      </w:r>
      <w:r w:rsidR="0075168F" w:rsidRPr="003F2DB9">
        <w:rPr>
          <w:rFonts w:ascii="Times New Roman" w:eastAsia="Times New Roman" w:hAnsi="Times New Roman" w:cs="Times New Roman"/>
          <w:sz w:val="20"/>
          <w:szCs w:val="20"/>
        </w:rPr>
        <w:t>further supported the positive association between green rating and higher rental prices in the office market of Poland.</w:t>
      </w:r>
      <w:r w:rsidR="001050FA" w:rsidRPr="003F2DB9">
        <w:rPr>
          <w:rFonts w:ascii="Times New Roman" w:eastAsia="Times New Roman" w:hAnsi="Times New Roman" w:cs="Times New Roman"/>
          <w:sz w:val="20"/>
          <w:szCs w:val="20"/>
        </w:rPr>
        <w:t xml:space="preserve"> The research suggested that BREEAM rating is the most prevalent certification in Poland's office market, with tenants showing a willingness to pay the highest premium (14%) for certified buildings compared to non-certified ones.</w:t>
      </w:r>
      <w:r w:rsidR="00B669C4" w:rsidRPr="003F2DB9">
        <w:rPr>
          <w:rFonts w:ascii="Times New Roman" w:eastAsia="Times New Roman" w:hAnsi="Times New Roman" w:cs="Times New Roman"/>
          <w:sz w:val="20"/>
          <w:szCs w:val="20"/>
        </w:rPr>
        <w:t xml:space="preserve"> Furthermore, the research revealed that tenants demonstrated a willingness to pay an additional 11.4% for the buildings with LEED ratings and 8.6% for DGNB-certified structures.</w:t>
      </w:r>
      <w:r w:rsidR="00F552BF" w:rsidRPr="003F2DB9">
        <w:rPr>
          <w:rFonts w:ascii="Times New Roman" w:eastAsia="Times New Roman" w:hAnsi="Times New Roman" w:cs="Times New Roman"/>
          <w:sz w:val="20"/>
          <w:szCs w:val="20"/>
        </w:rPr>
        <w:t xml:space="preserve"> According to </w:t>
      </w:r>
      <w:r w:rsidRPr="003F2DB9">
        <w:rPr>
          <w:rFonts w:ascii="Times New Roman" w:eastAsia="Times New Roman" w:hAnsi="Times New Roman" w:cs="Times New Roman"/>
          <w:sz w:val="20"/>
          <w:szCs w:val="20"/>
        </w:rPr>
        <w:t>[50]</w:t>
      </w:r>
      <w:r w:rsidR="00F552BF" w:rsidRPr="003F2DB9">
        <w:rPr>
          <w:rFonts w:ascii="Times New Roman" w:eastAsia="Times New Roman" w:hAnsi="Times New Roman" w:cs="Times New Roman"/>
          <w:sz w:val="20"/>
          <w:szCs w:val="20"/>
        </w:rPr>
        <w:t xml:space="preserve">, tenants in Poland were willing to pay an average premium of around 12.4% for space in buildings with any certification, which aligns with findings from </w:t>
      </w:r>
      <w:r w:rsidR="00F552BF" w:rsidRPr="003F2DB9">
        <w:rPr>
          <w:rFonts w:ascii="Times New Roman" w:eastAsia="Times New Roman" w:hAnsi="Times New Roman" w:cs="Times New Roman"/>
          <w:sz w:val="20"/>
          <w:szCs w:val="20"/>
        </w:rPr>
        <w:lastRenderedPageBreak/>
        <w:t>similar research conducted in other European countries in Central and Eastern regions.</w:t>
      </w:r>
      <w:r w:rsidR="00182A87" w:rsidRPr="003F2DB9">
        <w:rPr>
          <w:rFonts w:ascii="Times New Roman" w:eastAsia="Times New Roman" w:hAnsi="Times New Roman" w:cs="Times New Roman"/>
          <w:sz w:val="20"/>
          <w:szCs w:val="20"/>
        </w:rPr>
        <w:t xml:space="preserve"> </w:t>
      </w:r>
      <w:r w:rsidR="0075168F" w:rsidRPr="003F2DB9">
        <w:rPr>
          <w:rFonts w:ascii="Times New Roman" w:eastAsia="Times New Roman" w:hAnsi="Times New Roman" w:cs="Times New Roman"/>
          <w:sz w:val="20"/>
          <w:szCs w:val="20"/>
        </w:rPr>
        <w:t xml:space="preserve">Expanding on the previous findings, </w:t>
      </w:r>
      <w:r w:rsidRPr="003F2DB9">
        <w:rPr>
          <w:rFonts w:ascii="Times New Roman" w:eastAsia="Times New Roman" w:hAnsi="Times New Roman" w:cs="Times New Roman"/>
          <w:sz w:val="20"/>
          <w:szCs w:val="20"/>
        </w:rPr>
        <w:t>[51]</w:t>
      </w:r>
      <w:r w:rsidR="0075168F" w:rsidRPr="003F2DB9">
        <w:rPr>
          <w:rFonts w:ascii="Times New Roman" w:eastAsia="Times New Roman" w:hAnsi="Times New Roman" w:cs="Times New Roman"/>
          <w:sz w:val="20"/>
          <w:szCs w:val="20"/>
        </w:rPr>
        <w:t xml:space="preserve"> carried out a study that utilized life cycle cost analysis (LCC) to investigate cost-benefit analysis in the office market of Poland. The study affirmed that the additional investment required for obtaining green certification can be recovered within 7 to 12 years, depending on the discount rate utilized (4% or 9%, respectively). </w:t>
      </w:r>
    </w:p>
    <w:p w14:paraId="0FD8E3A6" w14:textId="2D5BA88D" w:rsidR="000E67D7" w:rsidRPr="003F2DB9" w:rsidRDefault="00464F9C" w:rsidP="005941B5">
      <w:pPr>
        <w:shd w:val="clear" w:color="auto" w:fill="FFFFFF"/>
        <w:spacing w:after="150" w:line="240" w:lineRule="auto"/>
        <w:jc w:val="both"/>
        <w:rPr>
          <w:rFonts w:ascii="Times New Roman" w:eastAsia="Times New Roman" w:hAnsi="Times New Roman" w:cs="Times New Roman"/>
          <w:sz w:val="20"/>
          <w:szCs w:val="20"/>
        </w:rPr>
      </w:pPr>
      <w:r w:rsidRPr="003F2DB9">
        <w:rPr>
          <w:rFonts w:ascii="Times New Roman" w:eastAsia="Times New Roman" w:hAnsi="Times New Roman" w:cs="Times New Roman"/>
          <w:sz w:val="20"/>
          <w:szCs w:val="20"/>
        </w:rPr>
        <w:t>[</w:t>
      </w:r>
      <w:r w:rsidR="001C6BB1" w:rsidRPr="003F2DB9">
        <w:rPr>
          <w:rFonts w:ascii="Times New Roman" w:eastAsia="Times New Roman" w:hAnsi="Times New Roman" w:cs="Times New Roman"/>
          <w:sz w:val="20"/>
          <w:szCs w:val="20"/>
        </w:rPr>
        <w:t>52</w:t>
      </w:r>
      <w:r w:rsidRPr="003F2DB9">
        <w:rPr>
          <w:rFonts w:ascii="Times New Roman" w:eastAsia="Times New Roman" w:hAnsi="Times New Roman" w:cs="Times New Roman"/>
          <w:sz w:val="20"/>
          <w:szCs w:val="20"/>
        </w:rPr>
        <w:t>]</w:t>
      </w:r>
      <w:r w:rsidR="005941B5" w:rsidRPr="003F2DB9">
        <w:rPr>
          <w:rFonts w:ascii="Times New Roman" w:eastAsia="Times New Roman" w:hAnsi="Times New Roman" w:cs="Times New Roman"/>
          <w:sz w:val="20"/>
          <w:szCs w:val="20"/>
        </w:rPr>
        <w:t xml:space="preserve"> conducted a noteworthy study that demonstrated the </w:t>
      </w:r>
      <w:proofErr w:type="spellStart"/>
      <w:r w:rsidR="005941B5" w:rsidRPr="003F2DB9">
        <w:rPr>
          <w:rFonts w:ascii="Times New Roman" w:eastAsia="Times New Roman" w:hAnsi="Times New Roman" w:cs="Times New Roman"/>
          <w:sz w:val="20"/>
          <w:szCs w:val="20"/>
        </w:rPr>
        <w:t>favourable</w:t>
      </w:r>
      <w:proofErr w:type="spellEnd"/>
      <w:r w:rsidR="005941B5" w:rsidRPr="003F2DB9">
        <w:rPr>
          <w:rFonts w:ascii="Times New Roman" w:eastAsia="Times New Roman" w:hAnsi="Times New Roman" w:cs="Times New Roman"/>
          <w:sz w:val="20"/>
          <w:szCs w:val="20"/>
        </w:rPr>
        <w:t xml:space="preserve"> impact of BREEAM certification on average rent and prices in London </w:t>
      </w:r>
      <w:proofErr w:type="spellStart"/>
      <w:r w:rsidR="005941B5" w:rsidRPr="003F2DB9">
        <w:rPr>
          <w:rFonts w:ascii="Times New Roman" w:eastAsia="Times New Roman" w:hAnsi="Times New Roman" w:cs="Times New Roman"/>
          <w:sz w:val="20"/>
          <w:szCs w:val="20"/>
        </w:rPr>
        <w:t>neighbourhoods</w:t>
      </w:r>
      <w:proofErr w:type="spellEnd"/>
      <w:r w:rsidR="005941B5" w:rsidRPr="003F2DB9">
        <w:rPr>
          <w:rFonts w:ascii="Times New Roman" w:eastAsia="Times New Roman" w:hAnsi="Times New Roman" w:cs="Times New Roman"/>
          <w:sz w:val="20"/>
          <w:szCs w:val="20"/>
        </w:rPr>
        <w:t xml:space="preserve"> between 2000 and 2009. The study found that BREEAM-certified buildings commanded a premium of 19.7% for leases and 14.7% for sales transactions compared to non-certified buildings in the same </w:t>
      </w:r>
      <w:proofErr w:type="spellStart"/>
      <w:r w:rsidR="005941B5" w:rsidRPr="003F2DB9">
        <w:rPr>
          <w:rFonts w:ascii="Times New Roman" w:eastAsia="Times New Roman" w:hAnsi="Times New Roman" w:cs="Times New Roman"/>
          <w:sz w:val="20"/>
          <w:szCs w:val="20"/>
        </w:rPr>
        <w:t>neighbourhood</w:t>
      </w:r>
      <w:proofErr w:type="spellEnd"/>
      <w:r w:rsidR="005941B5" w:rsidRPr="003F2DB9">
        <w:rPr>
          <w:rFonts w:ascii="Times New Roman" w:eastAsia="Times New Roman" w:hAnsi="Times New Roman" w:cs="Times New Roman"/>
          <w:sz w:val="20"/>
          <w:szCs w:val="20"/>
        </w:rPr>
        <w:t xml:space="preserve">. </w:t>
      </w:r>
      <w:r w:rsidR="004F606C" w:rsidRPr="003F2DB9">
        <w:rPr>
          <w:rFonts w:ascii="Times New Roman" w:eastAsia="Times New Roman" w:hAnsi="Times New Roman" w:cs="Times New Roman"/>
          <w:sz w:val="20"/>
          <w:szCs w:val="20"/>
        </w:rPr>
        <w:t>Additionally, another researcher analyzed data from 19,675 office buildings in Finland, France, and Germany over the period of 2010 to 2015</w:t>
      </w:r>
      <w:r w:rsidR="005941B5" w:rsidRPr="003F2DB9">
        <w:rPr>
          <w:rFonts w:ascii="Times New Roman" w:eastAsia="Times New Roman" w:hAnsi="Times New Roman" w:cs="Times New Roman"/>
          <w:sz w:val="20"/>
          <w:szCs w:val="20"/>
        </w:rPr>
        <w:t xml:space="preserve">, </w:t>
      </w:r>
      <w:r w:rsidR="004F606C" w:rsidRPr="003F2DB9">
        <w:rPr>
          <w:rFonts w:ascii="Times New Roman" w:eastAsia="Times New Roman" w:hAnsi="Times New Roman" w:cs="Times New Roman"/>
          <w:sz w:val="20"/>
          <w:szCs w:val="20"/>
        </w:rPr>
        <w:t xml:space="preserve">and found that certified buildings commanded a 19% green premium compared to non-certified buildings, consistent with the results observed in the London office market. A study of 55 development projects in Milan, Italy found that properties certified with LEED Gold and Platinum ratings commanded significant price premiums of 7% and 11%, respectively, in Porta Nuova and the Central Business District </w:t>
      </w:r>
      <w:r w:rsidR="007719AC" w:rsidRPr="003F2DB9">
        <w:rPr>
          <w:rFonts w:ascii="Times New Roman" w:eastAsia="Times New Roman" w:hAnsi="Times New Roman" w:cs="Times New Roman"/>
          <w:sz w:val="20"/>
          <w:szCs w:val="20"/>
        </w:rPr>
        <w:t>[5</w:t>
      </w:r>
      <w:r w:rsidR="001C6BB1" w:rsidRPr="003F2DB9">
        <w:rPr>
          <w:rFonts w:ascii="Times New Roman" w:eastAsia="Times New Roman" w:hAnsi="Times New Roman" w:cs="Times New Roman"/>
          <w:sz w:val="20"/>
          <w:szCs w:val="20"/>
        </w:rPr>
        <w:t>3</w:t>
      </w:r>
      <w:r w:rsidR="007719AC" w:rsidRPr="003F2DB9">
        <w:rPr>
          <w:rFonts w:ascii="Times New Roman" w:eastAsia="Times New Roman" w:hAnsi="Times New Roman" w:cs="Times New Roman"/>
          <w:sz w:val="20"/>
          <w:szCs w:val="20"/>
        </w:rPr>
        <w:t>]</w:t>
      </w:r>
      <w:r w:rsidR="004F606C" w:rsidRPr="003F2DB9">
        <w:rPr>
          <w:rFonts w:ascii="Times New Roman" w:eastAsia="Times New Roman" w:hAnsi="Times New Roman" w:cs="Times New Roman"/>
          <w:sz w:val="20"/>
          <w:szCs w:val="20"/>
        </w:rPr>
        <w:t>.</w:t>
      </w:r>
      <w:r w:rsidR="000E67D7" w:rsidRPr="003F2DB9">
        <w:rPr>
          <w:rFonts w:ascii="Times New Roman" w:eastAsia="Times New Roman" w:hAnsi="Times New Roman" w:cs="Times New Roman"/>
          <w:sz w:val="20"/>
          <w:szCs w:val="20"/>
        </w:rPr>
        <w:t xml:space="preserve"> These findings highlight that higher green ratings result in premium prices compared to lower ratings. Additionally, the study emphasized the advantages of achieving green ratings, including a reported fourfold higher market absorption rate in green-certified buildings compared to non-certified buildings.</w:t>
      </w:r>
      <w:r w:rsidR="00B21586" w:rsidRPr="003F2DB9">
        <w:rPr>
          <w:rFonts w:ascii="Times New Roman" w:eastAsia="Times New Roman" w:hAnsi="Times New Roman" w:cs="Times New Roman"/>
          <w:sz w:val="20"/>
          <w:szCs w:val="20"/>
        </w:rPr>
        <w:t xml:space="preserve"> To put it differently, the study reported that the certified properties achieved an 80% leasing rate within six months, while non-certified buildings only managed a 21% leasing rate.</w:t>
      </w:r>
    </w:p>
    <w:p w14:paraId="45476B9A" w14:textId="305DEC49" w:rsidR="00A65850" w:rsidRPr="003F2DB9" w:rsidRDefault="00A65850" w:rsidP="00A65850">
      <w:pPr>
        <w:shd w:val="clear" w:color="auto" w:fill="FFFFFF"/>
        <w:spacing w:after="150" w:line="240" w:lineRule="auto"/>
        <w:jc w:val="both"/>
        <w:rPr>
          <w:rFonts w:ascii="Times New Roman" w:eastAsia="Times New Roman" w:hAnsi="Times New Roman" w:cs="Times New Roman"/>
          <w:sz w:val="20"/>
          <w:szCs w:val="20"/>
        </w:rPr>
      </w:pPr>
      <w:r w:rsidRPr="003F2DB9">
        <w:rPr>
          <w:rFonts w:ascii="Times New Roman" w:eastAsia="Times New Roman" w:hAnsi="Times New Roman" w:cs="Times New Roman"/>
          <w:sz w:val="20"/>
          <w:szCs w:val="20"/>
        </w:rPr>
        <w:t xml:space="preserve">Given the multiple green ratings available in Europe, it is worthwhile to </w:t>
      </w:r>
      <w:proofErr w:type="spellStart"/>
      <w:r w:rsidRPr="003F2DB9">
        <w:rPr>
          <w:rFonts w:ascii="Times New Roman" w:eastAsia="Times New Roman" w:hAnsi="Times New Roman" w:cs="Times New Roman"/>
          <w:sz w:val="20"/>
          <w:szCs w:val="20"/>
        </w:rPr>
        <w:t>analyse</w:t>
      </w:r>
      <w:proofErr w:type="spellEnd"/>
      <w:r w:rsidRPr="003F2DB9">
        <w:rPr>
          <w:rFonts w:ascii="Times New Roman" w:eastAsia="Times New Roman" w:hAnsi="Times New Roman" w:cs="Times New Roman"/>
          <w:sz w:val="20"/>
          <w:szCs w:val="20"/>
        </w:rPr>
        <w:t xml:space="preserve"> which certification provides the most benefits to developers and what its rating is. Fulfilling the above gap, </w:t>
      </w:r>
      <w:r w:rsidR="007719AC" w:rsidRPr="003F2DB9">
        <w:rPr>
          <w:rFonts w:ascii="Times New Roman" w:eastAsia="Times New Roman" w:hAnsi="Times New Roman" w:cs="Times New Roman"/>
          <w:sz w:val="20"/>
          <w:szCs w:val="20"/>
        </w:rPr>
        <w:t>[5</w:t>
      </w:r>
      <w:r w:rsidR="00D85BAF" w:rsidRPr="003F2DB9">
        <w:rPr>
          <w:rFonts w:ascii="Times New Roman" w:eastAsia="Times New Roman" w:hAnsi="Times New Roman" w:cs="Times New Roman"/>
          <w:sz w:val="20"/>
          <w:szCs w:val="20"/>
        </w:rPr>
        <w:t>4</w:t>
      </w:r>
      <w:r w:rsidR="007719AC" w:rsidRPr="003F2DB9">
        <w:rPr>
          <w:rFonts w:ascii="Times New Roman" w:eastAsia="Times New Roman" w:hAnsi="Times New Roman" w:cs="Times New Roman"/>
          <w:sz w:val="20"/>
          <w:szCs w:val="20"/>
        </w:rPr>
        <w:t xml:space="preserve">] </w:t>
      </w:r>
      <w:r w:rsidRPr="003F2DB9">
        <w:rPr>
          <w:rFonts w:ascii="Times New Roman" w:eastAsia="Times New Roman" w:hAnsi="Times New Roman" w:cs="Times New Roman"/>
          <w:sz w:val="20"/>
          <w:szCs w:val="20"/>
        </w:rPr>
        <w:t>investigated the effects of BREEAM rating on different UK marketplaces between 2006 and 2010. The study discovered that rental premiums vary depending on the market and time, but they tend to rise with higher BREEAM certification levels. This discovery reinforces the rationale for property developers to invest in higher certification ratings, as the investment becomes more worthwhile as the rating improves.</w:t>
      </w:r>
    </w:p>
    <w:p w14:paraId="6D1EA172" w14:textId="1E3E75CD" w:rsidR="002223D6" w:rsidRPr="003F2DB9" w:rsidRDefault="00553241" w:rsidP="00606748">
      <w:pPr>
        <w:shd w:val="clear" w:color="auto" w:fill="FFFFFF"/>
        <w:spacing w:after="150" w:line="240" w:lineRule="auto"/>
        <w:jc w:val="both"/>
        <w:rPr>
          <w:rFonts w:ascii="Times New Roman" w:eastAsia="Times New Roman" w:hAnsi="Times New Roman" w:cs="Times New Roman"/>
          <w:sz w:val="20"/>
          <w:szCs w:val="20"/>
        </w:rPr>
      </w:pPr>
      <w:r w:rsidRPr="003F2DB9">
        <w:rPr>
          <w:rFonts w:ascii="Times New Roman" w:eastAsia="Times New Roman" w:hAnsi="Times New Roman" w:cs="Times New Roman"/>
          <w:sz w:val="20"/>
          <w:szCs w:val="20"/>
        </w:rPr>
        <w:t>However, it's important for developers to not assume that green certification alone will simply result in higher rental rates. The quality of the building, as reflected by its grade, is another crucial and independent factor to take into account.</w:t>
      </w:r>
      <w:r w:rsidR="002601C5" w:rsidRPr="003F2DB9">
        <w:rPr>
          <w:rFonts w:ascii="Times New Roman" w:eastAsia="Times New Roman" w:hAnsi="Times New Roman" w:cs="Times New Roman"/>
          <w:sz w:val="20"/>
          <w:szCs w:val="20"/>
        </w:rPr>
        <w:t xml:space="preserve"> </w:t>
      </w:r>
      <w:r w:rsidR="00984A4C" w:rsidRPr="003F2DB9">
        <w:rPr>
          <w:rFonts w:ascii="Times New Roman" w:eastAsia="Times New Roman" w:hAnsi="Times New Roman" w:cs="Times New Roman"/>
          <w:sz w:val="20"/>
          <w:szCs w:val="20"/>
        </w:rPr>
        <w:t>Hence,</w:t>
      </w:r>
      <w:r w:rsidR="007719AC" w:rsidRPr="003F2DB9">
        <w:rPr>
          <w:rFonts w:ascii="Times New Roman" w:eastAsia="Times New Roman" w:hAnsi="Times New Roman" w:cs="Times New Roman"/>
          <w:sz w:val="20"/>
          <w:szCs w:val="20"/>
        </w:rPr>
        <w:t xml:space="preserve"> [5</w:t>
      </w:r>
      <w:r w:rsidR="002D3656" w:rsidRPr="003F2DB9">
        <w:rPr>
          <w:rFonts w:ascii="Times New Roman" w:eastAsia="Times New Roman" w:hAnsi="Times New Roman" w:cs="Times New Roman"/>
          <w:sz w:val="20"/>
          <w:szCs w:val="20"/>
        </w:rPr>
        <w:t>5</w:t>
      </w:r>
      <w:r w:rsidR="007719AC" w:rsidRPr="003F2DB9">
        <w:rPr>
          <w:rFonts w:ascii="Times New Roman" w:eastAsia="Times New Roman" w:hAnsi="Times New Roman" w:cs="Times New Roman"/>
          <w:sz w:val="20"/>
          <w:szCs w:val="20"/>
        </w:rPr>
        <w:t>]</w:t>
      </w:r>
      <w:r w:rsidR="00984A4C" w:rsidRPr="003F2DB9">
        <w:rPr>
          <w:rFonts w:ascii="Times New Roman" w:eastAsia="Times New Roman" w:hAnsi="Times New Roman" w:cs="Times New Roman"/>
          <w:sz w:val="20"/>
          <w:szCs w:val="20"/>
        </w:rPr>
        <w:t xml:space="preserve"> investigated the effectiveness of green certification by excluding the grade of the building</w:t>
      </w:r>
      <w:r w:rsidR="00EF17F6" w:rsidRPr="003F2DB9">
        <w:rPr>
          <w:rFonts w:ascii="Times New Roman" w:eastAsia="Times New Roman" w:hAnsi="Times New Roman" w:cs="Times New Roman"/>
          <w:sz w:val="20"/>
          <w:szCs w:val="20"/>
        </w:rPr>
        <w:t xml:space="preserve"> by </w:t>
      </w:r>
      <w:proofErr w:type="spellStart"/>
      <w:r w:rsidR="00EF17F6" w:rsidRPr="003F2DB9">
        <w:rPr>
          <w:rFonts w:ascii="Times New Roman" w:eastAsia="Times New Roman" w:hAnsi="Times New Roman" w:cs="Times New Roman"/>
          <w:sz w:val="20"/>
          <w:szCs w:val="20"/>
        </w:rPr>
        <w:t>analysing</w:t>
      </w:r>
      <w:proofErr w:type="spellEnd"/>
      <w:r w:rsidR="00EF17F6" w:rsidRPr="003F2DB9">
        <w:rPr>
          <w:rFonts w:ascii="Times New Roman" w:eastAsia="Times New Roman" w:hAnsi="Times New Roman" w:cs="Times New Roman"/>
          <w:sz w:val="20"/>
          <w:szCs w:val="20"/>
        </w:rPr>
        <w:t xml:space="preserve"> data from 160 European office buildings</w:t>
      </w:r>
      <w:r w:rsidR="00984A4C" w:rsidRPr="003F2DB9">
        <w:rPr>
          <w:rFonts w:ascii="Times New Roman" w:eastAsia="Times New Roman" w:hAnsi="Times New Roman" w:cs="Times New Roman"/>
          <w:sz w:val="20"/>
          <w:szCs w:val="20"/>
        </w:rPr>
        <w:t>.</w:t>
      </w:r>
      <w:r w:rsidR="0099375A" w:rsidRPr="003F2DB9">
        <w:rPr>
          <w:rFonts w:ascii="Times New Roman" w:eastAsia="Times New Roman" w:hAnsi="Times New Roman" w:cs="Times New Roman"/>
          <w:sz w:val="20"/>
          <w:szCs w:val="20"/>
        </w:rPr>
        <w:t xml:space="preserve"> </w:t>
      </w:r>
      <w:r w:rsidR="002223D6" w:rsidRPr="003F2DB9">
        <w:rPr>
          <w:rFonts w:ascii="Times New Roman" w:eastAsia="Times New Roman" w:hAnsi="Times New Roman" w:cs="Times New Roman"/>
          <w:sz w:val="20"/>
          <w:szCs w:val="20"/>
        </w:rPr>
        <w:t>According to the research, properties with top-tier certifications such as LEED-gold or platinum, BREEAM, and DGNB were found to command higher rents and market values, with increases of 23% and 43% respectively. These findings align with similar studies conducted in Europe.</w:t>
      </w:r>
    </w:p>
    <w:p w14:paraId="08831476" w14:textId="5D3A05AC" w:rsidR="00023DF1" w:rsidRPr="003F2DB9" w:rsidRDefault="006C372A" w:rsidP="00606748">
      <w:pPr>
        <w:shd w:val="clear" w:color="auto" w:fill="FFFFFF"/>
        <w:spacing w:after="150" w:line="240" w:lineRule="auto"/>
        <w:jc w:val="both"/>
        <w:rPr>
          <w:rFonts w:ascii="Times New Roman" w:eastAsia="Times New Roman" w:hAnsi="Times New Roman" w:cs="Times New Roman"/>
          <w:sz w:val="20"/>
          <w:szCs w:val="20"/>
        </w:rPr>
      </w:pPr>
      <w:r w:rsidRPr="003F2DB9">
        <w:rPr>
          <w:rFonts w:ascii="Times New Roman" w:eastAsia="Times New Roman" w:hAnsi="Times New Roman" w:cs="Times New Roman"/>
          <w:sz w:val="20"/>
          <w:szCs w:val="20"/>
        </w:rPr>
        <w:t xml:space="preserve">Although the empirical data </w:t>
      </w:r>
      <w:r w:rsidR="00403232" w:rsidRPr="003F2DB9">
        <w:rPr>
          <w:rFonts w:ascii="Times New Roman" w:eastAsia="Times New Roman" w:hAnsi="Times New Roman" w:cs="Times New Roman"/>
          <w:sz w:val="20"/>
          <w:szCs w:val="20"/>
        </w:rPr>
        <w:t>indicate</w:t>
      </w:r>
      <w:r w:rsidRPr="003F2DB9">
        <w:rPr>
          <w:rFonts w:ascii="Times New Roman" w:eastAsia="Times New Roman" w:hAnsi="Times New Roman" w:cs="Times New Roman"/>
          <w:sz w:val="20"/>
          <w:szCs w:val="20"/>
        </w:rPr>
        <w:t xml:space="preserve"> a correlation between green certification and a higher rental premium, it has been noted that other variables may be responsible for the increased rental rate. Therefore, more well-designed market research is necessary to tackle this matter.</w:t>
      </w:r>
      <w:r w:rsidR="00A615D0" w:rsidRPr="003F2DB9">
        <w:rPr>
          <w:rFonts w:ascii="Times New Roman" w:eastAsia="Times New Roman" w:hAnsi="Times New Roman" w:cs="Times New Roman"/>
          <w:sz w:val="20"/>
          <w:szCs w:val="20"/>
        </w:rPr>
        <w:t xml:space="preserve"> </w:t>
      </w:r>
      <w:r w:rsidR="00023DF1" w:rsidRPr="003F2DB9">
        <w:rPr>
          <w:rFonts w:ascii="Times New Roman" w:eastAsia="Times New Roman" w:hAnsi="Times New Roman" w:cs="Times New Roman"/>
          <w:sz w:val="20"/>
          <w:szCs w:val="20"/>
        </w:rPr>
        <w:t>A study conducted by</w:t>
      </w:r>
      <w:r w:rsidR="00FE558C" w:rsidRPr="003F2DB9">
        <w:rPr>
          <w:rFonts w:ascii="Times New Roman" w:eastAsia="Times New Roman" w:hAnsi="Times New Roman" w:cs="Times New Roman"/>
          <w:sz w:val="20"/>
          <w:szCs w:val="20"/>
        </w:rPr>
        <w:t xml:space="preserve"> [5</w:t>
      </w:r>
      <w:r w:rsidR="002D3656" w:rsidRPr="003F2DB9">
        <w:rPr>
          <w:rFonts w:ascii="Times New Roman" w:eastAsia="Times New Roman" w:hAnsi="Times New Roman" w:cs="Times New Roman"/>
          <w:sz w:val="20"/>
          <w:szCs w:val="20"/>
        </w:rPr>
        <w:t>6</w:t>
      </w:r>
      <w:r w:rsidR="00FE558C" w:rsidRPr="003F2DB9">
        <w:rPr>
          <w:rFonts w:ascii="Times New Roman" w:eastAsia="Times New Roman" w:hAnsi="Times New Roman" w:cs="Times New Roman"/>
          <w:sz w:val="20"/>
          <w:szCs w:val="20"/>
        </w:rPr>
        <w:t>]</w:t>
      </w:r>
      <w:r w:rsidR="00023DF1" w:rsidRPr="003F2DB9">
        <w:rPr>
          <w:rFonts w:ascii="Times New Roman" w:eastAsia="Times New Roman" w:hAnsi="Times New Roman" w:cs="Times New Roman"/>
          <w:sz w:val="20"/>
          <w:szCs w:val="20"/>
        </w:rPr>
        <w:t xml:space="preserve"> aimed to assess the level of importance given to sustainability by tenants in the UK office market between 2006 and 2008. Surprisingly, only a single participant in the study mentioned sustainability, specifically the preference for a BREEAM-rated building, as a factor in their office space selection process.</w:t>
      </w:r>
      <w:r w:rsidR="00202C78" w:rsidRPr="003F2DB9">
        <w:rPr>
          <w:rFonts w:ascii="Segoe UI" w:hAnsi="Segoe UI" w:cs="Segoe UI"/>
          <w:shd w:val="clear" w:color="auto" w:fill="F7F7F8"/>
        </w:rPr>
        <w:t xml:space="preserve"> </w:t>
      </w:r>
      <w:r w:rsidR="00202C78" w:rsidRPr="003F2DB9">
        <w:rPr>
          <w:rFonts w:ascii="Times New Roman" w:eastAsia="Times New Roman" w:hAnsi="Times New Roman" w:cs="Times New Roman"/>
          <w:sz w:val="20"/>
          <w:szCs w:val="20"/>
        </w:rPr>
        <w:t>Instead, the primary drivers for relocation were business growth (36%), seeking new locations (30%), and office consolidation (24%). Additionally, the study found that operating costs, including energy expenses, had a limited impact on building selection, which contradicts findings from prior research conducted in Europe.</w:t>
      </w:r>
    </w:p>
    <w:p w14:paraId="5B25AC1A" w14:textId="71188FB8" w:rsidR="005F4D91" w:rsidRPr="003F2DB9" w:rsidRDefault="005F4D91" w:rsidP="00606748">
      <w:pPr>
        <w:shd w:val="clear" w:color="auto" w:fill="FFFFFF"/>
        <w:spacing w:after="150" w:line="240" w:lineRule="auto"/>
        <w:jc w:val="both"/>
        <w:rPr>
          <w:rFonts w:ascii="Times New Roman" w:eastAsia="Times New Roman" w:hAnsi="Times New Roman" w:cs="Times New Roman"/>
          <w:sz w:val="20"/>
          <w:szCs w:val="20"/>
        </w:rPr>
      </w:pPr>
      <w:r w:rsidRPr="003F2DB9">
        <w:rPr>
          <w:rFonts w:ascii="Times New Roman" w:eastAsia="Times New Roman" w:hAnsi="Times New Roman" w:cs="Times New Roman"/>
          <w:sz w:val="20"/>
          <w:szCs w:val="20"/>
        </w:rPr>
        <w:t>To sum up, robust research conducted in Europe reinforces the positive link between rent and green certification. Furthermore, the findings indicate that the average premium surpasses comparable US benchmarks by a slight margin.</w:t>
      </w:r>
    </w:p>
    <w:p w14:paraId="490A70AC" w14:textId="553EE9B9" w:rsidR="00606748" w:rsidRPr="003F2DB9" w:rsidRDefault="00606748" w:rsidP="00606748">
      <w:pPr>
        <w:shd w:val="clear" w:color="auto" w:fill="FFFFFF"/>
        <w:spacing w:after="150" w:line="240" w:lineRule="auto"/>
        <w:rPr>
          <w:rFonts w:ascii="Times New Roman" w:eastAsia="Times New Roman" w:hAnsi="Times New Roman" w:cs="Times New Roman"/>
          <w:sz w:val="20"/>
          <w:szCs w:val="20"/>
        </w:rPr>
      </w:pPr>
    </w:p>
    <w:p w14:paraId="5117C4BA" w14:textId="0B9410C9" w:rsidR="00606748" w:rsidRPr="003F2DB9" w:rsidRDefault="00A65A98" w:rsidP="00606748">
      <w:pPr>
        <w:shd w:val="clear" w:color="auto" w:fill="FFFFFF"/>
        <w:spacing w:after="150" w:line="240" w:lineRule="auto"/>
        <w:rPr>
          <w:rFonts w:ascii="Times New Roman" w:eastAsia="Times New Roman" w:hAnsi="Times New Roman" w:cs="Times New Roman"/>
          <w:i/>
          <w:sz w:val="20"/>
          <w:szCs w:val="20"/>
        </w:rPr>
      </w:pPr>
      <w:bookmarkStart w:id="2" w:name="_Hlk126876010"/>
      <w:r w:rsidRPr="003F2DB9">
        <w:rPr>
          <w:rFonts w:ascii="Times New Roman" w:eastAsia="Times New Roman" w:hAnsi="Times New Roman" w:cs="Times New Roman"/>
          <w:i/>
          <w:sz w:val="20"/>
          <w:szCs w:val="20"/>
        </w:rPr>
        <w:t>C</w:t>
      </w:r>
      <w:r w:rsidR="00606748" w:rsidRPr="003F2DB9">
        <w:rPr>
          <w:rFonts w:ascii="Times New Roman" w:eastAsia="Times New Roman" w:hAnsi="Times New Roman" w:cs="Times New Roman"/>
          <w:i/>
          <w:sz w:val="20"/>
          <w:szCs w:val="20"/>
        </w:rPr>
        <w:t xml:space="preserve">. </w:t>
      </w:r>
      <w:r w:rsidR="005E0367" w:rsidRPr="003F2DB9">
        <w:rPr>
          <w:rFonts w:ascii="Times New Roman" w:eastAsia="Times New Roman" w:hAnsi="Times New Roman" w:cs="Times New Roman"/>
          <w:i/>
          <w:sz w:val="20"/>
          <w:szCs w:val="20"/>
        </w:rPr>
        <w:t>S</w:t>
      </w:r>
      <w:r w:rsidR="000A613A" w:rsidRPr="003F2DB9">
        <w:rPr>
          <w:rFonts w:ascii="Times New Roman" w:eastAsia="Times New Roman" w:hAnsi="Times New Roman" w:cs="Times New Roman"/>
          <w:i/>
          <w:sz w:val="20"/>
          <w:szCs w:val="20"/>
        </w:rPr>
        <w:t>tudies carried out elsewhere around the world</w:t>
      </w:r>
    </w:p>
    <w:bookmarkEnd w:id="2"/>
    <w:p w14:paraId="178D2D58" w14:textId="77777777" w:rsidR="00840C00" w:rsidRPr="003F2DB9" w:rsidRDefault="00840C00" w:rsidP="00AD321F">
      <w:pPr>
        <w:shd w:val="clear" w:color="auto" w:fill="FFFFFF"/>
        <w:spacing w:after="150" w:line="240" w:lineRule="auto"/>
        <w:jc w:val="both"/>
        <w:rPr>
          <w:rFonts w:ascii="Times New Roman" w:eastAsia="Times New Roman" w:hAnsi="Times New Roman" w:cs="Times New Roman"/>
          <w:sz w:val="20"/>
          <w:szCs w:val="20"/>
        </w:rPr>
      </w:pPr>
      <w:r w:rsidRPr="003F2DB9">
        <w:rPr>
          <w:rFonts w:ascii="Times New Roman" w:eastAsia="Times New Roman" w:hAnsi="Times New Roman" w:cs="Times New Roman"/>
          <w:sz w:val="20"/>
          <w:szCs w:val="20"/>
        </w:rPr>
        <w:t>Several studies were conducted globally, beyond the USA and Europe, and some of them are elaborated on below.</w:t>
      </w:r>
    </w:p>
    <w:p w14:paraId="45530B7F" w14:textId="4A00C4D6" w:rsidR="008B5133" w:rsidRPr="003F2DB9" w:rsidRDefault="00F96942" w:rsidP="00840C00">
      <w:pPr>
        <w:shd w:val="clear" w:color="auto" w:fill="FFFFFF"/>
        <w:spacing w:after="150" w:line="240" w:lineRule="auto"/>
        <w:jc w:val="both"/>
        <w:rPr>
          <w:rFonts w:ascii="Times New Roman" w:eastAsia="Times New Roman" w:hAnsi="Times New Roman" w:cs="Times New Roman"/>
          <w:sz w:val="20"/>
          <w:szCs w:val="20"/>
        </w:rPr>
      </w:pPr>
      <w:r w:rsidRPr="003F2DB9">
        <w:rPr>
          <w:rFonts w:ascii="Times New Roman" w:eastAsia="Times New Roman" w:hAnsi="Times New Roman" w:cs="Times New Roman"/>
          <w:sz w:val="20"/>
          <w:szCs w:val="20"/>
        </w:rPr>
        <w:t>[5</w:t>
      </w:r>
      <w:r w:rsidR="002554AF" w:rsidRPr="003F2DB9">
        <w:rPr>
          <w:rFonts w:ascii="Times New Roman" w:eastAsia="Times New Roman" w:hAnsi="Times New Roman" w:cs="Times New Roman"/>
          <w:sz w:val="20"/>
          <w:szCs w:val="20"/>
        </w:rPr>
        <w:t>7</w:t>
      </w:r>
      <w:r w:rsidRPr="003F2DB9">
        <w:rPr>
          <w:rFonts w:ascii="Times New Roman" w:eastAsia="Times New Roman" w:hAnsi="Times New Roman" w:cs="Times New Roman"/>
          <w:sz w:val="20"/>
          <w:szCs w:val="20"/>
        </w:rPr>
        <w:t xml:space="preserve">] </w:t>
      </w:r>
      <w:r w:rsidR="00840C00" w:rsidRPr="003F2DB9">
        <w:rPr>
          <w:rFonts w:ascii="Times New Roman" w:eastAsia="Times New Roman" w:hAnsi="Times New Roman" w:cs="Times New Roman"/>
          <w:sz w:val="20"/>
          <w:szCs w:val="20"/>
        </w:rPr>
        <w:t xml:space="preserve">conducted a qualitative study which revealed that green buildings tend to have higher rental rates compared to conventional structures, </w:t>
      </w:r>
      <w:r w:rsidR="00C55B1C" w:rsidRPr="003F2DB9">
        <w:rPr>
          <w:rFonts w:ascii="Times New Roman" w:eastAsia="Times New Roman" w:hAnsi="Times New Roman" w:cs="Times New Roman"/>
          <w:sz w:val="20"/>
          <w:szCs w:val="20"/>
        </w:rPr>
        <w:t xml:space="preserve">varying between </w:t>
      </w:r>
      <w:r w:rsidR="00840C00" w:rsidRPr="003F2DB9">
        <w:rPr>
          <w:rFonts w:ascii="Times New Roman" w:eastAsia="Times New Roman" w:hAnsi="Times New Roman" w:cs="Times New Roman"/>
          <w:sz w:val="20"/>
          <w:szCs w:val="20"/>
        </w:rPr>
        <w:t xml:space="preserve">RM 0.50 to RM 2.25 per square foot. </w:t>
      </w:r>
      <w:r w:rsidR="00AF5C65" w:rsidRPr="003F2DB9">
        <w:rPr>
          <w:rFonts w:ascii="Times New Roman" w:eastAsia="Times New Roman" w:hAnsi="Times New Roman" w:cs="Times New Roman"/>
          <w:sz w:val="20"/>
          <w:szCs w:val="20"/>
        </w:rPr>
        <w:t xml:space="preserve">Furthermore, the study found that green office structures have greater growth of rental rates that fluctuate between RM 0.50 to RM 1.00 per square foot each year, as well as a 5% higher property value. </w:t>
      </w:r>
      <w:r w:rsidR="008B5133" w:rsidRPr="003F2DB9">
        <w:rPr>
          <w:rFonts w:ascii="Times New Roman" w:eastAsia="Times New Roman" w:hAnsi="Times New Roman" w:cs="Times New Roman"/>
          <w:sz w:val="20"/>
          <w:szCs w:val="20"/>
        </w:rPr>
        <w:t xml:space="preserve">Similarly, </w:t>
      </w:r>
      <w:r w:rsidRPr="003F2DB9">
        <w:rPr>
          <w:rFonts w:ascii="Times New Roman" w:eastAsia="Times New Roman" w:hAnsi="Times New Roman" w:cs="Times New Roman"/>
          <w:sz w:val="20"/>
          <w:szCs w:val="20"/>
        </w:rPr>
        <w:t>[5</w:t>
      </w:r>
      <w:r w:rsidR="002554AF" w:rsidRPr="003F2DB9">
        <w:rPr>
          <w:rFonts w:ascii="Times New Roman" w:eastAsia="Times New Roman" w:hAnsi="Times New Roman" w:cs="Times New Roman"/>
          <w:sz w:val="20"/>
          <w:szCs w:val="20"/>
        </w:rPr>
        <w:t>8</w:t>
      </w:r>
      <w:r w:rsidRPr="003F2DB9">
        <w:rPr>
          <w:rFonts w:ascii="Times New Roman" w:eastAsia="Times New Roman" w:hAnsi="Times New Roman" w:cs="Times New Roman"/>
          <w:sz w:val="20"/>
          <w:szCs w:val="20"/>
        </w:rPr>
        <w:t xml:space="preserve">] </w:t>
      </w:r>
      <w:r w:rsidR="008B5133" w:rsidRPr="003F2DB9">
        <w:rPr>
          <w:rFonts w:ascii="Times New Roman" w:eastAsia="Times New Roman" w:hAnsi="Times New Roman" w:cs="Times New Roman"/>
          <w:sz w:val="20"/>
          <w:szCs w:val="20"/>
        </w:rPr>
        <w:t>discovered in a study of 59 office buildings in the Shanghai office market that green buildings fetch a 12.8% premium rent above standard office buildings.</w:t>
      </w:r>
      <w:r w:rsidR="00CA1D86" w:rsidRPr="003F2DB9">
        <w:rPr>
          <w:rFonts w:ascii="Times New Roman" w:eastAsia="Times New Roman" w:hAnsi="Times New Roman" w:cs="Times New Roman"/>
          <w:sz w:val="20"/>
          <w:szCs w:val="20"/>
        </w:rPr>
        <w:t xml:space="preserve"> Furthermore, </w:t>
      </w:r>
      <w:r w:rsidRPr="003F2DB9">
        <w:rPr>
          <w:rFonts w:ascii="Times New Roman" w:eastAsia="Times New Roman" w:hAnsi="Times New Roman" w:cs="Times New Roman"/>
          <w:sz w:val="20"/>
          <w:szCs w:val="20"/>
        </w:rPr>
        <w:t>[5</w:t>
      </w:r>
      <w:r w:rsidR="002554AF" w:rsidRPr="003F2DB9">
        <w:rPr>
          <w:rFonts w:ascii="Times New Roman" w:eastAsia="Times New Roman" w:hAnsi="Times New Roman" w:cs="Times New Roman"/>
          <w:sz w:val="20"/>
          <w:szCs w:val="20"/>
        </w:rPr>
        <w:t>8</w:t>
      </w:r>
      <w:r w:rsidRPr="003F2DB9">
        <w:rPr>
          <w:rFonts w:ascii="Times New Roman" w:eastAsia="Times New Roman" w:hAnsi="Times New Roman" w:cs="Times New Roman"/>
          <w:sz w:val="20"/>
          <w:szCs w:val="20"/>
        </w:rPr>
        <w:t xml:space="preserve">] </w:t>
      </w:r>
      <w:r w:rsidR="00CA1D86" w:rsidRPr="003F2DB9">
        <w:rPr>
          <w:rFonts w:ascii="Times New Roman" w:eastAsia="Times New Roman" w:hAnsi="Times New Roman" w:cs="Times New Roman"/>
          <w:sz w:val="20"/>
          <w:szCs w:val="20"/>
        </w:rPr>
        <w:t xml:space="preserve">discovered that the costs of upgrading a conventional design to LEED may be recouped in a year, which contrasts sharply with the findings reported by </w:t>
      </w:r>
      <w:r w:rsidRPr="003F2DB9">
        <w:rPr>
          <w:rFonts w:ascii="Times New Roman" w:eastAsia="Times New Roman" w:hAnsi="Times New Roman" w:cs="Times New Roman"/>
          <w:sz w:val="20"/>
          <w:szCs w:val="20"/>
        </w:rPr>
        <w:t>[51]</w:t>
      </w:r>
      <w:r w:rsidR="00CA1D86" w:rsidRPr="003F2DB9">
        <w:rPr>
          <w:rFonts w:ascii="Times New Roman" w:eastAsia="Times New Roman" w:hAnsi="Times New Roman" w:cs="Times New Roman"/>
          <w:sz w:val="20"/>
          <w:szCs w:val="20"/>
        </w:rPr>
        <w:t xml:space="preserve"> in the European market.</w:t>
      </w:r>
    </w:p>
    <w:p w14:paraId="6CEE8714" w14:textId="43C91CD9" w:rsidR="00912840" w:rsidRPr="003F2DB9" w:rsidRDefault="00BC3AC4" w:rsidP="00840C00">
      <w:pPr>
        <w:shd w:val="clear" w:color="auto" w:fill="FFFFFF"/>
        <w:spacing w:after="150" w:line="240" w:lineRule="auto"/>
        <w:jc w:val="both"/>
        <w:rPr>
          <w:rFonts w:ascii="Times New Roman" w:eastAsia="Times New Roman" w:hAnsi="Times New Roman" w:cs="Times New Roman"/>
          <w:sz w:val="20"/>
          <w:szCs w:val="20"/>
        </w:rPr>
      </w:pPr>
      <w:r w:rsidRPr="003F2DB9">
        <w:rPr>
          <w:rFonts w:ascii="Times New Roman" w:eastAsia="Times New Roman" w:hAnsi="Times New Roman" w:cs="Times New Roman"/>
          <w:sz w:val="20"/>
          <w:szCs w:val="20"/>
        </w:rPr>
        <w:lastRenderedPageBreak/>
        <w:t xml:space="preserve">Similar to the above, </w:t>
      </w:r>
      <w:r w:rsidR="00912840" w:rsidRPr="003F2DB9">
        <w:rPr>
          <w:rFonts w:ascii="Times New Roman" w:eastAsia="Times New Roman" w:hAnsi="Times New Roman" w:cs="Times New Roman"/>
          <w:sz w:val="20"/>
          <w:szCs w:val="20"/>
        </w:rPr>
        <w:t xml:space="preserve">there are several </w:t>
      </w:r>
      <w:r w:rsidRPr="003F2DB9">
        <w:rPr>
          <w:rFonts w:ascii="Times New Roman" w:eastAsia="Times New Roman" w:hAnsi="Times New Roman" w:cs="Times New Roman"/>
          <w:sz w:val="20"/>
          <w:szCs w:val="20"/>
        </w:rPr>
        <w:t xml:space="preserve">research have established the desirable association between green rating and office building rent. </w:t>
      </w:r>
      <w:r w:rsidR="00912840" w:rsidRPr="003F2DB9">
        <w:rPr>
          <w:rFonts w:ascii="Times New Roman" w:eastAsia="Times New Roman" w:hAnsi="Times New Roman" w:cs="Times New Roman"/>
          <w:sz w:val="20"/>
          <w:szCs w:val="20"/>
        </w:rPr>
        <w:t xml:space="preserve">Examples of such studies include research conducted in the Central Business District of Kuala Lumpur </w:t>
      </w:r>
      <w:r w:rsidR="00743B21" w:rsidRPr="003F2DB9">
        <w:rPr>
          <w:rFonts w:ascii="Times New Roman" w:eastAsia="Times New Roman" w:hAnsi="Times New Roman" w:cs="Times New Roman"/>
          <w:sz w:val="20"/>
          <w:szCs w:val="20"/>
        </w:rPr>
        <w:t>[5</w:t>
      </w:r>
      <w:r w:rsidR="00293A70" w:rsidRPr="003F2DB9">
        <w:rPr>
          <w:rFonts w:ascii="Times New Roman" w:eastAsia="Times New Roman" w:hAnsi="Times New Roman" w:cs="Times New Roman"/>
          <w:sz w:val="20"/>
          <w:szCs w:val="20"/>
        </w:rPr>
        <w:t>9</w:t>
      </w:r>
      <w:r w:rsidR="00743B21" w:rsidRPr="003F2DB9">
        <w:rPr>
          <w:rFonts w:ascii="Times New Roman" w:eastAsia="Times New Roman" w:hAnsi="Times New Roman" w:cs="Times New Roman"/>
          <w:sz w:val="20"/>
          <w:szCs w:val="20"/>
        </w:rPr>
        <w:t>]</w:t>
      </w:r>
      <w:r w:rsidR="00912840" w:rsidRPr="003F2DB9">
        <w:rPr>
          <w:rFonts w:ascii="Times New Roman" w:eastAsia="Times New Roman" w:hAnsi="Times New Roman" w:cs="Times New Roman"/>
          <w:sz w:val="20"/>
          <w:szCs w:val="20"/>
        </w:rPr>
        <w:t xml:space="preserve">, a study conducted in Sao Paulo </w:t>
      </w:r>
      <w:r w:rsidR="00743B21" w:rsidRPr="003F2DB9">
        <w:rPr>
          <w:rFonts w:ascii="Times New Roman" w:eastAsia="Times New Roman" w:hAnsi="Times New Roman" w:cs="Times New Roman"/>
          <w:sz w:val="20"/>
          <w:szCs w:val="20"/>
        </w:rPr>
        <w:t>[</w:t>
      </w:r>
      <w:r w:rsidR="00293A70" w:rsidRPr="003F2DB9">
        <w:rPr>
          <w:rFonts w:ascii="Times New Roman" w:eastAsia="Times New Roman" w:hAnsi="Times New Roman" w:cs="Times New Roman"/>
          <w:sz w:val="20"/>
          <w:szCs w:val="20"/>
        </w:rPr>
        <w:t>60</w:t>
      </w:r>
      <w:r w:rsidR="00743B21" w:rsidRPr="003F2DB9">
        <w:rPr>
          <w:rFonts w:ascii="Times New Roman" w:eastAsia="Times New Roman" w:hAnsi="Times New Roman" w:cs="Times New Roman"/>
          <w:sz w:val="20"/>
          <w:szCs w:val="20"/>
        </w:rPr>
        <w:t>]</w:t>
      </w:r>
      <w:r w:rsidR="00912840" w:rsidRPr="003F2DB9">
        <w:rPr>
          <w:rFonts w:ascii="Times New Roman" w:eastAsia="Times New Roman" w:hAnsi="Times New Roman" w:cs="Times New Roman"/>
          <w:sz w:val="20"/>
          <w:szCs w:val="20"/>
        </w:rPr>
        <w:t xml:space="preserve">, as well as a study conducted in Johannesburg, South Africa </w:t>
      </w:r>
      <w:r w:rsidR="00743B21" w:rsidRPr="003F2DB9">
        <w:rPr>
          <w:rFonts w:ascii="Times New Roman" w:eastAsia="Times New Roman" w:hAnsi="Times New Roman" w:cs="Times New Roman"/>
          <w:sz w:val="20"/>
          <w:szCs w:val="20"/>
        </w:rPr>
        <w:t>[6</w:t>
      </w:r>
      <w:r w:rsidR="00293A70" w:rsidRPr="003F2DB9">
        <w:rPr>
          <w:rFonts w:ascii="Times New Roman" w:eastAsia="Times New Roman" w:hAnsi="Times New Roman" w:cs="Times New Roman"/>
          <w:sz w:val="20"/>
          <w:szCs w:val="20"/>
        </w:rPr>
        <w:t>1</w:t>
      </w:r>
      <w:r w:rsidR="00743B21" w:rsidRPr="003F2DB9">
        <w:rPr>
          <w:rFonts w:ascii="Times New Roman" w:eastAsia="Times New Roman" w:hAnsi="Times New Roman" w:cs="Times New Roman"/>
          <w:sz w:val="20"/>
          <w:szCs w:val="20"/>
        </w:rPr>
        <w:t>]</w:t>
      </w:r>
      <w:r w:rsidR="006F6882" w:rsidRPr="003F2DB9">
        <w:rPr>
          <w:rFonts w:ascii="Times New Roman" w:eastAsia="Times New Roman" w:hAnsi="Times New Roman" w:cs="Times New Roman"/>
          <w:sz w:val="20"/>
          <w:szCs w:val="20"/>
        </w:rPr>
        <w:t xml:space="preserve">, </w:t>
      </w:r>
      <w:r w:rsidR="00912840" w:rsidRPr="003F2DB9">
        <w:rPr>
          <w:rFonts w:ascii="Times New Roman" w:eastAsia="Times New Roman" w:hAnsi="Times New Roman" w:cs="Times New Roman"/>
          <w:sz w:val="20"/>
          <w:szCs w:val="20"/>
        </w:rPr>
        <w:t>among others.</w:t>
      </w:r>
      <w:r w:rsidR="00D12761" w:rsidRPr="003F2DB9">
        <w:rPr>
          <w:rFonts w:ascii="Times New Roman" w:eastAsia="Times New Roman" w:hAnsi="Times New Roman" w:cs="Times New Roman"/>
          <w:sz w:val="20"/>
          <w:szCs w:val="20"/>
        </w:rPr>
        <w:t xml:space="preserve"> </w:t>
      </w:r>
      <w:r w:rsidR="00AF3701" w:rsidRPr="003F2DB9">
        <w:rPr>
          <w:rFonts w:ascii="Times New Roman" w:eastAsia="Times New Roman" w:hAnsi="Times New Roman" w:cs="Times New Roman"/>
          <w:sz w:val="20"/>
          <w:szCs w:val="20"/>
        </w:rPr>
        <w:t>[6</w:t>
      </w:r>
      <w:r w:rsidR="00293A70" w:rsidRPr="003F2DB9">
        <w:rPr>
          <w:rFonts w:ascii="Times New Roman" w:eastAsia="Times New Roman" w:hAnsi="Times New Roman" w:cs="Times New Roman"/>
          <w:sz w:val="20"/>
          <w:szCs w:val="20"/>
        </w:rPr>
        <w:t>1</w:t>
      </w:r>
      <w:r w:rsidR="00AF3701" w:rsidRPr="003F2DB9">
        <w:rPr>
          <w:rFonts w:ascii="Times New Roman" w:eastAsia="Times New Roman" w:hAnsi="Times New Roman" w:cs="Times New Roman"/>
          <w:sz w:val="20"/>
          <w:szCs w:val="20"/>
        </w:rPr>
        <w:t xml:space="preserve">] </w:t>
      </w:r>
      <w:r w:rsidR="00D12761" w:rsidRPr="003F2DB9">
        <w:rPr>
          <w:rFonts w:ascii="Times New Roman" w:eastAsia="Times New Roman" w:hAnsi="Times New Roman" w:cs="Times New Roman"/>
          <w:sz w:val="20"/>
          <w:szCs w:val="20"/>
        </w:rPr>
        <w:t>conducted an analysis of data from 30 Green Star rated buildings and 30 non-certified buildings, revealing a premium rent of 4.5%.</w:t>
      </w:r>
    </w:p>
    <w:p w14:paraId="68EFE30B" w14:textId="428B9B6E" w:rsidR="00840C00" w:rsidRPr="003F2DB9" w:rsidRDefault="00743B21" w:rsidP="00840C00">
      <w:pPr>
        <w:shd w:val="clear" w:color="auto" w:fill="FFFFFF"/>
        <w:spacing w:after="150" w:line="240" w:lineRule="auto"/>
        <w:jc w:val="both"/>
        <w:rPr>
          <w:rFonts w:ascii="Times New Roman" w:eastAsia="Times New Roman" w:hAnsi="Times New Roman" w:cs="Times New Roman"/>
          <w:strike/>
          <w:sz w:val="20"/>
          <w:szCs w:val="20"/>
        </w:rPr>
      </w:pPr>
      <w:r w:rsidRPr="003F2DB9">
        <w:rPr>
          <w:rFonts w:ascii="Times New Roman" w:eastAsia="Times New Roman" w:hAnsi="Times New Roman" w:cs="Times New Roman"/>
          <w:sz w:val="20"/>
          <w:szCs w:val="20"/>
        </w:rPr>
        <w:t>[6</w:t>
      </w:r>
      <w:r w:rsidR="00293A70" w:rsidRPr="003F2DB9">
        <w:rPr>
          <w:rFonts w:ascii="Times New Roman" w:eastAsia="Times New Roman" w:hAnsi="Times New Roman" w:cs="Times New Roman"/>
          <w:sz w:val="20"/>
          <w:szCs w:val="20"/>
        </w:rPr>
        <w:t>2</w:t>
      </w:r>
      <w:r w:rsidRPr="003F2DB9">
        <w:rPr>
          <w:rFonts w:ascii="Times New Roman" w:eastAsia="Times New Roman" w:hAnsi="Times New Roman" w:cs="Times New Roman"/>
          <w:sz w:val="20"/>
          <w:szCs w:val="20"/>
        </w:rPr>
        <w:t xml:space="preserve">] </w:t>
      </w:r>
      <w:r w:rsidR="009A75AA" w:rsidRPr="003F2DB9">
        <w:rPr>
          <w:rFonts w:ascii="Times New Roman" w:eastAsia="Times New Roman" w:hAnsi="Times New Roman" w:cs="Times New Roman"/>
          <w:sz w:val="20"/>
          <w:szCs w:val="20"/>
        </w:rPr>
        <w:t>discovered that office premises certified by HKBEAM, BEAM Plus, and LEED had a rental value that was roughly 10.9% higher than non-certified office premises in Hong Kong markets.</w:t>
      </w:r>
      <w:r w:rsidR="0002493E" w:rsidRPr="003F2DB9">
        <w:rPr>
          <w:rFonts w:ascii="Times New Roman" w:eastAsia="Times New Roman" w:hAnsi="Times New Roman" w:cs="Times New Roman"/>
          <w:sz w:val="20"/>
          <w:szCs w:val="20"/>
        </w:rPr>
        <w:t xml:space="preserve"> </w:t>
      </w:r>
      <w:r w:rsidR="009A75AA" w:rsidRPr="003F2DB9">
        <w:rPr>
          <w:rFonts w:ascii="Times New Roman" w:eastAsia="Times New Roman" w:hAnsi="Times New Roman" w:cs="Times New Roman"/>
          <w:sz w:val="20"/>
          <w:szCs w:val="20"/>
        </w:rPr>
        <w:t>They also observed that the projected green development cost premium for prime (grade A) office buildings was estimated to be around 7% of the total cost, with an anticipated payback period of two years.</w:t>
      </w:r>
      <w:r w:rsidR="0002493E" w:rsidRPr="003F2DB9">
        <w:rPr>
          <w:rFonts w:ascii="Segoe UI" w:hAnsi="Segoe UI" w:cs="Segoe UI"/>
          <w:shd w:val="clear" w:color="auto" w:fill="F7F7F8"/>
        </w:rPr>
        <w:t xml:space="preserve"> </w:t>
      </w:r>
      <w:r w:rsidR="0002493E" w:rsidRPr="003F2DB9">
        <w:rPr>
          <w:rFonts w:ascii="Times New Roman" w:eastAsia="Times New Roman" w:hAnsi="Times New Roman" w:cs="Times New Roman"/>
          <w:sz w:val="20"/>
          <w:szCs w:val="20"/>
        </w:rPr>
        <w:t xml:space="preserve">According to a recent study conducted by </w:t>
      </w:r>
      <w:r w:rsidR="006808A0" w:rsidRPr="003F2DB9">
        <w:rPr>
          <w:rFonts w:ascii="Times New Roman" w:eastAsia="Times New Roman" w:hAnsi="Times New Roman" w:cs="Times New Roman"/>
          <w:sz w:val="20"/>
          <w:szCs w:val="20"/>
        </w:rPr>
        <w:t>[6</w:t>
      </w:r>
      <w:r w:rsidR="004F381D" w:rsidRPr="003F2DB9">
        <w:rPr>
          <w:rFonts w:ascii="Times New Roman" w:eastAsia="Times New Roman" w:hAnsi="Times New Roman" w:cs="Times New Roman"/>
          <w:sz w:val="20"/>
          <w:szCs w:val="20"/>
        </w:rPr>
        <w:t>3</w:t>
      </w:r>
      <w:r w:rsidR="006808A0" w:rsidRPr="003F2DB9">
        <w:rPr>
          <w:rFonts w:ascii="Times New Roman" w:eastAsia="Times New Roman" w:hAnsi="Times New Roman" w:cs="Times New Roman"/>
          <w:sz w:val="20"/>
          <w:szCs w:val="20"/>
        </w:rPr>
        <w:t>]</w:t>
      </w:r>
      <w:r w:rsidR="0002493E" w:rsidRPr="003F2DB9">
        <w:rPr>
          <w:rFonts w:ascii="Times New Roman" w:eastAsia="Times New Roman" w:hAnsi="Times New Roman" w:cs="Times New Roman"/>
          <w:sz w:val="20"/>
          <w:szCs w:val="20"/>
        </w:rPr>
        <w:t xml:space="preserve">, the reported rental premium for LEED-certified offices in China </w:t>
      </w:r>
      <w:proofErr w:type="gramStart"/>
      <w:r w:rsidR="0002493E" w:rsidRPr="003F2DB9">
        <w:rPr>
          <w:rFonts w:ascii="Times New Roman" w:eastAsia="Times New Roman" w:hAnsi="Times New Roman" w:cs="Times New Roman"/>
          <w:sz w:val="20"/>
          <w:szCs w:val="20"/>
        </w:rPr>
        <w:t>as a whole is</w:t>
      </w:r>
      <w:proofErr w:type="gramEnd"/>
      <w:r w:rsidR="0002493E" w:rsidRPr="003F2DB9">
        <w:rPr>
          <w:rFonts w:ascii="Times New Roman" w:eastAsia="Times New Roman" w:hAnsi="Times New Roman" w:cs="Times New Roman"/>
          <w:sz w:val="20"/>
          <w:szCs w:val="20"/>
        </w:rPr>
        <w:t xml:space="preserve"> 19.5%. In the specific samples from Shanghai and Beijing, the reported rental premiums are 25.5% and 20.8% respectively. </w:t>
      </w:r>
      <w:r w:rsidR="000D45F0" w:rsidRPr="003F2DB9">
        <w:rPr>
          <w:rFonts w:ascii="Times New Roman" w:eastAsia="Times New Roman" w:hAnsi="Times New Roman" w:cs="Times New Roman"/>
          <w:sz w:val="20"/>
          <w:szCs w:val="20"/>
        </w:rPr>
        <w:t>[5</w:t>
      </w:r>
      <w:r w:rsidR="004F381D" w:rsidRPr="003F2DB9">
        <w:rPr>
          <w:rFonts w:ascii="Times New Roman" w:eastAsia="Times New Roman" w:hAnsi="Times New Roman" w:cs="Times New Roman"/>
          <w:sz w:val="20"/>
          <w:szCs w:val="20"/>
        </w:rPr>
        <w:t>9</w:t>
      </w:r>
      <w:r w:rsidR="000D45F0" w:rsidRPr="003F2DB9">
        <w:rPr>
          <w:rFonts w:ascii="Times New Roman" w:eastAsia="Times New Roman" w:hAnsi="Times New Roman" w:cs="Times New Roman"/>
          <w:sz w:val="20"/>
          <w:szCs w:val="20"/>
        </w:rPr>
        <w:t xml:space="preserve">] </w:t>
      </w:r>
      <w:r w:rsidR="00FA5AA8" w:rsidRPr="003F2DB9">
        <w:rPr>
          <w:rFonts w:ascii="Times New Roman" w:eastAsia="Times New Roman" w:hAnsi="Times New Roman" w:cs="Times New Roman"/>
          <w:sz w:val="20"/>
          <w:szCs w:val="20"/>
        </w:rPr>
        <w:t>conducted a study in the CBD of Kuala Lumpur's Golden Triangle which also indicated that building rental performance can be improved through green certification. Furthermore, in a case study conducted in Sao Paulo, the largest urban area in Latin America, it was demonstrated that office buildings with green certification (LEED-certified) commanded higher rents than their counterparts in developed countries</w:t>
      </w:r>
      <w:r w:rsidR="000D45F0" w:rsidRPr="003F2DB9">
        <w:rPr>
          <w:rFonts w:ascii="Times New Roman" w:eastAsia="Times New Roman" w:hAnsi="Times New Roman" w:cs="Times New Roman"/>
          <w:sz w:val="20"/>
          <w:szCs w:val="20"/>
        </w:rPr>
        <w:t xml:space="preserve"> [</w:t>
      </w:r>
      <w:r w:rsidR="004F381D" w:rsidRPr="003F2DB9">
        <w:rPr>
          <w:rFonts w:ascii="Times New Roman" w:eastAsia="Times New Roman" w:hAnsi="Times New Roman" w:cs="Times New Roman"/>
          <w:sz w:val="20"/>
          <w:szCs w:val="20"/>
        </w:rPr>
        <w:t>60</w:t>
      </w:r>
      <w:r w:rsidR="000D45F0" w:rsidRPr="003F2DB9">
        <w:rPr>
          <w:rFonts w:ascii="Times New Roman" w:eastAsia="Times New Roman" w:hAnsi="Times New Roman" w:cs="Times New Roman"/>
          <w:sz w:val="20"/>
          <w:szCs w:val="20"/>
        </w:rPr>
        <w:t>]</w:t>
      </w:r>
      <w:r w:rsidR="00FA5AA8" w:rsidRPr="003F2DB9">
        <w:rPr>
          <w:rFonts w:ascii="Times New Roman" w:eastAsia="Times New Roman" w:hAnsi="Times New Roman" w:cs="Times New Roman"/>
          <w:sz w:val="20"/>
          <w:szCs w:val="20"/>
        </w:rPr>
        <w:t xml:space="preserve">. </w:t>
      </w:r>
      <w:r w:rsidR="00B62BEA" w:rsidRPr="003F2DB9">
        <w:rPr>
          <w:rFonts w:ascii="Times New Roman" w:eastAsia="Times New Roman" w:hAnsi="Times New Roman" w:cs="Times New Roman"/>
          <w:sz w:val="20"/>
          <w:szCs w:val="20"/>
        </w:rPr>
        <w:t>The study findings also showed that there was no premium observed for office buildings that did not obtain green certification upon completion, in comparison to non-green office buildings. This conclusion was drawn based on data analysis spanning from 2010 to 2014.</w:t>
      </w:r>
    </w:p>
    <w:p w14:paraId="63B5D932" w14:textId="69DDBDE8" w:rsidR="00840C00" w:rsidRPr="003F2DB9" w:rsidRDefault="00F925C4" w:rsidP="00606748">
      <w:pPr>
        <w:shd w:val="clear" w:color="auto" w:fill="FFFFFF"/>
        <w:spacing w:after="150" w:line="240" w:lineRule="auto"/>
        <w:jc w:val="both"/>
        <w:rPr>
          <w:rFonts w:ascii="Times New Roman" w:eastAsia="Times New Roman" w:hAnsi="Times New Roman" w:cs="Times New Roman"/>
          <w:sz w:val="20"/>
          <w:szCs w:val="20"/>
        </w:rPr>
      </w:pPr>
      <w:r w:rsidRPr="003F2DB9">
        <w:rPr>
          <w:rFonts w:ascii="Times New Roman" w:eastAsia="Times New Roman" w:hAnsi="Times New Roman" w:cs="Times New Roman"/>
          <w:sz w:val="20"/>
          <w:szCs w:val="20"/>
        </w:rPr>
        <w:t>Contrary</w:t>
      </w:r>
      <w:r w:rsidR="00FA5AA8" w:rsidRPr="003F2DB9">
        <w:rPr>
          <w:rFonts w:ascii="Times New Roman" w:eastAsia="Times New Roman" w:hAnsi="Times New Roman" w:cs="Times New Roman"/>
          <w:sz w:val="20"/>
          <w:szCs w:val="20"/>
        </w:rPr>
        <w:t xml:space="preserve"> to the findings of Costa et al., </w:t>
      </w:r>
      <w:r w:rsidR="00840C00" w:rsidRPr="003F2DB9">
        <w:rPr>
          <w:rFonts w:ascii="Times New Roman" w:eastAsia="Times New Roman" w:hAnsi="Times New Roman" w:cs="Times New Roman"/>
          <w:sz w:val="20"/>
          <w:szCs w:val="20"/>
        </w:rPr>
        <w:t>green-certified buildings have been found to perform better in many markets, not only in new constructions but also in existing conventional buildings that have been retrofitted to become green. The economic impact of retrofitting buildings to green standards was examined by</w:t>
      </w:r>
      <w:r w:rsidR="009967B7" w:rsidRPr="003F2DB9">
        <w:rPr>
          <w:rFonts w:ascii="Times New Roman" w:eastAsia="Times New Roman" w:hAnsi="Times New Roman" w:cs="Times New Roman"/>
          <w:sz w:val="20"/>
          <w:szCs w:val="20"/>
        </w:rPr>
        <w:t xml:space="preserve"> [6</w:t>
      </w:r>
      <w:r w:rsidR="004F381D" w:rsidRPr="003F2DB9">
        <w:rPr>
          <w:rFonts w:ascii="Times New Roman" w:eastAsia="Times New Roman" w:hAnsi="Times New Roman" w:cs="Times New Roman"/>
          <w:sz w:val="20"/>
          <w:szCs w:val="20"/>
        </w:rPr>
        <w:t>4</w:t>
      </w:r>
      <w:r w:rsidR="009967B7" w:rsidRPr="003F2DB9">
        <w:rPr>
          <w:rFonts w:ascii="Times New Roman" w:eastAsia="Times New Roman" w:hAnsi="Times New Roman" w:cs="Times New Roman"/>
          <w:sz w:val="20"/>
          <w:szCs w:val="20"/>
        </w:rPr>
        <w:t>]</w:t>
      </w:r>
      <w:r w:rsidR="00840C00" w:rsidRPr="003F2DB9">
        <w:rPr>
          <w:rFonts w:ascii="Times New Roman" w:eastAsia="Times New Roman" w:hAnsi="Times New Roman" w:cs="Times New Roman"/>
          <w:sz w:val="20"/>
          <w:szCs w:val="20"/>
        </w:rPr>
        <w:t xml:space="preserve">, who found that most renovations in their selected sample were carried out between 2005 and 2009 and certified between 2008 and 2011. </w:t>
      </w:r>
      <w:r w:rsidR="009967B7" w:rsidRPr="003F2DB9">
        <w:rPr>
          <w:rFonts w:ascii="Times New Roman" w:eastAsia="Times New Roman" w:hAnsi="Times New Roman" w:cs="Times New Roman"/>
          <w:sz w:val="20"/>
          <w:szCs w:val="20"/>
        </w:rPr>
        <w:t>[63]</w:t>
      </w:r>
      <w:r w:rsidR="00840C00" w:rsidRPr="003F2DB9">
        <w:rPr>
          <w:rFonts w:ascii="Times New Roman" w:eastAsia="Times New Roman" w:hAnsi="Times New Roman" w:cs="Times New Roman"/>
          <w:sz w:val="20"/>
          <w:szCs w:val="20"/>
        </w:rPr>
        <w:t xml:space="preserve">. compared the rent and occupancy rates before and after retrofitting with a control sample, and they demonstrated that both rents and occupancy rates grew similarly to the control sample. A similar finding was reported by </w:t>
      </w:r>
      <w:r w:rsidR="009967B7" w:rsidRPr="003F2DB9">
        <w:rPr>
          <w:rFonts w:ascii="Times New Roman" w:eastAsia="Times New Roman" w:hAnsi="Times New Roman" w:cs="Times New Roman"/>
          <w:sz w:val="20"/>
          <w:szCs w:val="20"/>
        </w:rPr>
        <w:t>[6</w:t>
      </w:r>
      <w:r w:rsidR="004F381D" w:rsidRPr="003F2DB9">
        <w:rPr>
          <w:rFonts w:ascii="Times New Roman" w:eastAsia="Times New Roman" w:hAnsi="Times New Roman" w:cs="Times New Roman"/>
          <w:sz w:val="20"/>
          <w:szCs w:val="20"/>
        </w:rPr>
        <w:t>5</w:t>
      </w:r>
      <w:r w:rsidR="009967B7" w:rsidRPr="003F2DB9">
        <w:rPr>
          <w:rFonts w:ascii="Times New Roman" w:eastAsia="Times New Roman" w:hAnsi="Times New Roman" w:cs="Times New Roman"/>
          <w:sz w:val="20"/>
          <w:szCs w:val="20"/>
        </w:rPr>
        <w:t>]</w:t>
      </w:r>
      <w:r w:rsidR="00840C00" w:rsidRPr="003F2DB9">
        <w:rPr>
          <w:rFonts w:ascii="Times New Roman" w:eastAsia="Times New Roman" w:hAnsi="Times New Roman" w:cs="Times New Roman"/>
          <w:sz w:val="20"/>
          <w:szCs w:val="20"/>
        </w:rPr>
        <w:t>, who studied the value benefits of energy efficiency retrofits on commercial office buildings in Toronto, Canada, and concluded that retrofitting buildings could lead to an increase in effective rents.</w:t>
      </w:r>
    </w:p>
    <w:p w14:paraId="0767D201" w14:textId="5001A129" w:rsidR="00840C00" w:rsidRPr="003F2DB9" w:rsidRDefault="00840C00" w:rsidP="00606748">
      <w:pPr>
        <w:shd w:val="clear" w:color="auto" w:fill="FFFFFF"/>
        <w:spacing w:after="150" w:line="240" w:lineRule="auto"/>
        <w:jc w:val="both"/>
        <w:rPr>
          <w:rFonts w:ascii="Times New Roman" w:eastAsia="Times New Roman" w:hAnsi="Times New Roman" w:cs="Times New Roman"/>
          <w:sz w:val="20"/>
          <w:szCs w:val="20"/>
        </w:rPr>
      </w:pPr>
      <w:r w:rsidRPr="003F2DB9">
        <w:rPr>
          <w:rFonts w:ascii="Times New Roman" w:eastAsia="Times New Roman" w:hAnsi="Times New Roman" w:cs="Times New Roman"/>
          <w:sz w:val="20"/>
          <w:szCs w:val="20"/>
        </w:rPr>
        <w:t xml:space="preserve">In the literature, some studies examine the connection between green certification and rental rates, while others investigate the willingness of tenants to rent. For instance, </w:t>
      </w:r>
      <w:r w:rsidR="009967B7" w:rsidRPr="003F2DB9">
        <w:rPr>
          <w:rFonts w:ascii="Times New Roman" w:eastAsia="Times New Roman" w:hAnsi="Times New Roman" w:cs="Times New Roman"/>
          <w:sz w:val="20"/>
          <w:szCs w:val="20"/>
        </w:rPr>
        <w:t>[6</w:t>
      </w:r>
      <w:r w:rsidR="004F381D" w:rsidRPr="003F2DB9">
        <w:rPr>
          <w:rFonts w:ascii="Times New Roman" w:eastAsia="Times New Roman" w:hAnsi="Times New Roman" w:cs="Times New Roman"/>
          <w:sz w:val="20"/>
          <w:szCs w:val="20"/>
        </w:rPr>
        <w:t>6</w:t>
      </w:r>
      <w:r w:rsidR="009967B7" w:rsidRPr="003F2DB9">
        <w:rPr>
          <w:rFonts w:ascii="Times New Roman" w:eastAsia="Times New Roman" w:hAnsi="Times New Roman" w:cs="Times New Roman"/>
          <w:sz w:val="20"/>
          <w:szCs w:val="20"/>
        </w:rPr>
        <w:t xml:space="preserve">] </w:t>
      </w:r>
      <w:r w:rsidRPr="003F2DB9">
        <w:rPr>
          <w:rFonts w:ascii="Times New Roman" w:eastAsia="Times New Roman" w:hAnsi="Times New Roman" w:cs="Times New Roman"/>
          <w:sz w:val="20"/>
          <w:szCs w:val="20"/>
        </w:rPr>
        <w:t xml:space="preserve">conducted a study in South Korea which revealed that tenants showed a higher potential willingness to rent in buildings with green certification. However, the study found that an increase in the level of green certification did not always lead to a greater readiness to rent. </w:t>
      </w:r>
      <w:r w:rsidR="009967B7" w:rsidRPr="003F2DB9">
        <w:rPr>
          <w:rFonts w:ascii="Times New Roman" w:eastAsia="Times New Roman" w:hAnsi="Times New Roman" w:cs="Times New Roman"/>
          <w:sz w:val="20"/>
          <w:szCs w:val="20"/>
        </w:rPr>
        <w:t>[6</w:t>
      </w:r>
      <w:r w:rsidR="004F381D" w:rsidRPr="003F2DB9">
        <w:rPr>
          <w:rFonts w:ascii="Times New Roman" w:eastAsia="Times New Roman" w:hAnsi="Times New Roman" w:cs="Times New Roman"/>
          <w:sz w:val="20"/>
          <w:szCs w:val="20"/>
        </w:rPr>
        <w:t>7</w:t>
      </w:r>
      <w:r w:rsidR="009967B7" w:rsidRPr="003F2DB9">
        <w:rPr>
          <w:rFonts w:ascii="Times New Roman" w:eastAsia="Times New Roman" w:hAnsi="Times New Roman" w:cs="Times New Roman"/>
          <w:sz w:val="20"/>
          <w:szCs w:val="20"/>
        </w:rPr>
        <w:t xml:space="preserve">] </w:t>
      </w:r>
      <w:r w:rsidRPr="003F2DB9">
        <w:rPr>
          <w:rFonts w:ascii="Times New Roman" w:eastAsia="Times New Roman" w:hAnsi="Times New Roman" w:cs="Times New Roman"/>
          <w:sz w:val="20"/>
          <w:szCs w:val="20"/>
        </w:rPr>
        <w:t xml:space="preserve">reported that after being informed of the green features, most tenants in the Indian office market expressed a willingness to pay a higher rent in the future for green buildings. On the other hand, </w:t>
      </w:r>
      <w:r w:rsidR="009967B7" w:rsidRPr="003F2DB9">
        <w:rPr>
          <w:rFonts w:ascii="Times New Roman" w:eastAsia="Times New Roman" w:hAnsi="Times New Roman" w:cs="Times New Roman"/>
          <w:sz w:val="20"/>
          <w:szCs w:val="20"/>
        </w:rPr>
        <w:t>[</w:t>
      </w:r>
      <w:r w:rsidR="003D4755" w:rsidRPr="003F2DB9">
        <w:rPr>
          <w:rFonts w:ascii="Times New Roman" w:eastAsia="Times New Roman" w:hAnsi="Times New Roman" w:cs="Times New Roman"/>
          <w:sz w:val="20"/>
          <w:szCs w:val="20"/>
        </w:rPr>
        <w:t>38</w:t>
      </w:r>
      <w:r w:rsidR="009967B7" w:rsidRPr="003F2DB9">
        <w:rPr>
          <w:rFonts w:ascii="Times New Roman" w:eastAsia="Times New Roman" w:hAnsi="Times New Roman" w:cs="Times New Roman"/>
          <w:sz w:val="20"/>
          <w:szCs w:val="20"/>
        </w:rPr>
        <w:t xml:space="preserve">] </w:t>
      </w:r>
      <w:r w:rsidRPr="003F2DB9">
        <w:rPr>
          <w:rFonts w:ascii="Times New Roman" w:eastAsia="Times New Roman" w:hAnsi="Times New Roman" w:cs="Times New Roman"/>
          <w:sz w:val="20"/>
          <w:szCs w:val="20"/>
        </w:rPr>
        <w:t xml:space="preserve">discovered that class-A buildings commanded a 14.6% rental premium compared to grade C structures, while Energy Star or LEED-certified buildings only received a 2.2% rental premium. This result is consistent with the research conducted by </w:t>
      </w:r>
      <w:r w:rsidR="003D4755" w:rsidRPr="003F2DB9">
        <w:rPr>
          <w:rFonts w:ascii="Times New Roman" w:eastAsia="Times New Roman" w:hAnsi="Times New Roman" w:cs="Times New Roman"/>
          <w:sz w:val="20"/>
          <w:szCs w:val="20"/>
        </w:rPr>
        <w:t>[5</w:t>
      </w:r>
      <w:r w:rsidR="004F381D" w:rsidRPr="003F2DB9">
        <w:rPr>
          <w:rFonts w:ascii="Times New Roman" w:eastAsia="Times New Roman" w:hAnsi="Times New Roman" w:cs="Times New Roman"/>
          <w:sz w:val="20"/>
          <w:szCs w:val="20"/>
        </w:rPr>
        <w:t>5</w:t>
      </w:r>
      <w:r w:rsidR="003D4755" w:rsidRPr="003F2DB9">
        <w:rPr>
          <w:rFonts w:ascii="Times New Roman" w:eastAsia="Times New Roman" w:hAnsi="Times New Roman" w:cs="Times New Roman"/>
          <w:sz w:val="20"/>
          <w:szCs w:val="20"/>
        </w:rPr>
        <w:t xml:space="preserve">] </w:t>
      </w:r>
      <w:r w:rsidRPr="003F2DB9">
        <w:rPr>
          <w:rFonts w:ascii="Times New Roman" w:eastAsia="Times New Roman" w:hAnsi="Times New Roman" w:cs="Times New Roman"/>
          <w:sz w:val="20"/>
          <w:szCs w:val="20"/>
        </w:rPr>
        <w:t>in Europe.</w:t>
      </w:r>
    </w:p>
    <w:p w14:paraId="36C10167" w14:textId="3A9082FA" w:rsidR="00840C00" w:rsidRPr="003F2DB9" w:rsidRDefault="00840C00" w:rsidP="00606748">
      <w:pPr>
        <w:shd w:val="clear" w:color="auto" w:fill="FFFFFF"/>
        <w:spacing w:after="150" w:line="240" w:lineRule="auto"/>
        <w:jc w:val="both"/>
        <w:rPr>
          <w:rFonts w:ascii="Times New Roman" w:eastAsia="Times New Roman" w:hAnsi="Times New Roman" w:cs="Times New Roman"/>
          <w:sz w:val="20"/>
          <w:szCs w:val="20"/>
        </w:rPr>
      </w:pPr>
      <w:r w:rsidRPr="003F2DB9">
        <w:rPr>
          <w:rFonts w:ascii="Times New Roman" w:eastAsia="Times New Roman" w:hAnsi="Times New Roman" w:cs="Times New Roman"/>
          <w:sz w:val="20"/>
          <w:szCs w:val="20"/>
        </w:rPr>
        <w:t xml:space="preserve">Several studies have shown a positive relationship between green certification and rental rates, but there are some studies that have found no association. For instance, a survey conducted in Malaysia revealed that green buildings were rated the least important feature from the perspective of tenants, likely due to the lack of pressure on authorities to mandate green features and the nascent stage of green building implementation in the country (Adnan et al., 2013). This finding is </w:t>
      </w:r>
      <w:proofErr w:type="gramStart"/>
      <w:r w:rsidRPr="003F2DB9">
        <w:rPr>
          <w:rFonts w:ascii="Times New Roman" w:eastAsia="Times New Roman" w:hAnsi="Times New Roman" w:cs="Times New Roman"/>
          <w:sz w:val="20"/>
          <w:szCs w:val="20"/>
        </w:rPr>
        <w:t>similar to</w:t>
      </w:r>
      <w:proofErr w:type="gramEnd"/>
      <w:r w:rsidRPr="003F2DB9">
        <w:rPr>
          <w:rFonts w:ascii="Times New Roman" w:eastAsia="Times New Roman" w:hAnsi="Times New Roman" w:cs="Times New Roman"/>
          <w:sz w:val="20"/>
          <w:szCs w:val="20"/>
        </w:rPr>
        <w:t xml:space="preserve"> that of </w:t>
      </w:r>
      <w:r w:rsidR="00F44DD1" w:rsidRPr="003F2DB9">
        <w:rPr>
          <w:rFonts w:ascii="Times New Roman" w:eastAsia="Times New Roman" w:hAnsi="Times New Roman" w:cs="Times New Roman"/>
          <w:sz w:val="20"/>
          <w:szCs w:val="20"/>
        </w:rPr>
        <w:t>[6</w:t>
      </w:r>
      <w:r w:rsidR="004F381D" w:rsidRPr="003F2DB9">
        <w:rPr>
          <w:rFonts w:ascii="Times New Roman" w:eastAsia="Times New Roman" w:hAnsi="Times New Roman" w:cs="Times New Roman"/>
          <w:sz w:val="20"/>
          <w:szCs w:val="20"/>
        </w:rPr>
        <w:t>7</w:t>
      </w:r>
      <w:r w:rsidR="00F44DD1" w:rsidRPr="003F2DB9">
        <w:rPr>
          <w:rFonts w:ascii="Times New Roman" w:eastAsia="Times New Roman" w:hAnsi="Times New Roman" w:cs="Times New Roman"/>
          <w:sz w:val="20"/>
          <w:szCs w:val="20"/>
        </w:rPr>
        <w:t>]</w:t>
      </w:r>
      <w:r w:rsidRPr="003F2DB9">
        <w:rPr>
          <w:rFonts w:ascii="Times New Roman" w:eastAsia="Times New Roman" w:hAnsi="Times New Roman" w:cs="Times New Roman"/>
          <w:sz w:val="20"/>
          <w:szCs w:val="20"/>
        </w:rPr>
        <w:t xml:space="preserve">. </w:t>
      </w:r>
      <w:r w:rsidR="00F44DD1" w:rsidRPr="003F2DB9">
        <w:rPr>
          <w:rFonts w:ascii="Times New Roman" w:eastAsia="Times New Roman" w:hAnsi="Times New Roman" w:cs="Times New Roman"/>
          <w:sz w:val="20"/>
          <w:szCs w:val="20"/>
        </w:rPr>
        <w:t>[6</w:t>
      </w:r>
      <w:r w:rsidR="004F381D" w:rsidRPr="003F2DB9">
        <w:rPr>
          <w:rFonts w:ascii="Times New Roman" w:eastAsia="Times New Roman" w:hAnsi="Times New Roman" w:cs="Times New Roman"/>
          <w:sz w:val="20"/>
          <w:szCs w:val="20"/>
        </w:rPr>
        <w:t>8</w:t>
      </w:r>
      <w:r w:rsidR="00F44DD1" w:rsidRPr="003F2DB9">
        <w:rPr>
          <w:rFonts w:ascii="Times New Roman" w:eastAsia="Times New Roman" w:hAnsi="Times New Roman" w:cs="Times New Roman"/>
          <w:sz w:val="20"/>
          <w:szCs w:val="20"/>
        </w:rPr>
        <w:t>]</w:t>
      </w:r>
      <w:r w:rsidRPr="003F2DB9">
        <w:rPr>
          <w:rFonts w:ascii="Times New Roman" w:eastAsia="Times New Roman" w:hAnsi="Times New Roman" w:cs="Times New Roman"/>
          <w:sz w:val="20"/>
          <w:szCs w:val="20"/>
        </w:rPr>
        <w:t xml:space="preserve"> also found no significant energy efficiency premium or discount for energy-inefficient buildings in Sydney's CBD, despite reduced factor costs, social responsibility, and legal obligations as incentives for tenants to pay a green premium. </w:t>
      </w:r>
      <w:r w:rsidR="00F44DD1" w:rsidRPr="003F2DB9">
        <w:rPr>
          <w:rFonts w:ascii="Times New Roman" w:eastAsia="Times New Roman" w:hAnsi="Times New Roman" w:cs="Times New Roman"/>
          <w:sz w:val="20"/>
          <w:szCs w:val="20"/>
        </w:rPr>
        <w:t>[6</w:t>
      </w:r>
      <w:r w:rsidR="004F381D" w:rsidRPr="003F2DB9">
        <w:rPr>
          <w:rFonts w:ascii="Times New Roman" w:eastAsia="Times New Roman" w:hAnsi="Times New Roman" w:cs="Times New Roman"/>
          <w:sz w:val="20"/>
          <w:szCs w:val="20"/>
        </w:rPr>
        <w:t>9</w:t>
      </w:r>
      <w:r w:rsidR="00F44DD1" w:rsidRPr="003F2DB9">
        <w:rPr>
          <w:rFonts w:ascii="Times New Roman" w:eastAsia="Times New Roman" w:hAnsi="Times New Roman" w:cs="Times New Roman"/>
          <w:sz w:val="20"/>
          <w:szCs w:val="20"/>
        </w:rPr>
        <w:t xml:space="preserve">] </w:t>
      </w:r>
      <w:r w:rsidRPr="003F2DB9">
        <w:rPr>
          <w:rFonts w:ascii="Times New Roman" w:eastAsia="Times New Roman" w:hAnsi="Times New Roman" w:cs="Times New Roman"/>
          <w:sz w:val="20"/>
          <w:szCs w:val="20"/>
        </w:rPr>
        <w:t xml:space="preserve">and </w:t>
      </w:r>
      <w:r w:rsidR="00F44DD1" w:rsidRPr="003F2DB9">
        <w:rPr>
          <w:rFonts w:ascii="Times New Roman" w:eastAsia="Times New Roman" w:hAnsi="Times New Roman" w:cs="Times New Roman"/>
          <w:sz w:val="20"/>
          <w:szCs w:val="20"/>
        </w:rPr>
        <w:t>[</w:t>
      </w:r>
      <w:r w:rsidR="004F381D" w:rsidRPr="003F2DB9">
        <w:rPr>
          <w:rFonts w:ascii="Times New Roman" w:eastAsia="Times New Roman" w:hAnsi="Times New Roman" w:cs="Times New Roman"/>
          <w:sz w:val="20"/>
          <w:szCs w:val="20"/>
        </w:rPr>
        <w:t>70</w:t>
      </w:r>
      <w:r w:rsidR="00F44DD1" w:rsidRPr="003F2DB9">
        <w:rPr>
          <w:rFonts w:ascii="Times New Roman" w:eastAsia="Times New Roman" w:hAnsi="Times New Roman" w:cs="Times New Roman"/>
          <w:sz w:val="20"/>
          <w:szCs w:val="20"/>
        </w:rPr>
        <w:t xml:space="preserve">] </w:t>
      </w:r>
      <w:r w:rsidRPr="003F2DB9">
        <w:rPr>
          <w:rFonts w:ascii="Times New Roman" w:eastAsia="Times New Roman" w:hAnsi="Times New Roman" w:cs="Times New Roman"/>
          <w:sz w:val="20"/>
          <w:szCs w:val="20"/>
        </w:rPr>
        <w:t>similarly found no compelling evidence of a green premium in Toronto's commercial property market. It is possible that the use of gross rent, which obscures the impact of energy efficiency, may have contributed to these findings.</w:t>
      </w:r>
    </w:p>
    <w:p w14:paraId="12249385" w14:textId="54FD7BE6" w:rsidR="00840C00" w:rsidRPr="003F2DB9" w:rsidRDefault="00840C00" w:rsidP="00606748">
      <w:pPr>
        <w:shd w:val="clear" w:color="auto" w:fill="FFFFFF"/>
        <w:spacing w:after="150" w:line="240" w:lineRule="auto"/>
        <w:jc w:val="both"/>
        <w:rPr>
          <w:rFonts w:ascii="Times New Roman" w:eastAsia="Times New Roman" w:hAnsi="Times New Roman" w:cs="Times New Roman"/>
          <w:sz w:val="20"/>
          <w:szCs w:val="20"/>
        </w:rPr>
      </w:pPr>
      <w:r w:rsidRPr="003F2DB9">
        <w:rPr>
          <w:rFonts w:ascii="Times New Roman" w:eastAsia="Times New Roman" w:hAnsi="Times New Roman" w:cs="Times New Roman"/>
          <w:sz w:val="20"/>
          <w:szCs w:val="20"/>
        </w:rPr>
        <w:t xml:space="preserve">As mentioned earlier, the evidence on the existence of a green premium is mixed, with some studies supporting it and others contradicting it. However, if the green premium is a myth, why do developers still invest in eco-friendly buildings? </w:t>
      </w:r>
      <w:r w:rsidR="00F44DD1" w:rsidRPr="003F2DB9">
        <w:rPr>
          <w:rFonts w:ascii="Times New Roman" w:eastAsia="Times New Roman" w:hAnsi="Times New Roman" w:cs="Times New Roman"/>
          <w:sz w:val="20"/>
          <w:szCs w:val="20"/>
        </w:rPr>
        <w:t>[7</w:t>
      </w:r>
      <w:r w:rsidR="004F381D" w:rsidRPr="003F2DB9">
        <w:rPr>
          <w:rFonts w:ascii="Times New Roman" w:eastAsia="Times New Roman" w:hAnsi="Times New Roman" w:cs="Times New Roman"/>
          <w:sz w:val="20"/>
          <w:szCs w:val="20"/>
        </w:rPr>
        <w:t>1</w:t>
      </w:r>
      <w:r w:rsidR="00F44DD1" w:rsidRPr="003F2DB9">
        <w:rPr>
          <w:rFonts w:ascii="Times New Roman" w:eastAsia="Times New Roman" w:hAnsi="Times New Roman" w:cs="Times New Roman"/>
          <w:sz w:val="20"/>
          <w:szCs w:val="20"/>
        </w:rPr>
        <w:t xml:space="preserve">] </w:t>
      </w:r>
      <w:r w:rsidRPr="003F2DB9">
        <w:rPr>
          <w:rFonts w:ascii="Times New Roman" w:eastAsia="Times New Roman" w:hAnsi="Times New Roman" w:cs="Times New Roman"/>
          <w:sz w:val="20"/>
          <w:szCs w:val="20"/>
        </w:rPr>
        <w:t>attempted to answer this question by conducting a survey in Malaysia to explore the driving forces behind such investments. The study found that financial incentives, such as cost savings over the building's life cycle and external financial incentives, such as green tax incentives, were the key motivators for developers to invest in green building development. In contrast, internal incentives, such as environmental responsibility and sustainability, were less important. The findings suggest that further research is needed to support the claim that developers can command a premium rent on green office investments.</w:t>
      </w:r>
    </w:p>
    <w:p w14:paraId="558EA1DC" w14:textId="1025DD93" w:rsidR="00A737DB" w:rsidRPr="003F2DB9" w:rsidRDefault="00A737DB" w:rsidP="00DD3169">
      <w:pPr>
        <w:rPr>
          <w:rFonts w:ascii="Times New Roman" w:hAnsi="Times New Roman" w:cs="Times New Roman"/>
          <w:sz w:val="20"/>
          <w:szCs w:val="20"/>
        </w:rPr>
      </w:pPr>
      <w:r w:rsidRPr="003F2DB9">
        <w:rPr>
          <w:rFonts w:ascii="Times New Roman" w:hAnsi="Times New Roman" w:cs="Times New Roman"/>
          <w:sz w:val="20"/>
          <w:szCs w:val="20"/>
        </w:rPr>
        <w:lastRenderedPageBreak/>
        <w:t>Table 5 showcases the rental premiums observed in the United States for green-certified buildings when compared to non-certified buildings.</w:t>
      </w:r>
    </w:p>
    <w:p w14:paraId="086A76B1" w14:textId="2326D059" w:rsidR="00DD3169" w:rsidRPr="003F2DB9" w:rsidRDefault="00DD3169" w:rsidP="006B718B">
      <w:pPr>
        <w:jc w:val="center"/>
        <w:rPr>
          <w:rFonts w:ascii="Times New Roman" w:hAnsi="Times New Roman" w:cs="Times New Roman"/>
          <w:sz w:val="16"/>
          <w:szCs w:val="16"/>
        </w:rPr>
      </w:pPr>
      <w:r w:rsidRPr="003F2DB9">
        <w:rPr>
          <w:rFonts w:ascii="Times New Roman" w:hAnsi="Times New Roman" w:cs="Times New Roman"/>
          <w:sz w:val="16"/>
          <w:szCs w:val="16"/>
          <w:highlight w:val="yellow"/>
        </w:rPr>
        <w:t xml:space="preserve">Table </w:t>
      </w:r>
      <w:r w:rsidR="006B718B" w:rsidRPr="003F2DB9">
        <w:rPr>
          <w:rFonts w:ascii="Times New Roman" w:hAnsi="Times New Roman" w:cs="Times New Roman"/>
          <w:sz w:val="16"/>
          <w:szCs w:val="16"/>
          <w:highlight w:val="yellow"/>
        </w:rPr>
        <w:t xml:space="preserve">5. </w:t>
      </w:r>
      <w:r w:rsidRPr="003F2DB9">
        <w:rPr>
          <w:rFonts w:ascii="Times New Roman" w:hAnsi="Times New Roman" w:cs="Times New Roman"/>
          <w:sz w:val="16"/>
          <w:szCs w:val="16"/>
          <w:highlight w:val="yellow"/>
        </w:rPr>
        <w:t xml:space="preserve">Summary of </w:t>
      </w:r>
      <w:r w:rsidR="00420107" w:rsidRPr="003F2DB9">
        <w:rPr>
          <w:rFonts w:ascii="Times New Roman" w:hAnsi="Times New Roman" w:cs="Times New Roman"/>
          <w:sz w:val="16"/>
          <w:szCs w:val="16"/>
          <w:highlight w:val="yellow"/>
        </w:rPr>
        <w:t>F</w:t>
      </w:r>
      <w:r w:rsidR="00F40799" w:rsidRPr="003F2DB9">
        <w:rPr>
          <w:rFonts w:ascii="Times New Roman" w:hAnsi="Times New Roman" w:cs="Times New Roman"/>
          <w:sz w:val="16"/>
          <w:szCs w:val="16"/>
          <w:highlight w:val="yellow"/>
        </w:rPr>
        <w:t>indings</w:t>
      </w:r>
      <w:r w:rsidRPr="003F2DB9">
        <w:rPr>
          <w:rFonts w:ascii="Times New Roman" w:hAnsi="Times New Roman" w:cs="Times New Roman"/>
          <w:sz w:val="16"/>
          <w:szCs w:val="16"/>
          <w:highlight w:val="yellow"/>
        </w:rPr>
        <w:t xml:space="preserve"> </w:t>
      </w:r>
      <w:proofErr w:type="gramStart"/>
      <w:r w:rsidR="00420107" w:rsidRPr="003F2DB9">
        <w:rPr>
          <w:rFonts w:ascii="Times New Roman" w:hAnsi="Times New Roman" w:cs="Times New Roman"/>
          <w:sz w:val="16"/>
          <w:szCs w:val="16"/>
          <w:highlight w:val="yellow"/>
        </w:rPr>
        <w:t>I</w:t>
      </w:r>
      <w:r w:rsidRPr="003F2DB9">
        <w:rPr>
          <w:rFonts w:ascii="Times New Roman" w:hAnsi="Times New Roman" w:cs="Times New Roman"/>
          <w:sz w:val="16"/>
          <w:szCs w:val="16"/>
          <w:highlight w:val="yellow"/>
        </w:rPr>
        <w:t>n</w:t>
      </w:r>
      <w:proofErr w:type="gramEnd"/>
      <w:r w:rsidRPr="003F2DB9">
        <w:rPr>
          <w:rFonts w:ascii="Times New Roman" w:hAnsi="Times New Roman" w:cs="Times New Roman"/>
          <w:sz w:val="16"/>
          <w:szCs w:val="16"/>
          <w:highlight w:val="yellow"/>
        </w:rPr>
        <w:t xml:space="preserve"> </w:t>
      </w:r>
      <w:r w:rsidR="00420107" w:rsidRPr="003F2DB9">
        <w:rPr>
          <w:rFonts w:ascii="Times New Roman" w:hAnsi="Times New Roman" w:cs="Times New Roman"/>
          <w:sz w:val="16"/>
          <w:szCs w:val="16"/>
          <w:highlight w:val="yellow"/>
        </w:rPr>
        <w:t>T</w:t>
      </w:r>
      <w:r w:rsidRPr="003F2DB9">
        <w:rPr>
          <w:rFonts w:ascii="Times New Roman" w:hAnsi="Times New Roman" w:cs="Times New Roman"/>
          <w:sz w:val="16"/>
          <w:szCs w:val="16"/>
          <w:highlight w:val="yellow"/>
        </w:rPr>
        <w:t>he USA</w:t>
      </w: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559"/>
      </w:tblGrid>
      <w:tr w:rsidR="008F4347" w:rsidRPr="003F2DB9" w14:paraId="41B98623" w14:textId="77777777" w:rsidTr="00C76C0A">
        <w:trPr>
          <w:cantSplit/>
          <w:trHeight w:val="851"/>
          <w:tblHeader/>
        </w:trPr>
        <w:tc>
          <w:tcPr>
            <w:tcW w:w="7792" w:type="dxa"/>
            <w:tcBorders>
              <w:top w:val="single" w:sz="4" w:space="0" w:color="auto"/>
              <w:left w:val="single" w:sz="4" w:space="0" w:color="auto"/>
              <w:bottom w:val="single" w:sz="4" w:space="0" w:color="auto"/>
              <w:right w:val="single" w:sz="4" w:space="0" w:color="auto"/>
            </w:tcBorders>
            <w:vAlign w:val="center"/>
            <w:hideMark/>
          </w:tcPr>
          <w:p w14:paraId="5E5F0AE7" w14:textId="77777777" w:rsidR="001A1A6B" w:rsidRPr="003F2DB9" w:rsidRDefault="001A1A6B" w:rsidP="001A1A6B">
            <w:pPr>
              <w:rPr>
                <w:rFonts w:ascii="Times New Roman" w:hAnsi="Times New Roman" w:cs="Times New Roman"/>
                <w:sz w:val="20"/>
                <w:szCs w:val="20"/>
              </w:rPr>
            </w:pPr>
            <w:bookmarkStart w:id="3" w:name="_Hlk89809500"/>
            <w:bookmarkStart w:id="4" w:name="_Hlk89804171"/>
            <w:bookmarkStart w:id="5" w:name="_Hlk127611032"/>
            <w:r w:rsidRPr="003F2DB9">
              <w:rPr>
                <w:rFonts w:ascii="Times New Roman" w:hAnsi="Times New Roman" w:cs="Times New Roman"/>
                <w:sz w:val="20"/>
                <w:szCs w:val="20"/>
              </w:rPr>
              <w:t>Rental premium per square area over non-certified similar buildings and highlights of other findings</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F3224C5" w14:textId="77777777" w:rsidR="001A1A6B" w:rsidRPr="003F2DB9" w:rsidRDefault="001A1A6B" w:rsidP="001A1A6B">
            <w:pPr>
              <w:rPr>
                <w:rFonts w:ascii="Times New Roman" w:hAnsi="Times New Roman" w:cs="Times New Roman"/>
                <w:sz w:val="20"/>
                <w:szCs w:val="20"/>
              </w:rPr>
            </w:pPr>
            <w:r w:rsidRPr="003F2DB9">
              <w:rPr>
                <w:rFonts w:ascii="Times New Roman" w:hAnsi="Times New Roman" w:cs="Times New Roman"/>
                <w:sz w:val="20"/>
                <w:szCs w:val="20"/>
              </w:rPr>
              <w:t>Reference</w:t>
            </w:r>
          </w:p>
        </w:tc>
      </w:tr>
      <w:bookmarkEnd w:id="3"/>
      <w:bookmarkEnd w:id="4"/>
      <w:tr w:rsidR="008F4347" w:rsidRPr="003F2DB9" w14:paraId="229F70AA" w14:textId="77777777" w:rsidTr="00C76C0A">
        <w:trPr>
          <w:cantSplit/>
          <w:trHeight w:val="851"/>
        </w:trPr>
        <w:tc>
          <w:tcPr>
            <w:tcW w:w="7792" w:type="dxa"/>
            <w:tcBorders>
              <w:top w:val="single" w:sz="4" w:space="0" w:color="auto"/>
              <w:left w:val="single" w:sz="4" w:space="0" w:color="auto"/>
              <w:bottom w:val="single" w:sz="4" w:space="0" w:color="auto"/>
              <w:right w:val="single" w:sz="4" w:space="0" w:color="auto"/>
            </w:tcBorders>
            <w:vAlign w:val="center"/>
          </w:tcPr>
          <w:p w14:paraId="452CE9ED" w14:textId="77777777" w:rsidR="00AA7357" w:rsidRPr="003F2DB9" w:rsidRDefault="00AA7357" w:rsidP="00AA7357">
            <w:pPr>
              <w:jc w:val="both"/>
              <w:rPr>
                <w:rFonts w:ascii="Times New Roman" w:hAnsi="Times New Roman" w:cs="Times New Roman"/>
                <w:sz w:val="20"/>
                <w:szCs w:val="20"/>
              </w:rPr>
            </w:pPr>
            <w:r w:rsidRPr="003F2DB9">
              <w:rPr>
                <w:rFonts w:ascii="Times New Roman" w:hAnsi="Times New Roman" w:cs="Times New Roman"/>
                <w:sz w:val="20"/>
                <w:szCs w:val="20"/>
              </w:rPr>
              <w:t>Landscaping with good aesthetic and good building shades enhances rental rate each by 7%.</w:t>
            </w:r>
          </w:p>
          <w:p w14:paraId="20937389" w14:textId="67170D46" w:rsidR="00AA7357" w:rsidRPr="003F2DB9" w:rsidRDefault="00AA7357" w:rsidP="00AA7357">
            <w:pPr>
              <w:rPr>
                <w:rFonts w:ascii="Times New Roman" w:hAnsi="Times New Roman" w:cs="Times New Roman"/>
                <w:sz w:val="20"/>
                <w:szCs w:val="20"/>
              </w:rPr>
            </w:pPr>
            <w:proofErr w:type="gramStart"/>
            <w:r w:rsidRPr="003F2DB9">
              <w:rPr>
                <w:rFonts w:ascii="Times New Roman" w:hAnsi="Times New Roman" w:cs="Times New Roman"/>
                <w:sz w:val="20"/>
                <w:szCs w:val="20"/>
              </w:rPr>
              <w:t>But,</w:t>
            </w:r>
            <w:proofErr w:type="gramEnd"/>
            <w:r w:rsidRPr="003F2DB9">
              <w:rPr>
                <w:rFonts w:ascii="Times New Roman" w:hAnsi="Times New Roman" w:cs="Times New Roman"/>
                <w:sz w:val="20"/>
                <w:szCs w:val="20"/>
              </w:rPr>
              <w:t xml:space="preserve"> a good visual screen by landscape will reduce rental by 7.5 % </w:t>
            </w:r>
          </w:p>
        </w:tc>
        <w:tc>
          <w:tcPr>
            <w:tcW w:w="1559" w:type="dxa"/>
            <w:tcBorders>
              <w:top w:val="single" w:sz="4" w:space="0" w:color="auto"/>
              <w:left w:val="single" w:sz="4" w:space="0" w:color="auto"/>
              <w:bottom w:val="single" w:sz="4" w:space="0" w:color="auto"/>
              <w:right w:val="single" w:sz="4" w:space="0" w:color="auto"/>
            </w:tcBorders>
            <w:vAlign w:val="center"/>
          </w:tcPr>
          <w:p w14:paraId="53C40923" w14:textId="17211E02" w:rsidR="00AA7357" w:rsidRPr="003F2DB9" w:rsidRDefault="00600FAF" w:rsidP="00A87311">
            <w:pPr>
              <w:jc w:val="center"/>
              <w:rPr>
                <w:rFonts w:ascii="Times New Roman" w:hAnsi="Times New Roman" w:cs="Times New Roman"/>
                <w:sz w:val="20"/>
                <w:szCs w:val="20"/>
              </w:rPr>
            </w:pPr>
            <w:r w:rsidRPr="003F2DB9">
              <w:rPr>
                <w:rFonts w:ascii="Times New Roman" w:hAnsi="Times New Roman" w:cs="Times New Roman"/>
                <w:sz w:val="20"/>
                <w:szCs w:val="20"/>
              </w:rPr>
              <w:t>[7</w:t>
            </w:r>
            <w:r w:rsidR="004F381D" w:rsidRPr="003F2DB9">
              <w:rPr>
                <w:rFonts w:ascii="Times New Roman" w:hAnsi="Times New Roman" w:cs="Times New Roman"/>
                <w:sz w:val="20"/>
                <w:szCs w:val="20"/>
              </w:rPr>
              <w:t>2</w:t>
            </w:r>
            <w:r w:rsidRPr="003F2DB9">
              <w:rPr>
                <w:rFonts w:ascii="Times New Roman" w:hAnsi="Times New Roman" w:cs="Times New Roman"/>
                <w:sz w:val="20"/>
                <w:szCs w:val="20"/>
              </w:rPr>
              <w:t>]</w:t>
            </w:r>
          </w:p>
        </w:tc>
      </w:tr>
      <w:tr w:rsidR="008F4347" w:rsidRPr="003F2DB9" w14:paraId="179890C5" w14:textId="77777777" w:rsidTr="00C76C0A">
        <w:trPr>
          <w:trHeight w:val="851"/>
        </w:trPr>
        <w:tc>
          <w:tcPr>
            <w:tcW w:w="7792" w:type="dxa"/>
            <w:tcBorders>
              <w:top w:val="single" w:sz="4" w:space="0" w:color="auto"/>
              <w:left w:val="single" w:sz="4" w:space="0" w:color="auto"/>
              <w:bottom w:val="single" w:sz="4" w:space="0" w:color="auto"/>
              <w:right w:val="single" w:sz="4" w:space="0" w:color="auto"/>
            </w:tcBorders>
            <w:noWrap/>
            <w:vAlign w:val="center"/>
          </w:tcPr>
          <w:p w14:paraId="0F8E7868" w14:textId="1716203A" w:rsidR="00AA7357" w:rsidRPr="003F2DB9" w:rsidRDefault="00AA7357" w:rsidP="00AA7357">
            <w:pPr>
              <w:jc w:val="both"/>
              <w:rPr>
                <w:rFonts w:ascii="Times New Roman" w:hAnsi="Times New Roman" w:cs="Times New Roman"/>
                <w:sz w:val="20"/>
                <w:szCs w:val="20"/>
              </w:rPr>
            </w:pPr>
            <w:r w:rsidRPr="003F2DB9">
              <w:rPr>
                <w:rFonts w:ascii="Times New Roman" w:hAnsi="Times New Roman" w:cs="Times New Roman"/>
                <w:sz w:val="20"/>
                <w:szCs w:val="20"/>
              </w:rPr>
              <w:t>LEED-certified buildings earn a premium of 10%, and Energy Star buildings earn a premium of 5.76%.</w:t>
            </w:r>
          </w:p>
        </w:tc>
        <w:tc>
          <w:tcPr>
            <w:tcW w:w="1559" w:type="dxa"/>
            <w:tcBorders>
              <w:top w:val="single" w:sz="4" w:space="0" w:color="auto"/>
              <w:left w:val="single" w:sz="4" w:space="0" w:color="auto"/>
              <w:bottom w:val="single" w:sz="4" w:space="0" w:color="auto"/>
              <w:right w:val="single" w:sz="4" w:space="0" w:color="auto"/>
            </w:tcBorders>
            <w:vAlign w:val="center"/>
          </w:tcPr>
          <w:p w14:paraId="67ADF4E3" w14:textId="6C890392" w:rsidR="00AA7357" w:rsidRPr="003F2DB9" w:rsidRDefault="00600FAF" w:rsidP="00A87311">
            <w:pPr>
              <w:jc w:val="center"/>
              <w:rPr>
                <w:rFonts w:ascii="Times New Roman" w:hAnsi="Times New Roman" w:cs="Times New Roman"/>
                <w:sz w:val="20"/>
                <w:szCs w:val="20"/>
              </w:rPr>
            </w:pPr>
            <w:r w:rsidRPr="003F2DB9">
              <w:rPr>
                <w:rFonts w:ascii="Times New Roman" w:hAnsi="Times New Roman" w:cs="Times New Roman"/>
                <w:sz w:val="20"/>
                <w:szCs w:val="20"/>
              </w:rPr>
              <w:t>[7</w:t>
            </w:r>
            <w:r w:rsidR="002B42DD" w:rsidRPr="003F2DB9">
              <w:rPr>
                <w:rFonts w:ascii="Times New Roman" w:hAnsi="Times New Roman" w:cs="Times New Roman"/>
                <w:sz w:val="20"/>
                <w:szCs w:val="20"/>
              </w:rPr>
              <w:t>3</w:t>
            </w:r>
            <w:r w:rsidRPr="003F2DB9">
              <w:rPr>
                <w:rFonts w:ascii="Times New Roman" w:hAnsi="Times New Roman" w:cs="Times New Roman"/>
                <w:sz w:val="20"/>
                <w:szCs w:val="20"/>
              </w:rPr>
              <w:t>]</w:t>
            </w:r>
          </w:p>
        </w:tc>
      </w:tr>
      <w:tr w:rsidR="008F4347" w:rsidRPr="003F2DB9" w14:paraId="11B3BD96" w14:textId="77777777" w:rsidTr="00C76C0A">
        <w:trPr>
          <w:trHeight w:val="851"/>
        </w:trPr>
        <w:tc>
          <w:tcPr>
            <w:tcW w:w="7792" w:type="dxa"/>
            <w:tcBorders>
              <w:top w:val="single" w:sz="4" w:space="0" w:color="auto"/>
              <w:left w:val="single" w:sz="4" w:space="0" w:color="auto"/>
              <w:bottom w:val="single" w:sz="4" w:space="0" w:color="auto"/>
              <w:right w:val="single" w:sz="4" w:space="0" w:color="auto"/>
            </w:tcBorders>
            <w:noWrap/>
            <w:vAlign w:val="center"/>
          </w:tcPr>
          <w:p w14:paraId="40E29B52" w14:textId="4D6A26B9" w:rsidR="00AA7357" w:rsidRPr="003F2DB9" w:rsidRDefault="00AA7357" w:rsidP="00AA7357">
            <w:pPr>
              <w:jc w:val="both"/>
              <w:rPr>
                <w:rFonts w:ascii="Times New Roman" w:hAnsi="Times New Roman" w:cs="Times New Roman"/>
                <w:sz w:val="20"/>
                <w:szCs w:val="20"/>
              </w:rPr>
            </w:pPr>
            <w:r w:rsidRPr="003F2DB9">
              <w:rPr>
                <w:rFonts w:ascii="Times New Roman" w:hAnsi="Times New Roman" w:cs="Times New Roman"/>
                <w:sz w:val="20"/>
                <w:szCs w:val="20"/>
              </w:rPr>
              <w:t xml:space="preserve">Green buildings earn a premium of 15.2% to 17.3%, Energy Star buildings earn a premium of 7.3% to 8.9%, </w:t>
            </w:r>
          </w:p>
        </w:tc>
        <w:tc>
          <w:tcPr>
            <w:tcW w:w="1559" w:type="dxa"/>
            <w:tcBorders>
              <w:top w:val="single" w:sz="4" w:space="0" w:color="auto"/>
              <w:left w:val="single" w:sz="4" w:space="0" w:color="auto"/>
              <w:bottom w:val="single" w:sz="4" w:space="0" w:color="auto"/>
              <w:right w:val="single" w:sz="4" w:space="0" w:color="auto"/>
            </w:tcBorders>
            <w:vAlign w:val="center"/>
          </w:tcPr>
          <w:p w14:paraId="506D71CE" w14:textId="5F5AF7DD" w:rsidR="00AA7357" w:rsidRPr="003F2DB9" w:rsidRDefault="00600FAF" w:rsidP="00A87311">
            <w:pPr>
              <w:jc w:val="center"/>
              <w:rPr>
                <w:rFonts w:ascii="Times New Roman" w:hAnsi="Times New Roman" w:cs="Times New Roman"/>
                <w:sz w:val="20"/>
                <w:szCs w:val="20"/>
              </w:rPr>
            </w:pPr>
            <w:r w:rsidRPr="003F2DB9">
              <w:rPr>
                <w:rFonts w:ascii="Times New Roman" w:hAnsi="Times New Roman" w:cs="Times New Roman"/>
                <w:sz w:val="20"/>
                <w:szCs w:val="20"/>
              </w:rPr>
              <w:t>[37]</w:t>
            </w:r>
          </w:p>
        </w:tc>
      </w:tr>
      <w:tr w:rsidR="008F4347" w:rsidRPr="003F2DB9" w14:paraId="3B5103EF" w14:textId="77777777" w:rsidTr="00C76C0A">
        <w:trPr>
          <w:trHeight w:val="851"/>
        </w:trPr>
        <w:tc>
          <w:tcPr>
            <w:tcW w:w="7792" w:type="dxa"/>
            <w:tcBorders>
              <w:top w:val="single" w:sz="4" w:space="0" w:color="auto"/>
              <w:left w:val="single" w:sz="4" w:space="0" w:color="auto"/>
              <w:bottom w:val="single" w:sz="4" w:space="0" w:color="auto"/>
              <w:right w:val="single" w:sz="4" w:space="0" w:color="auto"/>
            </w:tcBorders>
            <w:noWrap/>
            <w:vAlign w:val="center"/>
          </w:tcPr>
          <w:p w14:paraId="4DE24C57" w14:textId="497F687B" w:rsidR="00AA7357" w:rsidRPr="003F2DB9" w:rsidRDefault="00AA7357" w:rsidP="00AA7357">
            <w:pPr>
              <w:jc w:val="both"/>
              <w:rPr>
                <w:rFonts w:ascii="Times New Roman" w:hAnsi="Times New Roman" w:cs="Times New Roman"/>
                <w:sz w:val="20"/>
                <w:szCs w:val="20"/>
              </w:rPr>
            </w:pPr>
            <w:r w:rsidRPr="003F2DB9">
              <w:rPr>
                <w:rFonts w:ascii="Times New Roman" w:hAnsi="Times New Roman" w:cs="Times New Roman"/>
                <w:sz w:val="20"/>
                <w:szCs w:val="20"/>
              </w:rPr>
              <w:t>LEED-certified buildings earn a premium of 5.2% and Energy Star buildings earn a premium of 3.3%</w:t>
            </w:r>
          </w:p>
        </w:tc>
        <w:tc>
          <w:tcPr>
            <w:tcW w:w="1559" w:type="dxa"/>
            <w:tcBorders>
              <w:top w:val="single" w:sz="4" w:space="0" w:color="auto"/>
              <w:left w:val="single" w:sz="4" w:space="0" w:color="auto"/>
              <w:bottom w:val="single" w:sz="4" w:space="0" w:color="auto"/>
              <w:right w:val="single" w:sz="4" w:space="0" w:color="auto"/>
            </w:tcBorders>
            <w:vAlign w:val="center"/>
          </w:tcPr>
          <w:p w14:paraId="7D97958B" w14:textId="3FE3D4FE" w:rsidR="00AA7357" w:rsidRPr="003F2DB9" w:rsidRDefault="00600FAF" w:rsidP="00A87311">
            <w:pPr>
              <w:jc w:val="center"/>
              <w:rPr>
                <w:rFonts w:ascii="Times New Roman" w:hAnsi="Times New Roman" w:cs="Times New Roman"/>
                <w:sz w:val="20"/>
                <w:szCs w:val="20"/>
              </w:rPr>
            </w:pPr>
            <w:r w:rsidRPr="003F2DB9">
              <w:rPr>
                <w:rFonts w:ascii="Times New Roman" w:hAnsi="Times New Roman" w:cs="Times New Roman"/>
                <w:sz w:val="20"/>
                <w:szCs w:val="20"/>
              </w:rPr>
              <w:t>[33]</w:t>
            </w:r>
          </w:p>
        </w:tc>
      </w:tr>
      <w:tr w:rsidR="008F4347" w:rsidRPr="003F2DB9" w14:paraId="72D31F1B" w14:textId="77777777" w:rsidTr="00C76C0A">
        <w:trPr>
          <w:trHeight w:val="851"/>
        </w:trPr>
        <w:tc>
          <w:tcPr>
            <w:tcW w:w="7792" w:type="dxa"/>
            <w:tcBorders>
              <w:top w:val="single" w:sz="4" w:space="0" w:color="auto"/>
              <w:left w:val="single" w:sz="4" w:space="0" w:color="auto"/>
              <w:bottom w:val="single" w:sz="4" w:space="0" w:color="auto"/>
              <w:right w:val="single" w:sz="4" w:space="0" w:color="auto"/>
            </w:tcBorders>
            <w:vAlign w:val="center"/>
            <w:hideMark/>
          </w:tcPr>
          <w:p w14:paraId="6CD857F5" w14:textId="77777777" w:rsidR="00AA7357" w:rsidRPr="003F2DB9" w:rsidRDefault="00AA7357" w:rsidP="000E183E">
            <w:pPr>
              <w:jc w:val="both"/>
              <w:rPr>
                <w:rFonts w:ascii="Times New Roman" w:hAnsi="Times New Roman" w:cs="Times New Roman"/>
                <w:sz w:val="20"/>
                <w:szCs w:val="20"/>
              </w:rPr>
            </w:pPr>
            <w:r w:rsidRPr="003F2DB9">
              <w:rPr>
                <w:rFonts w:ascii="Times New Roman" w:hAnsi="Times New Roman" w:cs="Times New Roman"/>
                <w:sz w:val="20"/>
                <w:szCs w:val="20"/>
              </w:rPr>
              <w:t>Green office properties enjoy rental rate premiums over comparable non-green buildings</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42B347B7" w14:textId="226EE9D8" w:rsidR="00AA7357" w:rsidRPr="003F2DB9" w:rsidRDefault="00600FAF" w:rsidP="00A87311">
            <w:pPr>
              <w:jc w:val="center"/>
              <w:rPr>
                <w:rFonts w:ascii="Times New Roman" w:hAnsi="Times New Roman" w:cs="Times New Roman"/>
                <w:sz w:val="20"/>
                <w:szCs w:val="20"/>
              </w:rPr>
            </w:pPr>
            <w:r w:rsidRPr="003F2DB9">
              <w:rPr>
                <w:rFonts w:ascii="Times New Roman" w:hAnsi="Times New Roman" w:cs="Times New Roman"/>
                <w:sz w:val="20"/>
                <w:szCs w:val="20"/>
              </w:rPr>
              <w:t>[40]</w:t>
            </w:r>
          </w:p>
        </w:tc>
      </w:tr>
      <w:tr w:rsidR="008F4347" w:rsidRPr="003F2DB9" w14:paraId="4C92DE14" w14:textId="77777777" w:rsidTr="00C76C0A">
        <w:trPr>
          <w:trHeight w:val="851"/>
        </w:trPr>
        <w:tc>
          <w:tcPr>
            <w:tcW w:w="7792" w:type="dxa"/>
            <w:tcBorders>
              <w:top w:val="single" w:sz="4" w:space="0" w:color="auto"/>
              <w:left w:val="single" w:sz="4" w:space="0" w:color="auto"/>
              <w:bottom w:val="single" w:sz="4" w:space="0" w:color="auto"/>
              <w:right w:val="single" w:sz="4" w:space="0" w:color="auto"/>
            </w:tcBorders>
            <w:noWrap/>
            <w:vAlign w:val="center"/>
            <w:hideMark/>
          </w:tcPr>
          <w:p w14:paraId="026204F4" w14:textId="77777777" w:rsidR="00AA7357" w:rsidRPr="003F2DB9" w:rsidRDefault="00AA7357" w:rsidP="000E183E">
            <w:pPr>
              <w:jc w:val="both"/>
              <w:rPr>
                <w:rFonts w:ascii="Times New Roman" w:hAnsi="Times New Roman" w:cs="Times New Roman"/>
                <w:sz w:val="20"/>
                <w:szCs w:val="20"/>
              </w:rPr>
            </w:pPr>
            <w:r w:rsidRPr="003F2DB9">
              <w:rPr>
                <w:rFonts w:ascii="Times New Roman" w:hAnsi="Times New Roman" w:cs="Times New Roman"/>
                <w:sz w:val="20"/>
                <w:szCs w:val="20"/>
              </w:rPr>
              <w:t>LEED, Energy Star labelled buildings earn a premium of 3% to 5%, and dual-certified buildings earn a premium of 9%</w:t>
            </w:r>
          </w:p>
          <w:p w14:paraId="0564B7AC" w14:textId="77777777" w:rsidR="00AA7357" w:rsidRPr="003F2DB9" w:rsidRDefault="00AA7357" w:rsidP="000E183E">
            <w:pPr>
              <w:jc w:val="both"/>
              <w:rPr>
                <w:rFonts w:ascii="Times New Roman" w:hAnsi="Times New Roman" w:cs="Times New Roman"/>
                <w:sz w:val="20"/>
                <w:szCs w:val="20"/>
              </w:rPr>
            </w:pPr>
            <w:r w:rsidRPr="003F2DB9">
              <w:rPr>
                <w:rFonts w:ascii="Times New Roman" w:hAnsi="Times New Roman" w:cs="Times New Roman"/>
                <w:sz w:val="20"/>
                <w:szCs w:val="20"/>
              </w:rPr>
              <w:t>An occupancy premium not confirmed to LEED-certified buildings but to Energy Star.</w:t>
            </w:r>
          </w:p>
        </w:tc>
        <w:tc>
          <w:tcPr>
            <w:tcW w:w="1559" w:type="dxa"/>
            <w:tcBorders>
              <w:top w:val="single" w:sz="4" w:space="0" w:color="auto"/>
              <w:left w:val="single" w:sz="4" w:space="0" w:color="auto"/>
              <w:bottom w:val="single" w:sz="4" w:space="0" w:color="auto"/>
              <w:right w:val="single" w:sz="4" w:space="0" w:color="auto"/>
            </w:tcBorders>
            <w:vAlign w:val="center"/>
          </w:tcPr>
          <w:p w14:paraId="03E6E95A" w14:textId="140DC795" w:rsidR="00AA7357" w:rsidRPr="003F2DB9" w:rsidRDefault="00600FAF" w:rsidP="00A87311">
            <w:pPr>
              <w:jc w:val="center"/>
              <w:rPr>
                <w:rFonts w:ascii="Times New Roman" w:hAnsi="Times New Roman" w:cs="Times New Roman"/>
                <w:sz w:val="20"/>
                <w:szCs w:val="20"/>
              </w:rPr>
            </w:pPr>
            <w:r w:rsidRPr="003F2DB9">
              <w:rPr>
                <w:rFonts w:ascii="Times New Roman" w:hAnsi="Times New Roman" w:cs="Times New Roman"/>
                <w:sz w:val="20"/>
                <w:szCs w:val="20"/>
              </w:rPr>
              <w:t>[</w:t>
            </w:r>
            <w:r w:rsidR="00056DF5" w:rsidRPr="003F2DB9">
              <w:rPr>
                <w:rFonts w:ascii="Times New Roman" w:hAnsi="Times New Roman" w:cs="Times New Roman"/>
                <w:sz w:val="20"/>
                <w:szCs w:val="20"/>
              </w:rPr>
              <w:t>34]</w:t>
            </w:r>
          </w:p>
        </w:tc>
      </w:tr>
      <w:tr w:rsidR="008F4347" w:rsidRPr="003F2DB9" w14:paraId="04A54008" w14:textId="77777777" w:rsidTr="00C76C0A">
        <w:trPr>
          <w:trHeight w:val="851"/>
        </w:trPr>
        <w:tc>
          <w:tcPr>
            <w:tcW w:w="7792" w:type="dxa"/>
            <w:tcBorders>
              <w:top w:val="single" w:sz="4" w:space="0" w:color="auto"/>
              <w:left w:val="single" w:sz="4" w:space="0" w:color="auto"/>
              <w:bottom w:val="single" w:sz="4" w:space="0" w:color="auto"/>
              <w:right w:val="single" w:sz="4" w:space="0" w:color="auto"/>
            </w:tcBorders>
            <w:noWrap/>
            <w:vAlign w:val="center"/>
          </w:tcPr>
          <w:p w14:paraId="710ABF15" w14:textId="4EC9C328" w:rsidR="00CE3461" w:rsidRPr="003F2DB9" w:rsidRDefault="00CE3461" w:rsidP="00CE3461">
            <w:pPr>
              <w:jc w:val="both"/>
              <w:rPr>
                <w:rFonts w:ascii="Times New Roman" w:hAnsi="Times New Roman" w:cs="Times New Roman"/>
                <w:sz w:val="20"/>
                <w:szCs w:val="20"/>
              </w:rPr>
            </w:pPr>
            <w:r w:rsidRPr="003F2DB9">
              <w:rPr>
                <w:rFonts w:ascii="Times New Roman" w:hAnsi="Times New Roman" w:cs="Times New Roman"/>
                <w:sz w:val="20"/>
                <w:szCs w:val="20"/>
              </w:rPr>
              <w:t xml:space="preserve">Energy Star or LEED-certified buildings earn a 5% green rental premium and </w:t>
            </w:r>
            <w:proofErr w:type="gramStart"/>
            <w:r w:rsidRPr="003F2DB9">
              <w:rPr>
                <w:rFonts w:ascii="Times New Roman" w:hAnsi="Times New Roman" w:cs="Times New Roman"/>
                <w:sz w:val="20"/>
                <w:szCs w:val="20"/>
              </w:rPr>
              <w:t>a</w:t>
            </w:r>
            <w:proofErr w:type="gramEnd"/>
            <w:r w:rsidRPr="003F2DB9">
              <w:rPr>
                <w:rFonts w:ascii="Times New Roman" w:hAnsi="Times New Roman" w:cs="Times New Roman"/>
                <w:sz w:val="20"/>
                <w:szCs w:val="20"/>
              </w:rPr>
              <w:t xml:space="preserve"> 8.9% occupancy advantage</w:t>
            </w:r>
          </w:p>
        </w:tc>
        <w:tc>
          <w:tcPr>
            <w:tcW w:w="1559" w:type="dxa"/>
            <w:tcBorders>
              <w:top w:val="single" w:sz="4" w:space="0" w:color="auto"/>
              <w:left w:val="single" w:sz="4" w:space="0" w:color="auto"/>
              <w:bottom w:val="single" w:sz="4" w:space="0" w:color="auto"/>
              <w:right w:val="single" w:sz="4" w:space="0" w:color="auto"/>
            </w:tcBorders>
            <w:vAlign w:val="center"/>
          </w:tcPr>
          <w:p w14:paraId="4451793F" w14:textId="6FAE56DF" w:rsidR="00CE3461" w:rsidRPr="003F2DB9" w:rsidRDefault="00600FAF" w:rsidP="00A87311">
            <w:pPr>
              <w:jc w:val="center"/>
              <w:rPr>
                <w:rFonts w:ascii="Times New Roman" w:hAnsi="Times New Roman" w:cs="Times New Roman"/>
                <w:sz w:val="20"/>
                <w:szCs w:val="20"/>
              </w:rPr>
            </w:pPr>
            <w:r w:rsidRPr="003F2DB9">
              <w:rPr>
                <w:rFonts w:ascii="Times New Roman" w:hAnsi="Times New Roman" w:cs="Times New Roman"/>
                <w:sz w:val="20"/>
                <w:szCs w:val="20"/>
              </w:rPr>
              <w:t>[46]</w:t>
            </w:r>
          </w:p>
        </w:tc>
      </w:tr>
      <w:tr w:rsidR="008F4347" w:rsidRPr="003F2DB9" w14:paraId="3FBD46DD" w14:textId="77777777" w:rsidTr="00C76C0A">
        <w:trPr>
          <w:trHeight w:val="851"/>
        </w:trPr>
        <w:tc>
          <w:tcPr>
            <w:tcW w:w="7792" w:type="dxa"/>
            <w:tcBorders>
              <w:top w:val="single" w:sz="4" w:space="0" w:color="auto"/>
              <w:left w:val="single" w:sz="4" w:space="0" w:color="auto"/>
              <w:bottom w:val="single" w:sz="4" w:space="0" w:color="auto"/>
              <w:right w:val="single" w:sz="4" w:space="0" w:color="auto"/>
            </w:tcBorders>
            <w:noWrap/>
            <w:vAlign w:val="center"/>
          </w:tcPr>
          <w:p w14:paraId="496D946C" w14:textId="6349B141" w:rsidR="00CE3461" w:rsidRPr="003F2DB9" w:rsidRDefault="00CE3461" w:rsidP="00CE3461">
            <w:pPr>
              <w:jc w:val="both"/>
              <w:rPr>
                <w:rFonts w:ascii="Times New Roman" w:hAnsi="Times New Roman" w:cs="Times New Roman"/>
                <w:sz w:val="20"/>
                <w:szCs w:val="20"/>
              </w:rPr>
            </w:pPr>
            <w:r w:rsidRPr="003F2DB9">
              <w:rPr>
                <w:rFonts w:ascii="Times New Roman" w:hAnsi="Times New Roman" w:cs="Times New Roman"/>
                <w:sz w:val="20"/>
                <w:szCs w:val="20"/>
              </w:rPr>
              <w:t>Energy Star, LEED-certified buildings earn a premium of 2.5% and 2.9% respectively (Fixed effects model). The difference in differences (DID) model confirmed the rent premium for Energy Star but do not suggest for LEED</w:t>
            </w:r>
          </w:p>
        </w:tc>
        <w:tc>
          <w:tcPr>
            <w:tcW w:w="1559" w:type="dxa"/>
            <w:tcBorders>
              <w:top w:val="single" w:sz="4" w:space="0" w:color="auto"/>
              <w:left w:val="single" w:sz="4" w:space="0" w:color="auto"/>
              <w:bottom w:val="single" w:sz="4" w:space="0" w:color="auto"/>
              <w:right w:val="single" w:sz="4" w:space="0" w:color="auto"/>
            </w:tcBorders>
            <w:vAlign w:val="center"/>
          </w:tcPr>
          <w:p w14:paraId="0BE3DDB6" w14:textId="0E47AE9D" w:rsidR="00CE3461" w:rsidRPr="003F2DB9" w:rsidRDefault="00600FAF" w:rsidP="00A87311">
            <w:pPr>
              <w:jc w:val="center"/>
              <w:rPr>
                <w:rFonts w:ascii="Times New Roman" w:hAnsi="Times New Roman" w:cs="Times New Roman"/>
                <w:sz w:val="20"/>
                <w:szCs w:val="20"/>
              </w:rPr>
            </w:pPr>
            <w:r w:rsidRPr="003F2DB9">
              <w:rPr>
                <w:rFonts w:ascii="Times New Roman" w:hAnsi="Times New Roman" w:cs="Times New Roman"/>
                <w:sz w:val="20"/>
                <w:szCs w:val="20"/>
              </w:rPr>
              <w:t>[</w:t>
            </w:r>
            <w:r w:rsidR="00E74A1A" w:rsidRPr="003F2DB9">
              <w:rPr>
                <w:rFonts w:ascii="Times New Roman" w:hAnsi="Times New Roman" w:cs="Times New Roman"/>
                <w:sz w:val="20"/>
                <w:szCs w:val="20"/>
              </w:rPr>
              <w:t>35</w:t>
            </w:r>
            <w:r w:rsidRPr="003F2DB9">
              <w:rPr>
                <w:rFonts w:ascii="Times New Roman" w:hAnsi="Times New Roman" w:cs="Times New Roman"/>
                <w:sz w:val="20"/>
                <w:szCs w:val="20"/>
              </w:rPr>
              <w:t>]</w:t>
            </w:r>
          </w:p>
        </w:tc>
      </w:tr>
      <w:tr w:rsidR="008F4347" w:rsidRPr="003F2DB9" w14:paraId="475EF6E8" w14:textId="77777777" w:rsidTr="00C76C0A">
        <w:trPr>
          <w:trHeight w:val="851"/>
        </w:trPr>
        <w:tc>
          <w:tcPr>
            <w:tcW w:w="7792" w:type="dxa"/>
            <w:tcBorders>
              <w:top w:val="single" w:sz="4" w:space="0" w:color="auto"/>
              <w:left w:val="single" w:sz="4" w:space="0" w:color="auto"/>
              <w:bottom w:val="single" w:sz="4" w:space="0" w:color="auto"/>
              <w:right w:val="single" w:sz="4" w:space="0" w:color="auto"/>
            </w:tcBorders>
            <w:noWrap/>
            <w:vAlign w:val="center"/>
          </w:tcPr>
          <w:p w14:paraId="2FA5CD34" w14:textId="44994530" w:rsidR="00CE3461" w:rsidRPr="003F2DB9" w:rsidRDefault="00CE3461" w:rsidP="00CE3461">
            <w:pPr>
              <w:jc w:val="both"/>
              <w:rPr>
                <w:rFonts w:ascii="Times New Roman" w:hAnsi="Times New Roman" w:cs="Times New Roman"/>
                <w:sz w:val="20"/>
                <w:szCs w:val="20"/>
              </w:rPr>
            </w:pPr>
            <w:r w:rsidRPr="003F2DB9">
              <w:rPr>
                <w:rFonts w:ascii="Times New Roman" w:hAnsi="Times New Roman" w:cs="Times New Roman"/>
                <w:sz w:val="20"/>
                <w:szCs w:val="20"/>
              </w:rPr>
              <w:t>Results exhibit significant rental premium after retrofitting conventional buildings into green building</w:t>
            </w:r>
          </w:p>
        </w:tc>
        <w:tc>
          <w:tcPr>
            <w:tcW w:w="1559" w:type="dxa"/>
            <w:tcBorders>
              <w:top w:val="single" w:sz="4" w:space="0" w:color="auto"/>
              <w:left w:val="single" w:sz="4" w:space="0" w:color="auto"/>
              <w:bottom w:val="single" w:sz="4" w:space="0" w:color="auto"/>
              <w:right w:val="single" w:sz="4" w:space="0" w:color="auto"/>
            </w:tcBorders>
            <w:vAlign w:val="center"/>
          </w:tcPr>
          <w:p w14:paraId="06BE235A" w14:textId="6F026B6A" w:rsidR="00CE3461" w:rsidRPr="003F2DB9" w:rsidRDefault="008D6C27" w:rsidP="00A87311">
            <w:pPr>
              <w:jc w:val="center"/>
              <w:rPr>
                <w:rFonts w:ascii="Times New Roman" w:hAnsi="Times New Roman" w:cs="Times New Roman"/>
                <w:sz w:val="20"/>
                <w:szCs w:val="20"/>
              </w:rPr>
            </w:pPr>
            <w:r w:rsidRPr="003F2DB9">
              <w:rPr>
                <w:rFonts w:ascii="Times New Roman" w:hAnsi="Times New Roman" w:cs="Times New Roman"/>
                <w:sz w:val="20"/>
                <w:szCs w:val="20"/>
              </w:rPr>
              <w:t>[6</w:t>
            </w:r>
            <w:r w:rsidR="002B42DD" w:rsidRPr="003F2DB9">
              <w:rPr>
                <w:rFonts w:ascii="Times New Roman" w:hAnsi="Times New Roman" w:cs="Times New Roman"/>
                <w:sz w:val="20"/>
                <w:szCs w:val="20"/>
              </w:rPr>
              <w:t>4</w:t>
            </w:r>
            <w:r w:rsidRPr="003F2DB9">
              <w:rPr>
                <w:rFonts w:ascii="Times New Roman" w:hAnsi="Times New Roman" w:cs="Times New Roman"/>
                <w:sz w:val="20"/>
                <w:szCs w:val="20"/>
              </w:rPr>
              <w:t>]</w:t>
            </w:r>
          </w:p>
        </w:tc>
      </w:tr>
      <w:tr w:rsidR="008F4347" w:rsidRPr="003F2DB9" w14:paraId="5907F195" w14:textId="77777777" w:rsidTr="00C76C0A">
        <w:trPr>
          <w:trHeight w:val="851"/>
        </w:trPr>
        <w:tc>
          <w:tcPr>
            <w:tcW w:w="7792" w:type="dxa"/>
            <w:tcBorders>
              <w:top w:val="single" w:sz="4" w:space="0" w:color="auto"/>
              <w:left w:val="single" w:sz="4" w:space="0" w:color="auto"/>
              <w:bottom w:val="single" w:sz="4" w:space="0" w:color="auto"/>
              <w:right w:val="single" w:sz="4" w:space="0" w:color="auto"/>
            </w:tcBorders>
            <w:noWrap/>
            <w:vAlign w:val="center"/>
          </w:tcPr>
          <w:p w14:paraId="5A10C2BA" w14:textId="26ED3DF4" w:rsidR="00CE3461" w:rsidRPr="003F2DB9" w:rsidRDefault="00CE3461" w:rsidP="00CE3461">
            <w:pPr>
              <w:jc w:val="both"/>
              <w:rPr>
                <w:rFonts w:ascii="Times New Roman" w:hAnsi="Times New Roman" w:cs="Times New Roman"/>
                <w:sz w:val="20"/>
                <w:szCs w:val="20"/>
              </w:rPr>
            </w:pPr>
            <w:r w:rsidRPr="003F2DB9">
              <w:rPr>
                <w:rFonts w:ascii="Times New Roman" w:hAnsi="Times New Roman" w:cs="Times New Roman"/>
                <w:sz w:val="20"/>
                <w:szCs w:val="20"/>
              </w:rPr>
              <w:t>Green buildings earnt a 4.1% higher rent premium in 2007 and reduced to 1.2% by 2009. Effective rent was fallen 7.5% from 2007 to 2009</w:t>
            </w:r>
          </w:p>
        </w:tc>
        <w:tc>
          <w:tcPr>
            <w:tcW w:w="1559" w:type="dxa"/>
            <w:tcBorders>
              <w:top w:val="single" w:sz="4" w:space="0" w:color="auto"/>
              <w:left w:val="single" w:sz="4" w:space="0" w:color="auto"/>
              <w:bottom w:val="single" w:sz="4" w:space="0" w:color="auto"/>
              <w:right w:val="single" w:sz="4" w:space="0" w:color="auto"/>
            </w:tcBorders>
            <w:vAlign w:val="center"/>
          </w:tcPr>
          <w:p w14:paraId="500B3548" w14:textId="4ADFAC0E" w:rsidR="00CE3461" w:rsidRPr="003F2DB9" w:rsidRDefault="008D6C27" w:rsidP="00A87311">
            <w:pPr>
              <w:jc w:val="center"/>
              <w:rPr>
                <w:rFonts w:ascii="Times New Roman" w:hAnsi="Times New Roman" w:cs="Times New Roman"/>
                <w:sz w:val="20"/>
                <w:szCs w:val="20"/>
              </w:rPr>
            </w:pPr>
            <w:r w:rsidRPr="003F2DB9">
              <w:rPr>
                <w:rFonts w:ascii="Times New Roman" w:hAnsi="Times New Roman" w:cs="Times New Roman"/>
                <w:sz w:val="20"/>
                <w:szCs w:val="20"/>
              </w:rPr>
              <w:t>[36]</w:t>
            </w:r>
          </w:p>
        </w:tc>
      </w:tr>
      <w:tr w:rsidR="008F4347" w:rsidRPr="003F2DB9" w14:paraId="4A88EAC6" w14:textId="77777777" w:rsidTr="00C76C0A">
        <w:trPr>
          <w:trHeight w:val="851"/>
        </w:trPr>
        <w:tc>
          <w:tcPr>
            <w:tcW w:w="7792" w:type="dxa"/>
            <w:tcBorders>
              <w:top w:val="single" w:sz="4" w:space="0" w:color="auto"/>
              <w:left w:val="single" w:sz="4" w:space="0" w:color="auto"/>
              <w:bottom w:val="single" w:sz="4" w:space="0" w:color="auto"/>
              <w:right w:val="single" w:sz="4" w:space="0" w:color="auto"/>
            </w:tcBorders>
            <w:noWrap/>
            <w:vAlign w:val="center"/>
          </w:tcPr>
          <w:p w14:paraId="63F2A9A6" w14:textId="6D3F5642" w:rsidR="00CE3461" w:rsidRPr="003F2DB9" w:rsidRDefault="00CE3461" w:rsidP="00CE3461">
            <w:pPr>
              <w:jc w:val="both"/>
              <w:rPr>
                <w:rFonts w:ascii="Times New Roman" w:hAnsi="Times New Roman" w:cs="Times New Roman"/>
                <w:sz w:val="20"/>
                <w:szCs w:val="20"/>
              </w:rPr>
            </w:pPr>
            <w:r w:rsidRPr="003F2DB9">
              <w:rPr>
                <w:rFonts w:ascii="Times New Roman" w:hAnsi="Times New Roman" w:cs="Times New Roman"/>
                <w:sz w:val="20"/>
                <w:szCs w:val="20"/>
              </w:rPr>
              <w:t xml:space="preserve">The most important green building attribute as per tenants is public transportation (within 5 minutes) </w:t>
            </w:r>
          </w:p>
        </w:tc>
        <w:tc>
          <w:tcPr>
            <w:tcW w:w="1559" w:type="dxa"/>
            <w:tcBorders>
              <w:top w:val="single" w:sz="4" w:space="0" w:color="auto"/>
              <w:left w:val="single" w:sz="4" w:space="0" w:color="auto"/>
              <w:bottom w:val="single" w:sz="4" w:space="0" w:color="auto"/>
              <w:right w:val="single" w:sz="4" w:space="0" w:color="auto"/>
            </w:tcBorders>
            <w:vAlign w:val="center"/>
          </w:tcPr>
          <w:p w14:paraId="6F632B81" w14:textId="01D87A51" w:rsidR="00CE3461" w:rsidRPr="003F2DB9" w:rsidRDefault="008D6C27" w:rsidP="00A87311">
            <w:pPr>
              <w:jc w:val="center"/>
              <w:rPr>
                <w:rFonts w:ascii="Times New Roman" w:hAnsi="Times New Roman" w:cs="Times New Roman"/>
                <w:sz w:val="20"/>
                <w:szCs w:val="20"/>
              </w:rPr>
            </w:pPr>
            <w:r w:rsidRPr="003F2DB9">
              <w:rPr>
                <w:rFonts w:ascii="Times New Roman" w:hAnsi="Times New Roman" w:cs="Times New Roman"/>
                <w:sz w:val="20"/>
                <w:szCs w:val="20"/>
              </w:rPr>
              <w:t>[7</w:t>
            </w:r>
            <w:r w:rsidR="002B42DD" w:rsidRPr="003F2DB9">
              <w:rPr>
                <w:rFonts w:ascii="Times New Roman" w:hAnsi="Times New Roman" w:cs="Times New Roman"/>
                <w:sz w:val="20"/>
                <w:szCs w:val="20"/>
              </w:rPr>
              <w:t>4</w:t>
            </w:r>
            <w:r w:rsidRPr="003F2DB9">
              <w:rPr>
                <w:rFonts w:ascii="Times New Roman" w:hAnsi="Times New Roman" w:cs="Times New Roman"/>
                <w:sz w:val="20"/>
                <w:szCs w:val="20"/>
              </w:rPr>
              <w:t>]</w:t>
            </w:r>
          </w:p>
        </w:tc>
      </w:tr>
      <w:tr w:rsidR="008F4347" w:rsidRPr="003F2DB9" w14:paraId="7C72ECE9" w14:textId="77777777" w:rsidTr="00C76C0A">
        <w:trPr>
          <w:trHeight w:val="851"/>
        </w:trPr>
        <w:tc>
          <w:tcPr>
            <w:tcW w:w="7792" w:type="dxa"/>
            <w:tcBorders>
              <w:top w:val="single" w:sz="4" w:space="0" w:color="auto"/>
              <w:left w:val="single" w:sz="4" w:space="0" w:color="auto"/>
              <w:bottom w:val="single" w:sz="4" w:space="0" w:color="auto"/>
              <w:right w:val="single" w:sz="4" w:space="0" w:color="auto"/>
            </w:tcBorders>
            <w:noWrap/>
            <w:vAlign w:val="center"/>
          </w:tcPr>
          <w:p w14:paraId="2ACBD812" w14:textId="012E1BE4" w:rsidR="00CE3461" w:rsidRPr="003F2DB9" w:rsidRDefault="00CE3461" w:rsidP="00CE3461">
            <w:pPr>
              <w:jc w:val="both"/>
              <w:rPr>
                <w:rFonts w:ascii="Times New Roman" w:hAnsi="Times New Roman" w:cs="Times New Roman"/>
                <w:sz w:val="20"/>
                <w:szCs w:val="20"/>
              </w:rPr>
            </w:pPr>
            <w:r w:rsidRPr="003F2DB9">
              <w:rPr>
                <w:rFonts w:ascii="Times New Roman" w:hAnsi="Times New Roman" w:cs="Times New Roman"/>
                <w:sz w:val="20"/>
                <w:szCs w:val="20"/>
              </w:rPr>
              <w:t>Energy Star, LEED-certified buildings earn premiums of 16.4% and 10.6% respectively</w:t>
            </w:r>
          </w:p>
        </w:tc>
        <w:tc>
          <w:tcPr>
            <w:tcW w:w="1559" w:type="dxa"/>
            <w:tcBorders>
              <w:top w:val="single" w:sz="4" w:space="0" w:color="auto"/>
              <w:left w:val="single" w:sz="4" w:space="0" w:color="auto"/>
              <w:bottom w:val="single" w:sz="4" w:space="0" w:color="auto"/>
              <w:right w:val="single" w:sz="4" w:space="0" w:color="auto"/>
            </w:tcBorders>
            <w:vAlign w:val="center"/>
          </w:tcPr>
          <w:p w14:paraId="692CF2FE" w14:textId="68D9381C" w:rsidR="00CE3461" w:rsidRPr="003F2DB9" w:rsidRDefault="008D6C27" w:rsidP="00A87311">
            <w:pPr>
              <w:jc w:val="center"/>
              <w:rPr>
                <w:rFonts w:ascii="Times New Roman" w:hAnsi="Times New Roman" w:cs="Times New Roman"/>
                <w:sz w:val="20"/>
                <w:szCs w:val="20"/>
              </w:rPr>
            </w:pPr>
            <w:r w:rsidRPr="003F2DB9">
              <w:rPr>
                <w:rFonts w:ascii="Times New Roman" w:hAnsi="Times New Roman" w:cs="Times New Roman"/>
                <w:sz w:val="20"/>
                <w:szCs w:val="20"/>
              </w:rPr>
              <w:t>[41]</w:t>
            </w:r>
          </w:p>
        </w:tc>
      </w:tr>
      <w:tr w:rsidR="008F4347" w:rsidRPr="003F2DB9" w14:paraId="65000D63" w14:textId="77777777" w:rsidTr="00C76C0A">
        <w:trPr>
          <w:trHeight w:val="851"/>
        </w:trPr>
        <w:tc>
          <w:tcPr>
            <w:tcW w:w="7792" w:type="dxa"/>
            <w:tcBorders>
              <w:top w:val="single" w:sz="4" w:space="0" w:color="auto"/>
              <w:left w:val="single" w:sz="4" w:space="0" w:color="auto"/>
              <w:bottom w:val="single" w:sz="4" w:space="0" w:color="auto"/>
              <w:right w:val="single" w:sz="4" w:space="0" w:color="auto"/>
            </w:tcBorders>
            <w:noWrap/>
            <w:vAlign w:val="center"/>
          </w:tcPr>
          <w:p w14:paraId="4F84F28F" w14:textId="77777777" w:rsidR="00CE3461" w:rsidRPr="003F2DB9" w:rsidRDefault="00CE3461" w:rsidP="00CE3461">
            <w:pPr>
              <w:jc w:val="both"/>
              <w:rPr>
                <w:rFonts w:ascii="Times New Roman" w:hAnsi="Times New Roman" w:cs="Times New Roman"/>
                <w:sz w:val="20"/>
                <w:szCs w:val="20"/>
              </w:rPr>
            </w:pPr>
            <w:r w:rsidRPr="003F2DB9">
              <w:rPr>
                <w:rFonts w:ascii="Times New Roman" w:hAnsi="Times New Roman" w:cs="Times New Roman"/>
                <w:sz w:val="20"/>
                <w:szCs w:val="20"/>
              </w:rPr>
              <w:lastRenderedPageBreak/>
              <w:t xml:space="preserve">The mandatory requirement to obtain LEED certification for new buildings significantly positively affects market penetration. </w:t>
            </w:r>
          </w:p>
          <w:p w14:paraId="701E59D1" w14:textId="77777777" w:rsidR="00CE3461" w:rsidRPr="003F2DB9" w:rsidRDefault="00CE3461" w:rsidP="00CE3461">
            <w:pPr>
              <w:jc w:val="both"/>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vAlign w:val="center"/>
          </w:tcPr>
          <w:p w14:paraId="5768A7F4" w14:textId="704A7D56" w:rsidR="00CE3461" w:rsidRPr="003F2DB9" w:rsidRDefault="008D6C27" w:rsidP="00A87311">
            <w:pPr>
              <w:jc w:val="center"/>
              <w:rPr>
                <w:rFonts w:ascii="Times New Roman" w:hAnsi="Times New Roman" w:cs="Times New Roman"/>
                <w:sz w:val="20"/>
                <w:szCs w:val="20"/>
                <w:lang w:val="nb-NO"/>
              </w:rPr>
            </w:pPr>
            <w:r w:rsidRPr="003F2DB9">
              <w:rPr>
                <w:rFonts w:ascii="Times New Roman" w:hAnsi="Times New Roman" w:cs="Times New Roman"/>
                <w:sz w:val="20"/>
                <w:szCs w:val="20"/>
                <w:lang w:val="nb-NO"/>
              </w:rPr>
              <w:t>[7</w:t>
            </w:r>
            <w:r w:rsidR="002B42DD" w:rsidRPr="003F2DB9">
              <w:rPr>
                <w:rFonts w:ascii="Times New Roman" w:hAnsi="Times New Roman" w:cs="Times New Roman"/>
                <w:sz w:val="20"/>
                <w:szCs w:val="20"/>
                <w:lang w:val="nb-NO"/>
              </w:rPr>
              <w:t>5</w:t>
            </w:r>
            <w:r w:rsidRPr="003F2DB9">
              <w:rPr>
                <w:rFonts w:ascii="Times New Roman" w:hAnsi="Times New Roman" w:cs="Times New Roman"/>
                <w:sz w:val="20"/>
                <w:szCs w:val="20"/>
                <w:lang w:val="nb-NO"/>
              </w:rPr>
              <w:t>]</w:t>
            </w:r>
          </w:p>
        </w:tc>
      </w:tr>
      <w:tr w:rsidR="008F4347" w:rsidRPr="003F2DB9" w14:paraId="06141D25" w14:textId="77777777" w:rsidTr="00C76C0A">
        <w:trPr>
          <w:trHeight w:val="851"/>
        </w:trPr>
        <w:tc>
          <w:tcPr>
            <w:tcW w:w="7792" w:type="dxa"/>
            <w:tcBorders>
              <w:top w:val="single" w:sz="4" w:space="0" w:color="auto"/>
              <w:left w:val="single" w:sz="4" w:space="0" w:color="auto"/>
              <w:bottom w:val="single" w:sz="4" w:space="0" w:color="auto"/>
              <w:right w:val="single" w:sz="4" w:space="0" w:color="auto"/>
            </w:tcBorders>
            <w:noWrap/>
            <w:vAlign w:val="center"/>
          </w:tcPr>
          <w:p w14:paraId="798E4A84" w14:textId="6C6E9C54" w:rsidR="00CE3461" w:rsidRPr="003F2DB9" w:rsidRDefault="00CE3461" w:rsidP="00CE3461">
            <w:pPr>
              <w:jc w:val="both"/>
              <w:rPr>
                <w:rFonts w:ascii="Times New Roman" w:hAnsi="Times New Roman" w:cs="Times New Roman"/>
                <w:sz w:val="20"/>
                <w:szCs w:val="20"/>
              </w:rPr>
            </w:pPr>
            <w:r w:rsidRPr="003F2DB9">
              <w:rPr>
                <w:rFonts w:ascii="Times New Roman" w:hAnsi="Times New Roman" w:cs="Times New Roman"/>
                <w:sz w:val="20"/>
                <w:szCs w:val="20"/>
              </w:rPr>
              <w:t>Smaller buildings earn green premiums whereas larger buildings showed limited evidence for green premium</w:t>
            </w:r>
          </w:p>
        </w:tc>
        <w:tc>
          <w:tcPr>
            <w:tcW w:w="1559" w:type="dxa"/>
            <w:tcBorders>
              <w:top w:val="single" w:sz="4" w:space="0" w:color="auto"/>
              <w:left w:val="single" w:sz="4" w:space="0" w:color="auto"/>
              <w:bottom w:val="single" w:sz="4" w:space="0" w:color="auto"/>
              <w:right w:val="single" w:sz="4" w:space="0" w:color="auto"/>
            </w:tcBorders>
            <w:vAlign w:val="center"/>
          </w:tcPr>
          <w:p w14:paraId="62CDA3DC" w14:textId="74B7440D" w:rsidR="00CE3461" w:rsidRPr="003F2DB9" w:rsidRDefault="008D6C27" w:rsidP="00A87311">
            <w:pPr>
              <w:jc w:val="center"/>
              <w:rPr>
                <w:rFonts w:ascii="Times New Roman" w:hAnsi="Times New Roman" w:cs="Times New Roman"/>
                <w:sz w:val="20"/>
                <w:szCs w:val="20"/>
              </w:rPr>
            </w:pPr>
            <w:r w:rsidRPr="003F2DB9">
              <w:rPr>
                <w:rFonts w:ascii="Times New Roman" w:hAnsi="Times New Roman" w:cs="Times New Roman"/>
                <w:sz w:val="20"/>
                <w:szCs w:val="20"/>
              </w:rPr>
              <w:t>[45]</w:t>
            </w:r>
          </w:p>
        </w:tc>
      </w:tr>
      <w:tr w:rsidR="008F4347" w:rsidRPr="003F2DB9" w14:paraId="267A7937" w14:textId="77777777" w:rsidTr="00C76C0A">
        <w:trPr>
          <w:trHeight w:val="851"/>
        </w:trPr>
        <w:tc>
          <w:tcPr>
            <w:tcW w:w="7792" w:type="dxa"/>
            <w:tcBorders>
              <w:top w:val="single" w:sz="4" w:space="0" w:color="auto"/>
              <w:left w:val="single" w:sz="4" w:space="0" w:color="auto"/>
              <w:bottom w:val="single" w:sz="4" w:space="0" w:color="auto"/>
              <w:right w:val="single" w:sz="4" w:space="0" w:color="auto"/>
            </w:tcBorders>
            <w:noWrap/>
            <w:vAlign w:val="center"/>
            <w:hideMark/>
          </w:tcPr>
          <w:p w14:paraId="055BCE33" w14:textId="0703753C" w:rsidR="00CE3461" w:rsidRPr="003F2DB9" w:rsidRDefault="00CE3461" w:rsidP="00CE3461">
            <w:pPr>
              <w:jc w:val="both"/>
              <w:rPr>
                <w:rFonts w:ascii="Times New Roman" w:hAnsi="Times New Roman" w:cs="Times New Roman"/>
                <w:sz w:val="20"/>
                <w:szCs w:val="20"/>
              </w:rPr>
            </w:pPr>
            <w:r w:rsidRPr="003F2DB9">
              <w:rPr>
                <w:rFonts w:ascii="Times New Roman" w:hAnsi="Times New Roman" w:cs="Times New Roman"/>
                <w:sz w:val="20"/>
                <w:szCs w:val="20"/>
              </w:rPr>
              <w:t>LEED-certified buildings earn a premium of 10.2% in Canada and 3.7% in the USA whereas Energy Star earn a premium of 2.7% in the USA</w:t>
            </w:r>
          </w:p>
        </w:tc>
        <w:tc>
          <w:tcPr>
            <w:tcW w:w="1559" w:type="dxa"/>
            <w:tcBorders>
              <w:top w:val="single" w:sz="4" w:space="0" w:color="auto"/>
              <w:left w:val="single" w:sz="4" w:space="0" w:color="auto"/>
              <w:bottom w:val="single" w:sz="4" w:space="0" w:color="auto"/>
              <w:right w:val="single" w:sz="4" w:space="0" w:color="auto"/>
            </w:tcBorders>
            <w:vAlign w:val="center"/>
            <w:hideMark/>
          </w:tcPr>
          <w:p w14:paraId="2E023A11" w14:textId="35BA91A5" w:rsidR="00CE3461" w:rsidRPr="003F2DB9" w:rsidRDefault="008D6C27" w:rsidP="00A87311">
            <w:pPr>
              <w:jc w:val="center"/>
              <w:rPr>
                <w:rFonts w:ascii="Times New Roman" w:hAnsi="Times New Roman" w:cs="Times New Roman"/>
                <w:sz w:val="20"/>
                <w:szCs w:val="20"/>
              </w:rPr>
            </w:pPr>
            <w:r w:rsidRPr="003F2DB9">
              <w:rPr>
                <w:rFonts w:ascii="Times New Roman" w:hAnsi="Times New Roman" w:cs="Times New Roman"/>
                <w:sz w:val="20"/>
                <w:szCs w:val="20"/>
              </w:rPr>
              <w:t>[7</w:t>
            </w:r>
            <w:r w:rsidR="002B42DD" w:rsidRPr="003F2DB9">
              <w:rPr>
                <w:rFonts w:ascii="Times New Roman" w:hAnsi="Times New Roman" w:cs="Times New Roman"/>
                <w:sz w:val="20"/>
                <w:szCs w:val="20"/>
              </w:rPr>
              <w:t>6</w:t>
            </w:r>
            <w:r w:rsidRPr="003F2DB9">
              <w:rPr>
                <w:rFonts w:ascii="Times New Roman" w:hAnsi="Times New Roman" w:cs="Times New Roman"/>
                <w:sz w:val="20"/>
                <w:szCs w:val="20"/>
              </w:rPr>
              <w:t>]</w:t>
            </w:r>
          </w:p>
        </w:tc>
      </w:tr>
      <w:tr w:rsidR="008F4347" w:rsidRPr="003F2DB9" w14:paraId="20AEC6E7" w14:textId="77777777" w:rsidTr="00C76C0A">
        <w:trPr>
          <w:trHeight w:val="851"/>
        </w:trPr>
        <w:tc>
          <w:tcPr>
            <w:tcW w:w="7792" w:type="dxa"/>
            <w:tcBorders>
              <w:top w:val="single" w:sz="4" w:space="0" w:color="auto"/>
              <w:left w:val="single" w:sz="4" w:space="0" w:color="auto"/>
              <w:bottom w:val="single" w:sz="4" w:space="0" w:color="auto"/>
              <w:right w:val="single" w:sz="4" w:space="0" w:color="auto"/>
            </w:tcBorders>
            <w:noWrap/>
            <w:vAlign w:val="center"/>
            <w:hideMark/>
          </w:tcPr>
          <w:p w14:paraId="0121A079" w14:textId="77777777" w:rsidR="00CE3461" w:rsidRPr="003F2DB9" w:rsidRDefault="00CE3461" w:rsidP="0074783D">
            <w:pPr>
              <w:jc w:val="both"/>
              <w:rPr>
                <w:rFonts w:ascii="Times New Roman" w:hAnsi="Times New Roman" w:cs="Times New Roman"/>
                <w:sz w:val="20"/>
                <w:szCs w:val="20"/>
              </w:rPr>
            </w:pPr>
            <w:r w:rsidRPr="003F2DB9">
              <w:rPr>
                <w:rFonts w:ascii="Times New Roman" w:hAnsi="Times New Roman" w:cs="Times New Roman"/>
                <w:sz w:val="20"/>
                <w:szCs w:val="20"/>
              </w:rPr>
              <w:t xml:space="preserve">LEED-certified buildings earn a premium of 18.2%, whereas ENERGY STAR labelled buildings earn 3.9% </w:t>
            </w:r>
          </w:p>
        </w:tc>
        <w:tc>
          <w:tcPr>
            <w:tcW w:w="1559" w:type="dxa"/>
            <w:tcBorders>
              <w:top w:val="single" w:sz="4" w:space="0" w:color="auto"/>
              <w:left w:val="single" w:sz="4" w:space="0" w:color="auto"/>
              <w:bottom w:val="single" w:sz="4" w:space="0" w:color="auto"/>
              <w:right w:val="single" w:sz="4" w:space="0" w:color="auto"/>
            </w:tcBorders>
            <w:vAlign w:val="center"/>
          </w:tcPr>
          <w:p w14:paraId="0215FD9B" w14:textId="51724892" w:rsidR="00CE3461" w:rsidRPr="003F2DB9" w:rsidRDefault="008D6C27" w:rsidP="00A87311">
            <w:pPr>
              <w:jc w:val="center"/>
              <w:rPr>
                <w:rFonts w:ascii="Times New Roman" w:hAnsi="Times New Roman" w:cs="Times New Roman"/>
                <w:sz w:val="20"/>
                <w:szCs w:val="20"/>
              </w:rPr>
            </w:pPr>
            <w:r w:rsidRPr="003F2DB9">
              <w:rPr>
                <w:rFonts w:ascii="Times New Roman" w:hAnsi="Times New Roman" w:cs="Times New Roman"/>
                <w:sz w:val="20"/>
                <w:szCs w:val="20"/>
              </w:rPr>
              <w:t>[44]</w:t>
            </w:r>
          </w:p>
        </w:tc>
      </w:tr>
      <w:tr w:rsidR="008F4347" w:rsidRPr="003F2DB9" w14:paraId="1465B6ED" w14:textId="77777777" w:rsidTr="00C76C0A">
        <w:trPr>
          <w:trHeight w:val="851"/>
        </w:trPr>
        <w:tc>
          <w:tcPr>
            <w:tcW w:w="7792" w:type="dxa"/>
            <w:tcBorders>
              <w:top w:val="single" w:sz="4" w:space="0" w:color="auto"/>
              <w:left w:val="single" w:sz="4" w:space="0" w:color="auto"/>
              <w:bottom w:val="single" w:sz="4" w:space="0" w:color="auto"/>
              <w:right w:val="single" w:sz="4" w:space="0" w:color="auto"/>
            </w:tcBorders>
            <w:noWrap/>
            <w:vAlign w:val="center"/>
          </w:tcPr>
          <w:p w14:paraId="4389010E" w14:textId="789B55B3" w:rsidR="00CE3461" w:rsidRPr="003F2DB9" w:rsidRDefault="00CE3461" w:rsidP="00CE3461">
            <w:pPr>
              <w:jc w:val="both"/>
              <w:rPr>
                <w:rFonts w:ascii="Times New Roman" w:hAnsi="Times New Roman" w:cs="Times New Roman"/>
                <w:sz w:val="20"/>
                <w:szCs w:val="20"/>
              </w:rPr>
            </w:pPr>
            <w:r w:rsidRPr="003F2DB9">
              <w:rPr>
                <w:rFonts w:ascii="Times New Roman" w:hAnsi="Times New Roman" w:cs="Times New Roman"/>
                <w:sz w:val="20"/>
                <w:szCs w:val="20"/>
              </w:rPr>
              <w:t>Energy Star or LEED-certified buildings earn a premium of 2.2%, and Class A commands a 14.6% rental premium against grade C buildings</w:t>
            </w:r>
          </w:p>
        </w:tc>
        <w:tc>
          <w:tcPr>
            <w:tcW w:w="1559" w:type="dxa"/>
            <w:tcBorders>
              <w:top w:val="single" w:sz="4" w:space="0" w:color="auto"/>
              <w:left w:val="single" w:sz="4" w:space="0" w:color="auto"/>
              <w:bottom w:val="single" w:sz="4" w:space="0" w:color="auto"/>
              <w:right w:val="single" w:sz="4" w:space="0" w:color="auto"/>
            </w:tcBorders>
            <w:vAlign w:val="center"/>
          </w:tcPr>
          <w:p w14:paraId="79FA5A43" w14:textId="2856FCE1" w:rsidR="00CE3461" w:rsidRPr="003F2DB9" w:rsidRDefault="008D6C27" w:rsidP="00A87311">
            <w:pPr>
              <w:jc w:val="center"/>
              <w:rPr>
                <w:rFonts w:ascii="Times New Roman" w:hAnsi="Times New Roman" w:cs="Times New Roman"/>
                <w:sz w:val="20"/>
                <w:szCs w:val="20"/>
              </w:rPr>
            </w:pPr>
            <w:r w:rsidRPr="003F2DB9">
              <w:rPr>
                <w:rFonts w:ascii="Times New Roman" w:hAnsi="Times New Roman" w:cs="Times New Roman"/>
                <w:sz w:val="20"/>
                <w:szCs w:val="20"/>
              </w:rPr>
              <w:t>[</w:t>
            </w:r>
            <w:r w:rsidR="002B42DD" w:rsidRPr="003F2DB9">
              <w:rPr>
                <w:rFonts w:ascii="Times New Roman" w:hAnsi="Times New Roman" w:cs="Times New Roman"/>
                <w:sz w:val="20"/>
                <w:szCs w:val="20"/>
              </w:rPr>
              <w:t>3</w:t>
            </w:r>
            <w:r w:rsidRPr="003F2DB9">
              <w:rPr>
                <w:rFonts w:ascii="Times New Roman" w:hAnsi="Times New Roman" w:cs="Times New Roman"/>
                <w:sz w:val="20"/>
                <w:szCs w:val="20"/>
              </w:rPr>
              <w:t>8]</w:t>
            </w:r>
          </w:p>
        </w:tc>
      </w:tr>
      <w:tr w:rsidR="008F4347" w:rsidRPr="003F2DB9" w14:paraId="2AAC031C" w14:textId="77777777" w:rsidTr="00C76C0A">
        <w:trPr>
          <w:trHeight w:val="851"/>
        </w:trPr>
        <w:tc>
          <w:tcPr>
            <w:tcW w:w="7792" w:type="dxa"/>
            <w:tcBorders>
              <w:top w:val="single" w:sz="4" w:space="0" w:color="auto"/>
              <w:left w:val="single" w:sz="4" w:space="0" w:color="auto"/>
              <w:bottom w:val="single" w:sz="4" w:space="0" w:color="auto"/>
              <w:right w:val="single" w:sz="4" w:space="0" w:color="auto"/>
            </w:tcBorders>
            <w:noWrap/>
            <w:vAlign w:val="center"/>
          </w:tcPr>
          <w:p w14:paraId="1D275BDF" w14:textId="5B52E3E4" w:rsidR="00CE3461" w:rsidRPr="003F2DB9" w:rsidRDefault="00CE3461" w:rsidP="00CE3461">
            <w:pPr>
              <w:jc w:val="both"/>
              <w:rPr>
                <w:rFonts w:ascii="Times New Roman" w:hAnsi="Times New Roman" w:cs="Times New Roman"/>
                <w:sz w:val="20"/>
                <w:szCs w:val="20"/>
              </w:rPr>
            </w:pPr>
            <w:r w:rsidRPr="003F2DB9">
              <w:rPr>
                <w:rFonts w:ascii="Times New Roman" w:hAnsi="Times New Roman" w:cs="Times New Roman"/>
                <w:sz w:val="20"/>
                <w:szCs w:val="20"/>
              </w:rPr>
              <w:t xml:space="preserve">High daylight (55% to 75% sDA300/50%) earns 5%, Very high daylight (55% to 75% sDA300/50%) earns 6.1% premium </w:t>
            </w:r>
          </w:p>
        </w:tc>
        <w:tc>
          <w:tcPr>
            <w:tcW w:w="1559" w:type="dxa"/>
            <w:tcBorders>
              <w:top w:val="single" w:sz="4" w:space="0" w:color="auto"/>
              <w:left w:val="single" w:sz="4" w:space="0" w:color="auto"/>
              <w:bottom w:val="single" w:sz="4" w:space="0" w:color="auto"/>
              <w:right w:val="single" w:sz="4" w:space="0" w:color="auto"/>
            </w:tcBorders>
            <w:vAlign w:val="center"/>
          </w:tcPr>
          <w:p w14:paraId="09FC2F37" w14:textId="2C301689" w:rsidR="00CE3461" w:rsidRPr="003F2DB9" w:rsidRDefault="008D6C27" w:rsidP="00A87311">
            <w:pPr>
              <w:jc w:val="center"/>
              <w:rPr>
                <w:rFonts w:ascii="Times New Roman" w:hAnsi="Times New Roman" w:cs="Times New Roman"/>
                <w:sz w:val="20"/>
                <w:szCs w:val="20"/>
              </w:rPr>
            </w:pPr>
            <w:r w:rsidRPr="003F2DB9">
              <w:rPr>
                <w:rFonts w:ascii="Times New Roman" w:hAnsi="Times New Roman" w:cs="Times New Roman"/>
                <w:sz w:val="20"/>
                <w:szCs w:val="20"/>
              </w:rPr>
              <w:t>[43]</w:t>
            </w:r>
          </w:p>
        </w:tc>
      </w:tr>
      <w:tr w:rsidR="008F4347" w:rsidRPr="003F2DB9" w14:paraId="7C16163B" w14:textId="77777777" w:rsidTr="00C76C0A">
        <w:trPr>
          <w:trHeight w:val="851"/>
        </w:trPr>
        <w:tc>
          <w:tcPr>
            <w:tcW w:w="7792" w:type="dxa"/>
            <w:tcBorders>
              <w:top w:val="single" w:sz="4" w:space="0" w:color="auto"/>
              <w:left w:val="single" w:sz="4" w:space="0" w:color="auto"/>
              <w:bottom w:val="single" w:sz="4" w:space="0" w:color="auto"/>
              <w:right w:val="single" w:sz="4" w:space="0" w:color="auto"/>
            </w:tcBorders>
            <w:noWrap/>
            <w:vAlign w:val="center"/>
          </w:tcPr>
          <w:p w14:paraId="24001081" w14:textId="0B21F049" w:rsidR="00CE3461" w:rsidRPr="003F2DB9" w:rsidRDefault="00CE3461" w:rsidP="00CE3461">
            <w:pPr>
              <w:jc w:val="both"/>
              <w:rPr>
                <w:rFonts w:ascii="Times New Roman" w:hAnsi="Times New Roman" w:cs="Times New Roman"/>
                <w:sz w:val="20"/>
                <w:szCs w:val="20"/>
              </w:rPr>
            </w:pPr>
            <w:r w:rsidRPr="003F2DB9">
              <w:rPr>
                <w:rFonts w:ascii="Times New Roman" w:hAnsi="Times New Roman" w:cs="Times New Roman"/>
                <w:sz w:val="20"/>
                <w:szCs w:val="20"/>
              </w:rPr>
              <w:t>LEED-certified buildings with certification and platinum levels are statistically insignificant to Average Weighted Rent and LEED silver and gold levels are statistically significant to Average Weighted Rent</w:t>
            </w:r>
          </w:p>
        </w:tc>
        <w:tc>
          <w:tcPr>
            <w:tcW w:w="1559" w:type="dxa"/>
            <w:tcBorders>
              <w:top w:val="single" w:sz="4" w:space="0" w:color="auto"/>
              <w:left w:val="single" w:sz="4" w:space="0" w:color="auto"/>
              <w:bottom w:val="single" w:sz="4" w:space="0" w:color="auto"/>
              <w:right w:val="single" w:sz="4" w:space="0" w:color="auto"/>
            </w:tcBorders>
            <w:noWrap/>
            <w:vAlign w:val="center"/>
          </w:tcPr>
          <w:p w14:paraId="3185FBB5" w14:textId="4BDD5498" w:rsidR="00CE3461" w:rsidRPr="003F2DB9" w:rsidRDefault="008D6C27" w:rsidP="00A87311">
            <w:pPr>
              <w:jc w:val="center"/>
              <w:rPr>
                <w:rFonts w:ascii="Times New Roman" w:hAnsi="Times New Roman" w:cs="Times New Roman"/>
                <w:sz w:val="20"/>
                <w:szCs w:val="20"/>
              </w:rPr>
            </w:pPr>
            <w:r w:rsidRPr="003F2DB9">
              <w:rPr>
                <w:rFonts w:ascii="Times New Roman" w:hAnsi="Times New Roman" w:cs="Times New Roman"/>
                <w:sz w:val="20"/>
                <w:szCs w:val="20"/>
              </w:rPr>
              <w:t>[7</w:t>
            </w:r>
            <w:r w:rsidR="002B42DD" w:rsidRPr="003F2DB9">
              <w:rPr>
                <w:rFonts w:ascii="Times New Roman" w:hAnsi="Times New Roman" w:cs="Times New Roman"/>
                <w:sz w:val="20"/>
                <w:szCs w:val="20"/>
              </w:rPr>
              <w:t>7</w:t>
            </w:r>
            <w:r w:rsidRPr="003F2DB9">
              <w:rPr>
                <w:rFonts w:ascii="Times New Roman" w:hAnsi="Times New Roman" w:cs="Times New Roman"/>
                <w:sz w:val="20"/>
                <w:szCs w:val="20"/>
              </w:rPr>
              <w:t>]</w:t>
            </w:r>
          </w:p>
        </w:tc>
      </w:tr>
      <w:tr w:rsidR="008F4347" w:rsidRPr="003F2DB9" w14:paraId="5D82A8A5" w14:textId="77777777" w:rsidTr="00C76C0A">
        <w:trPr>
          <w:trHeight w:hRule="exact" w:val="851"/>
        </w:trPr>
        <w:tc>
          <w:tcPr>
            <w:tcW w:w="7792" w:type="dxa"/>
            <w:vMerge w:val="restart"/>
            <w:tcBorders>
              <w:top w:val="single" w:sz="4" w:space="0" w:color="auto"/>
              <w:left w:val="single" w:sz="4" w:space="0" w:color="auto"/>
              <w:bottom w:val="single" w:sz="4" w:space="0" w:color="auto"/>
              <w:right w:val="single" w:sz="4" w:space="0" w:color="auto"/>
            </w:tcBorders>
            <w:noWrap/>
            <w:vAlign w:val="center"/>
          </w:tcPr>
          <w:p w14:paraId="7866168E" w14:textId="77777777" w:rsidR="00CE3461" w:rsidRPr="003F2DB9" w:rsidRDefault="00CE3461" w:rsidP="00CE3461">
            <w:pPr>
              <w:jc w:val="both"/>
              <w:rPr>
                <w:rFonts w:ascii="Times New Roman" w:hAnsi="Times New Roman" w:cs="Times New Roman"/>
                <w:sz w:val="20"/>
                <w:szCs w:val="20"/>
              </w:rPr>
            </w:pPr>
            <w:r w:rsidRPr="003F2DB9">
              <w:rPr>
                <w:rFonts w:ascii="Times New Roman" w:hAnsi="Times New Roman" w:cs="Times New Roman"/>
                <w:sz w:val="20"/>
                <w:szCs w:val="20"/>
              </w:rPr>
              <w:t>Healthy buildings earn a premium of 4.4% to 7.7% more than non-certified buildings</w:t>
            </w:r>
          </w:p>
        </w:tc>
        <w:tc>
          <w:tcPr>
            <w:tcW w:w="1559" w:type="dxa"/>
            <w:vMerge w:val="restart"/>
            <w:tcBorders>
              <w:top w:val="single" w:sz="4" w:space="0" w:color="auto"/>
              <w:left w:val="single" w:sz="4" w:space="0" w:color="auto"/>
              <w:bottom w:val="single" w:sz="4" w:space="0" w:color="auto"/>
              <w:right w:val="single" w:sz="4" w:space="0" w:color="auto"/>
            </w:tcBorders>
            <w:vAlign w:val="center"/>
          </w:tcPr>
          <w:p w14:paraId="7F7C457C" w14:textId="0503285C" w:rsidR="00CE3461" w:rsidRPr="003F2DB9" w:rsidRDefault="00C357E5" w:rsidP="00A87311">
            <w:pPr>
              <w:jc w:val="center"/>
              <w:rPr>
                <w:rFonts w:ascii="Times New Roman" w:hAnsi="Times New Roman" w:cs="Times New Roman"/>
                <w:sz w:val="20"/>
                <w:szCs w:val="20"/>
              </w:rPr>
            </w:pPr>
            <w:r w:rsidRPr="003F2DB9">
              <w:rPr>
                <w:rFonts w:ascii="Times New Roman" w:hAnsi="Times New Roman" w:cs="Times New Roman"/>
                <w:sz w:val="20"/>
                <w:szCs w:val="20"/>
              </w:rPr>
              <w:t>[7</w:t>
            </w:r>
            <w:r w:rsidR="002B42DD" w:rsidRPr="003F2DB9">
              <w:rPr>
                <w:rFonts w:ascii="Times New Roman" w:hAnsi="Times New Roman" w:cs="Times New Roman"/>
                <w:sz w:val="20"/>
                <w:szCs w:val="20"/>
              </w:rPr>
              <w:t>8</w:t>
            </w:r>
            <w:r w:rsidRPr="003F2DB9">
              <w:rPr>
                <w:rFonts w:ascii="Times New Roman" w:hAnsi="Times New Roman" w:cs="Times New Roman"/>
                <w:sz w:val="20"/>
                <w:szCs w:val="20"/>
              </w:rPr>
              <w:t>]</w:t>
            </w:r>
          </w:p>
        </w:tc>
      </w:tr>
      <w:tr w:rsidR="008F4347" w:rsidRPr="003F2DB9" w14:paraId="1A2CEB62" w14:textId="77777777" w:rsidTr="00C76C0A">
        <w:trPr>
          <w:trHeight w:val="276"/>
        </w:trPr>
        <w:tc>
          <w:tcPr>
            <w:tcW w:w="7792" w:type="dxa"/>
            <w:vMerge/>
            <w:tcBorders>
              <w:top w:val="single" w:sz="4" w:space="0" w:color="auto"/>
              <w:left w:val="single" w:sz="4" w:space="0" w:color="auto"/>
              <w:bottom w:val="single" w:sz="4" w:space="0" w:color="auto"/>
              <w:right w:val="single" w:sz="4" w:space="0" w:color="auto"/>
            </w:tcBorders>
            <w:noWrap/>
            <w:vAlign w:val="center"/>
          </w:tcPr>
          <w:p w14:paraId="788CB2DB" w14:textId="77777777" w:rsidR="00CE3461" w:rsidRPr="003F2DB9" w:rsidRDefault="00CE3461" w:rsidP="00CE3461">
            <w:pPr>
              <w:rPr>
                <w:rFonts w:ascii="Times New Roman" w:hAnsi="Times New Roman" w:cs="Times New Roman"/>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48B6717F" w14:textId="77777777" w:rsidR="00CE3461" w:rsidRPr="003F2DB9" w:rsidRDefault="00CE3461" w:rsidP="00CE3461">
            <w:pPr>
              <w:rPr>
                <w:rFonts w:ascii="Times New Roman" w:hAnsi="Times New Roman" w:cs="Times New Roman"/>
                <w:sz w:val="20"/>
                <w:szCs w:val="20"/>
              </w:rPr>
            </w:pPr>
          </w:p>
        </w:tc>
      </w:tr>
      <w:bookmarkEnd w:id="5"/>
    </w:tbl>
    <w:p w14:paraId="75D8331A" w14:textId="2DCAC0A8" w:rsidR="00D53F65" w:rsidRPr="003F2DB9" w:rsidRDefault="00D53F65" w:rsidP="00D53F65">
      <w:pPr>
        <w:rPr>
          <w:rFonts w:ascii="Times New Roman" w:hAnsi="Times New Roman" w:cs="Times New Roman"/>
          <w:sz w:val="20"/>
          <w:szCs w:val="20"/>
        </w:rPr>
      </w:pPr>
    </w:p>
    <w:p w14:paraId="2CC3CC18" w14:textId="4C4845EC" w:rsidR="00067C75" w:rsidRPr="003F2DB9" w:rsidRDefault="00067C75" w:rsidP="00D53F65">
      <w:pPr>
        <w:rPr>
          <w:rFonts w:ascii="Times New Roman" w:hAnsi="Times New Roman" w:cs="Times New Roman"/>
          <w:sz w:val="20"/>
          <w:szCs w:val="20"/>
        </w:rPr>
      </w:pPr>
      <w:r w:rsidRPr="003F2DB9">
        <w:rPr>
          <w:rFonts w:ascii="Times New Roman" w:hAnsi="Times New Roman" w:cs="Times New Roman"/>
          <w:sz w:val="20"/>
          <w:szCs w:val="20"/>
        </w:rPr>
        <w:t>Table 6 presents the rental premiums identified in Europe for green-certified buildings in comparison to non-certified buildings.</w:t>
      </w:r>
    </w:p>
    <w:p w14:paraId="64477DE9" w14:textId="7AB8D744" w:rsidR="00D53F65" w:rsidRPr="003F2DB9" w:rsidRDefault="00D53F65" w:rsidP="006B718B">
      <w:pPr>
        <w:jc w:val="center"/>
        <w:rPr>
          <w:rFonts w:ascii="Times New Roman" w:hAnsi="Times New Roman" w:cs="Times New Roman"/>
          <w:sz w:val="16"/>
          <w:szCs w:val="16"/>
        </w:rPr>
      </w:pPr>
      <w:r w:rsidRPr="003F2DB9">
        <w:rPr>
          <w:rFonts w:ascii="Times New Roman" w:hAnsi="Times New Roman" w:cs="Times New Roman"/>
          <w:sz w:val="16"/>
          <w:szCs w:val="16"/>
          <w:highlight w:val="yellow"/>
        </w:rPr>
        <w:t xml:space="preserve">Table </w:t>
      </w:r>
      <w:r w:rsidR="00D95C9E" w:rsidRPr="003F2DB9">
        <w:rPr>
          <w:rFonts w:ascii="Times New Roman" w:hAnsi="Times New Roman" w:cs="Times New Roman"/>
          <w:sz w:val="16"/>
          <w:szCs w:val="16"/>
          <w:highlight w:val="yellow"/>
        </w:rPr>
        <w:t>6</w:t>
      </w:r>
      <w:r w:rsidR="006B718B" w:rsidRPr="003F2DB9">
        <w:rPr>
          <w:rFonts w:ascii="Times New Roman" w:hAnsi="Times New Roman" w:cs="Times New Roman"/>
          <w:sz w:val="16"/>
          <w:szCs w:val="16"/>
          <w:highlight w:val="yellow"/>
        </w:rPr>
        <w:t xml:space="preserve">. </w:t>
      </w:r>
      <w:r w:rsidRPr="003F2DB9">
        <w:rPr>
          <w:rFonts w:ascii="Times New Roman" w:hAnsi="Times New Roman" w:cs="Times New Roman"/>
          <w:sz w:val="16"/>
          <w:szCs w:val="16"/>
          <w:highlight w:val="yellow"/>
        </w:rPr>
        <w:t xml:space="preserve">Summary </w:t>
      </w:r>
      <w:r w:rsidR="00420107" w:rsidRPr="003F2DB9">
        <w:rPr>
          <w:rFonts w:ascii="Times New Roman" w:hAnsi="Times New Roman" w:cs="Times New Roman"/>
          <w:sz w:val="16"/>
          <w:szCs w:val="16"/>
          <w:highlight w:val="yellow"/>
        </w:rPr>
        <w:t>o</w:t>
      </w:r>
      <w:r w:rsidRPr="003F2DB9">
        <w:rPr>
          <w:rFonts w:ascii="Times New Roman" w:hAnsi="Times New Roman" w:cs="Times New Roman"/>
          <w:sz w:val="16"/>
          <w:szCs w:val="16"/>
          <w:highlight w:val="yellow"/>
        </w:rPr>
        <w:t xml:space="preserve">f </w:t>
      </w:r>
      <w:r w:rsidR="00420107" w:rsidRPr="003F2DB9">
        <w:rPr>
          <w:rFonts w:ascii="Times New Roman" w:hAnsi="Times New Roman" w:cs="Times New Roman"/>
          <w:sz w:val="16"/>
          <w:szCs w:val="16"/>
          <w:highlight w:val="yellow"/>
        </w:rPr>
        <w:t>F</w:t>
      </w:r>
      <w:r w:rsidRPr="003F2DB9">
        <w:rPr>
          <w:rFonts w:ascii="Times New Roman" w:hAnsi="Times New Roman" w:cs="Times New Roman"/>
          <w:sz w:val="16"/>
          <w:szCs w:val="16"/>
          <w:highlight w:val="yellow"/>
        </w:rPr>
        <w:t xml:space="preserve">indings </w:t>
      </w:r>
      <w:proofErr w:type="gramStart"/>
      <w:r w:rsidR="00420107" w:rsidRPr="003F2DB9">
        <w:rPr>
          <w:rFonts w:ascii="Times New Roman" w:hAnsi="Times New Roman" w:cs="Times New Roman"/>
          <w:sz w:val="16"/>
          <w:szCs w:val="16"/>
          <w:highlight w:val="yellow"/>
        </w:rPr>
        <w:t>I</w:t>
      </w:r>
      <w:r w:rsidRPr="003F2DB9">
        <w:rPr>
          <w:rFonts w:ascii="Times New Roman" w:hAnsi="Times New Roman" w:cs="Times New Roman"/>
          <w:sz w:val="16"/>
          <w:szCs w:val="16"/>
          <w:highlight w:val="yellow"/>
        </w:rPr>
        <w:t>n</w:t>
      </w:r>
      <w:proofErr w:type="gramEnd"/>
      <w:r w:rsidRPr="003F2DB9">
        <w:rPr>
          <w:rFonts w:ascii="Times New Roman" w:hAnsi="Times New Roman" w:cs="Times New Roman"/>
          <w:sz w:val="16"/>
          <w:szCs w:val="16"/>
          <w:highlight w:val="yellow"/>
        </w:rPr>
        <w:t xml:space="preserve"> </w:t>
      </w:r>
      <w:proofErr w:type="gramStart"/>
      <w:r w:rsidR="00420107" w:rsidRPr="003F2DB9">
        <w:rPr>
          <w:rFonts w:ascii="Times New Roman" w:hAnsi="Times New Roman" w:cs="Times New Roman"/>
          <w:sz w:val="16"/>
          <w:szCs w:val="16"/>
          <w:highlight w:val="yellow"/>
        </w:rPr>
        <w:t>The</w:t>
      </w:r>
      <w:proofErr w:type="gramEnd"/>
      <w:r w:rsidR="00420107" w:rsidRPr="003F2DB9">
        <w:rPr>
          <w:rFonts w:ascii="Times New Roman" w:hAnsi="Times New Roman" w:cs="Times New Roman"/>
          <w:sz w:val="16"/>
          <w:szCs w:val="16"/>
          <w:highlight w:val="yellow"/>
        </w:rPr>
        <w:t xml:space="preserve"> </w:t>
      </w:r>
      <w:r w:rsidRPr="003F2DB9">
        <w:rPr>
          <w:rFonts w:ascii="Times New Roman" w:hAnsi="Times New Roman" w:cs="Times New Roman"/>
          <w:sz w:val="16"/>
          <w:szCs w:val="16"/>
          <w:highlight w:val="yellow"/>
        </w:rPr>
        <w:t>Europe</w:t>
      </w:r>
    </w:p>
    <w:tbl>
      <w:tblPr>
        <w:tblStyle w:val="TableGrid1"/>
        <w:tblW w:w="9351" w:type="dxa"/>
        <w:tblLook w:val="04A0" w:firstRow="1" w:lastRow="0" w:firstColumn="1" w:lastColumn="0" w:noHBand="0" w:noVBand="1"/>
      </w:tblPr>
      <w:tblGrid>
        <w:gridCol w:w="7792"/>
        <w:gridCol w:w="1559"/>
      </w:tblGrid>
      <w:tr w:rsidR="008F4347" w:rsidRPr="003F2DB9" w14:paraId="476C4C78" w14:textId="77777777" w:rsidTr="00C76C0A">
        <w:trPr>
          <w:trHeight w:val="851"/>
          <w:tblHeader/>
        </w:trPr>
        <w:tc>
          <w:tcPr>
            <w:tcW w:w="7792" w:type="dxa"/>
            <w:vAlign w:val="center"/>
            <w:hideMark/>
          </w:tcPr>
          <w:p w14:paraId="3BD6CC1E" w14:textId="77777777" w:rsidR="00D53F65" w:rsidRPr="003F2DB9" w:rsidRDefault="00D53F65" w:rsidP="00D53F65">
            <w:pPr>
              <w:spacing w:after="160" w:line="259" w:lineRule="auto"/>
              <w:rPr>
                <w:rFonts w:ascii="Times New Roman" w:hAnsi="Times New Roman" w:cs="Times New Roman"/>
                <w:sz w:val="20"/>
                <w:szCs w:val="20"/>
              </w:rPr>
            </w:pPr>
            <w:r w:rsidRPr="003F2DB9">
              <w:rPr>
                <w:rFonts w:ascii="Times New Roman" w:hAnsi="Times New Roman" w:cs="Times New Roman"/>
                <w:sz w:val="20"/>
                <w:szCs w:val="20"/>
              </w:rPr>
              <w:t>Rental premium per square area over non-certified similar buildings and highlights of other findings</w:t>
            </w:r>
          </w:p>
        </w:tc>
        <w:tc>
          <w:tcPr>
            <w:tcW w:w="1559" w:type="dxa"/>
            <w:vAlign w:val="center"/>
            <w:hideMark/>
          </w:tcPr>
          <w:p w14:paraId="3A617257" w14:textId="77777777" w:rsidR="00D53F65" w:rsidRPr="003F2DB9" w:rsidRDefault="00D53F65" w:rsidP="00D53F65">
            <w:pPr>
              <w:spacing w:after="160" w:line="259" w:lineRule="auto"/>
              <w:rPr>
                <w:rFonts w:ascii="Times New Roman" w:hAnsi="Times New Roman" w:cs="Times New Roman"/>
                <w:sz w:val="20"/>
                <w:szCs w:val="20"/>
              </w:rPr>
            </w:pPr>
            <w:r w:rsidRPr="003F2DB9">
              <w:rPr>
                <w:rFonts w:ascii="Times New Roman" w:hAnsi="Times New Roman" w:cs="Times New Roman"/>
                <w:sz w:val="20"/>
                <w:szCs w:val="20"/>
              </w:rPr>
              <w:t>Reference</w:t>
            </w:r>
          </w:p>
        </w:tc>
      </w:tr>
      <w:tr w:rsidR="008F4347" w:rsidRPr="003F2DB9" w14:paraId="35CA52DE" w14:textId="77777777" w:rsidTr="00C76C0A">
        <w:trPr>
          <w:trHeight w:val="851"/>
        </w:trPr>
        <w:tc>
          <w:tcPr>
            <w:tcW w:w="7792" w:type="dxa"/>
            <w:noWrap/>
            <w:vAlign w:val="center"/>
          </w:tcPr>
          <w:p w14:paraId="6FE15416" w14:textId="6A21F42E" w:rsidR="000673C1" w:rsidRPr="003F2DB9" w:rsidRDefault="000673C1" w:rsidP="000673C1">
            <w:pPr>
              <w:spacing w:after="160" w:line="259" w:lineRule="auto"/>
              <w:jc w:val="both"/>
              <w:rPr>
                <w:rFonts w:ascii="Times New Roman" w:hAnsi="Times New Roman" w:cs="Times New Roman"/>
                <w:sz w:val="20"/>
                <w:szCs w:val="20"/>
              </w:rPr>
            </w:pPr>
            <w:r w:rsidRPr="003F2DB9">
              <w:rPr>
                <w:rFonts w:ascii="Times New Roman" w:hAnsi="Times New Roman" w:cs="Times New Roman"/>
                <w:sz w:val="20"/>
                <w:szCs w:val="20"/>
              </w:rPr>
              <w:t xml:space="preserve">Clustering of green buildings leads to lower the achieved rental rate by 1.4% for every additional green building increase </w:t>
            </w:r>
          </w:p>
        </w:tc>
        <w:tc>
          <w:tcPr>
            <w:tcW w:w="1559" w:type="dxa"/>
            <w:vAlign w:val="center"/>
          </w:tcPr>
          <w:p w14:paraId="3263B2AD" w14:textId="7AE5A620" w:rsidR="000673C1" w:rsidRPr="003F2DB9" w:rsidRDefault="00C357E5" w:rsidP="00A87311">
            <w:pPr>
              <w:spacing w:after="160" w:line="259" w:lineRule="auto"/>
              <w:jc w:val="center"/>
              <w:rPr>
                <w:rFonts w:ascii="Times New Roman" w:hAnsi="Times New Roman" w:cs="Times New Roman"/>
                <w:sz w:val="20"/>
                <w:szCs w:val="20"/>
              </w:rPr>
            </w:pPr>
            <w:r w:rsidRPr="003F2DB9">
              <w:rPr>
                <w:rFonts w:ascii="Times New Roman" w:hAnsi="Times New Roman" w:cs="Times New Roman"/>
                <w:sz w:val="20"/>
                <w:szCs w:val="20"/>
              </w:rPr>
              <w:t>[</w:t>
            </w:r>
            <w:r w:rsidR="00394E1D" w:rsidRPr="003F2DB9">
              <w:rPr>
                <w:rFonts w:ascii="Times New Roman" w:hAnsi="Times New Roman" w:cs="Times New Roman"/>
                <w:sz w:val="20"/>
                <w:szCs w:val="20"/>
              </w:rPr>
              <w:t>48</w:t>
            </w:r>
            <w:r w:rsidRPr="003F2DB9">
              <w:rPr>
                <w:rFonts w:ascii="Times New Roman" w:hAnsi="Times New Roman" w:cs="Times New Roman"/>
                <w:sz w:val="20"/>
                <w:szCs w:val="20"/>
              </w:rPr>
              <w:t>]</w:t>
            </w:r>
          </w:p>
        </w:tc>
      </w:tr>
      <w:tr w:rsidR="008F4347" w:rsidRPr="003F2DB9" w14:paraId="6E925204" w14:textId="77777777" w:rsidTr="00C76C0A">
        <w:trPr>
          <w:trHeight w:val="851"/>
        </w:trPr>
        <w:tc>
          <w:tcPr>
            <w:tcW w:w="7792" w:type="dxa"/>
            <w:noWrap/>
            <w:vAlign w:val="center"/>
          </w:tcPr>
          <w:p w14:paraId="5E9660D0" w14:textId="6A22EF1B" w:rsidR="000B2B17" w:rsidRPr="003F2DB9" w:rsidRDefault="000B2B17" w:rsidP="000B2B17">
            <w:pPr>
              <w:spacing w:after="160" w:line="259" w:lineRule="auto"/>
              <w:jc w:val="both"/>
              <w:rPr>
                <w:rFonts w:ascii="Times New Roman" w:hAnsi="Times New Roman" w:cs="Times New Roman"/>
                <w:sz w:val="20"/>
                <w:szCs w:val="20"/>
              </w:rPr>
            </w:pPr>
            <w:r w:rsidRPr="003F2DB9">
              <w:rPr>
                <w:rFonts w:ascii="Times New Roman" w:hAnsi="Times New Roman" w:cs="Times New Roman"/>
                <w:sz w:val="20"/>
                <w:szCs w:val="20"/>
              </w:rPr>
              <w:t>Designated efficient buildings earn a rental premium of 6.5%- and one-point increase in the energy index results in a 5% reduction in the rental rate.</w:t>
            </w:r>
          </w:p>
        </w:tc>
        <w:tc>
          <w:tcPr>
            <w:tcW w:w="1559" w:type="dxa"/>
            <w:vAlign w:val="center"/>
          </w:tcPr>
          <w:p w14:paraId="4A0CF7FC" w14:textId="57231076" w:rsidR="000B2B17" w:rsidRPr="003F2DB9" w:rsidRDefault="00C357E5" w:rsidP="00A87311">
            <w:pPr>
              <w:spacing w:after="160" w:line="259" w:lineRule="auto"/>
              <w:jc w:val="center"/>
              <w:rPr>
                <w:rFonts w:ascii="Times New Roman" w:hAnsi="Times New Roman" w:cs="Times New Roman"/>
                <w:sz w:val="20"/>
                <w:szCs w:val="20"/>
              </w:rPr>
            </w:pPr>
            <w:r w:rsidRPr="003F2DB9">
              <w:rPr>
                <w:rFonts w:ascii="Times New Roman" w:hAnsi="Times New Roman" w:cs="Times New Roman"/>
                <w:sz w:val="20"/>
                <w:szCs w:val="20"/>
              </w:rPr>
              <w:t>[49]</w:t>
            </w:r>
          </w:p>
        </w:tc>
      </w:tr>
      <w:tr w:rsidR="008F4347" w:rsidRPr="003F2DB9" w14:paraId="5BD91337" w14:textId="77777777" w:rsidTr="00C76C0A">
        <w:trPr>
          <w:trHeight w:val="851"/>
        </w:trPr>
        <w:tc>
          <w:tcPr>
            <w:tcW w:w="7792" w:type="dxa"/>
            <w:noWrap/>
            <w:vAlign w:val="center"/>
          </w:tcPr>
          <w:p w14:paraId="3B25ADBB" w14:textId="594FAE1E" w:rsidR="000B2B17" w:rsidRPr="003F2DB9" w:rsidRDefault="000B2B17" w:rsidP="000B2B17">
            <w:pPr>
              <w:spacing w:after="160" w:line="259" w:lineRule="auto"/>
              <w:jc w:val="both"/>
              <w:rPr>
                <w:rFonts w:ascii="Times New Roman" w:hAnsi="Times New Roman" w:cs="Times New Roman"/>
                <w:sz w:val="20"/>
                <w:szCs w:val="20"/>
              </w:rPr>
            </w:pPr>
            <w:r w:rsidRPr="003F2DB9">
              <w:rPr>
                <w:rFonts w:ascii="Times New Roman" w:hAnsi="Times New Roman" w:cs="Times New Roman"/>
                <w:sz w:val="20"/>
                <w:szCs w:val="20"/>
              </w:rPr>
              <w:lastRenderedPageBreak/>
              <w:t xml:space="preserve">Buildings with any certificate earn a premium of 12,4 %, LEED-certified buildings earn 11.4 %, whereas BREEAM and DGNB earn a premium of 14% and 8.6% respectively </w:t>
            </w:r>
          </w:p>
        </w:tc>
        <w:tc>
          <w:tcPr>
            <w:tcW w:w="1559" w:type="dxa"/>
            <w:vAlign w:val="center"/>
          </w:tcPr>
          <w:p w14:paraId="2F86A79E" w14:textId="773B5C00" w:rsidR="000B2B17" w:rsidRPr="003F2DB9" w:rsidRDefault="00C357E5" w:rsidP="00A87311">
            <w:pPr>
              <w:spacing w:after="160" w:line="259" w:lineRule="auto"/>
              <w:jc w:val="center"/>
              <w:rPr>
                <w:rFonts w:ascii="Times New Roman" w:hAnsi="Times New Roman" w:cs="Times New Roman"/>
                <w:sz w:val="20"/>
                <w:szCs w:val="20"/>
                <w:lang w:val="nb-NO"/>
              </w:rPr>
            </w:pPr>
            <w:r w:rsidRPr="003F2DB9">
              <w:rPr>
                <w:rFonts w:ascii="Times New Roman" w:hAnsi="Times New Roman" w:cs="Times New Roman"/>
                <w:sz w:val="20"/>
                <w:szCs w:val="20"/>
                <w:lang w:val="nb-NO"/>
              </w:rPr>
              <w:t>[50]</w:t>
            </w:r>
          </w:p>
        </w:tc>
      </w:tr>
      <w:tr w:rsidR="008F4347" w:rsidRPr="003F2DB9" w14:paraId="67BB0F8E" w14:textId="77777777" w:rsidTr="00C76C0A">
        <w:trPr>
          <w:trHeight w:val="851"/>
        </w:trPr>
        <w:tc>
          <w:tcPr>
            <w:tcW w:w="7792" w:type="dxa"/>
            <w:noWrap/>
            <w:vAlign w:val="center"/>
          </w:tcPr>
          <w:p w14:paraId="45DD8383" w14:textId="633FC849" w:rsidR="000B2B17" w:rsidRPr="003F2DB9" w:rsidRDefault="000B2B17" w:rsidP="000B2B17">
            <w:pPr>
              <w:spacing w:after="160" w:line="259" w:lineRule="auto"/>
              <w:jc w:val="both"/>
              <w:rPr>
                <w:rFonts w:ascii="Times New Roman" w:hAnsi="Times New Roman" w:cs="Times New Roman"/>
                <w:sz w:val="20"/>
                <w:szCs w:val="20"/>
              </w:rPr>
            </w:pPr>
            <w:r w:rsidRPr="003F2DB9">
              <w:rPr>
                <w:rFonts w:ascii="Times New Roman" w:hAnsi="Times New Roman" w:cs="Times New Roman"/>
                <w:sz w:val="20"/>
                <w:szCs w:val="20"/>
              </w:rPr>
              <w:t>BREEAM-certified buildings earn a 19.7 % rental premium and a 14.7 % premium for sales transactions</w:t>
            </w:r>
          </w:p>
        </w:tc>
        <w:tc>
          <w:tcPr>
            <w:tcW w:w="1559" w:type="dxa"/>
            <w:vAlign w:val="center"/>
          </w:tcPr>
          <w:p w14:paraId="5E0B0491" w14:textId="3B4563BC" w:rsidR="000B2B17" w:rsidRPr="003F2DB9" w:rsidRDefault="00C357E5" w:rsidP="00A87311">
            <w:pPr>
              <w:spacing w:after="160" w:line="259" w:lineRule="auto"/>
              <w:jc w:val="center"/>
              <w:rPr>
                <w:rFonts w:ascii="Times New Roman" w:hAnsi="Times New Roman" w:cs="Times New Roman"/>
                <w:sz w:val="20"/>
                <w:szCs w:val="20"/>
              </w:rPr>
            </w:pPr>
            <w:r w:rsidRPr="003F2DB9">
              <w:t>[</w:t>
            </w:r>
            <w:r w:rsidR="002B42DD" w:rsidRPr="003F2DB9">
              <w:t>52</w:t>
            </w:r>
            <w:r w:rsidRPr="003F2DB9">
              <w:t>]</w:t>
            </w:r>
          </w:p>
        </w:tc>
      </w:tr>
      <w:tr w:rsidR="008F4347" w:rsidRPr="003F2DB9" w14:paraId="5478CB27" w14:textId="77777777" w:rsidTr="00C76C0A">
        <w:trPr>
          <w:trHeight w:val="851"/>
        </w:trPr>
        <w:tc>
          <w:tcPr>
            <w:tcW w:w="7792" w:type="dxa"/>
            <w:noWrap/>
            <w:vAlign w:val="center"/>
          </w:tcPr>
          <w:p w14:paraId="64A3519A" w14:textId="1A7AE8C4" w:rsidR="000B2B17" w:rsidRPr="003F2DB9" w:rsidRDefault="000B2B17" w:rsidP="000B2B17">
            <w:pPr>
              <w:spacing w:after="160" w:line="259" w:lineRule="auto"/>
              <w:jc w:val="both"/>
              <w:rPr>
                <w:rFonts w:ascii="Times New Roman" w:hAnsi="Times New Roman" w:cs="Times New Roman"/>
                <w:sz w:val="20"/>
                <w:szCs w:val="20"/>
              </w:rPr>
            </w:pPr>
            <w:r w:rsidRPr="003F2DB9">
              <w:rPr>
                <w:rFonts w:ascii="Times New Roman" w:hAnsi="Times New Roman" w:cs="Times New Roman"/>
                <w:sz w:val="20"/>
                <w:szCs w:val="20"/>
              </w:rPr>
              <w:t>BREEM-certified buildings earn a premium of 23% to 26%. The Premium increases with higher versions of BREEM</w:t>
            </w:r>
          </w:p>
        </w:tc>
        <w:tc>
          <w:tcPr>
            <w:tcW w:w="1559" w:type="dxa"/>
            <w:vAlign w:val="center"/>
          </w:tcPr>
          <w:p w14:paraId="687E686B" w14:textId="70100753" w:rsidR="000B2B17" w:rsidRPr="003F2DB9" w:rsidRDefault="00C357E5" w:rsidP="00A87311">
            <w:pPr>
              <w:spacing w:after="160" w:line="259" w:lineRule="auto"/>
              <w:jc w:val="center"/>
              <w:rPr>
                <w:rFonts w:ascii="Times New Roman" w:hAnsi="Times New Roman" w:cs="Times New Roman"/>
                <w:sz w:val="20"/>
                <w:szCs w:val="20"/>
                <w:lang w:val="nb-NO"/>
              </w:rPr>
            </w:pPr>
            <w:r w:rsidRPr="003F2DB9">
              <w:rPr>
                <w:rFonts w:ascii="Times New Roman" w:hAnsi="Times New Roman" w:cs="Times New Roman"/>
                <w:sz w:val="20"/>
                <w:szCs w:val="20"/>
                <w:lang w:val="nb-NO"/>
              </w:rPr>
              <w:t>[53]</w:t>
            </w:r>
          </w:p>
        </w:tc>
      </w:tr>
      <w:tr w:rsidR="008F4347" w:rsidRPr="003F2DB9" w14:paraId="1ED46E2B" w14:textId="77777777" w:rsidTr="00C76C0A">
        <w:trPr>
          <w:trHeight w:val="851"/>
        </w:trPr>
        <w:tc>
          <w:tcPr>
            <w:tcW w:w="7792" w:type="dxa"/>
            <w:noWrap/>
            <w:vAlign w:val="center"/>
          </w:tcPr>
          <w:p w14:paraId="5FA53FA4" w14:textId="785CDD92" w:rsidR="000B2B17" w:rsidRPr="003F2DB9" w:rsidRDefault="000B2B17" w:rsidP="000B2B17">
            <w:pPr>
              <w:spacing w:after="160" w:line="259" w:lineRule="auto"/>
              <w:jc w:val="both"/>
              <w:rPr>
                <w:rFonts w:ascii="Times New Roman" w:hAnsi="Times New Roman" w:cs="Times New Roman"/>
                <w:sz w:val="20"/>
                <w:szCs w:val="20"/>
              </w:rPr>
            </w:pPr>
            <w:r w:rsidRPr="003F2DB9">
              <w:rPr>
                <w:rFonts w:ascii="Times New Roman" w:hAnsi="Times New Roman" w:cs="Times New Roman"/>
                <w:sz w:val="20"/>
                <w:szCs w:val="20"/>
              </w:rPr>
              <w:t xml:space="preserve">Buildings certified with LEED Gold or platinum, BREEM, DGNB earn a premium of 23%. The market value of those buildings increased by 43% </w:t>
            </w:r>
          </w:p>
        </w:tc>
        <w:tc>
          <w:tcPr>
            <w:tcW w:w="1559" w:type="dxa"/>
            <w:vAlign w:val="center"/>
          </w:tcPr>
          <w:p w14:paraId="61874E51" w14:textId="31F5E7CD" w:rsidR="000B2B17" w:rsidRPr="003F2DB9" w:rsidRDefault="00C357E5" w:rsidP="00A87311">
            <w:pPr>
              <w:spacing w:after="160" w:line="259" w:lineRule="auto"/>
              <w:jc w:val="center"/>
              <w:rPr>
                <w:rFonts w:ascii="Times New Roman" w:hAnsi="Times New Roman" w:cs="Times New Roman"/>
                <w:sz w:val="20"/>
                <w:szCs w:val="20"/>
              </w:rPr>
            </w:pPr>
            <w:r w:rsidRPr="003F2DB9">
              <w:rPr>
                <w:rFonts w:ascii="Times New Roman" w:hAnsi="Times New Roman" w:cs="Times New Roman"/>
                <w:sz w:val="20"/>
                <w:szCs w:val="20"/>
              </w:rPr>
              <w:t>[54]</w:t>
            </w:r>
          </w:p>
        </w:tc>
      </w:tr>
      <w:tr w:rsidR="008F4347" w:rsidRPr="003F2DB9" w14:paraId="4D71377A" w14:textId="77777777" w:rsidTr="00C76C0A">
        <w:trPr>
          <w:trHeight w:val="851"/>
        </w:trPr>
        <w:tc>
          <w:tcPr>
            <w:tcW w:w="7792" w:type="dxa"/>
            <w:noWrap/>
            <w:vAlign w:val="center"/>
          </w:tcPr>
          <w:p w14:paraId="77AF47CD" w14:textId="13A287A8" w:rsidR="000B2B17" w:rsidRPr="003F2DB9" w:rsidRDefault="000B2B17" w:rsidP="000B2B17">
            <w:pPr>
              <w:spacing w:after="160" w:line="259" w:lineRule="auto"/>
              <w:jc w:val="both"/>
              <w:rPr>
                <w:rFonts w:ascii="Times New Roman" w:hAnsi="Times New Roman" w:cs="Times New Roman"/>
                <w:sz w:val="20"/>
                <w:szCs w:val="20"/>
              </w:rPr>
            </w:pPr>
            <w:r w:rsidRPr="003F2DB9">
              <w:rPr>
                <w:rFonts w:ascii="Times New Roman" w:hAnsi="Times New Roman" w:cs="Times New Roman"/>
                <w:sz w:val="20"/>
                <w:szCs w:val="20"/>
              </w:rPr>
              <w:t>No evidence was found of a willingness to pay more for green buildings</w:t>
            </w:r>
          </w:p>
        </w:tc>
        <w:tc>
          <w:tcPr>
            <w:tcW w:w="1559" w:type="dxa"/>
            <w:vAlign w:val="center"/>
          </w:tcPr>
          <w:p w14:paraId="1A62700C" w14:textId="34E3ED92" w:rsidR="000B2B17" w:rsidRPr="003F2DB9" w:rsidRDefault="00C357E5" w:rsidP="00A87311">
            <w:pPr>
              <w:spacing w:after="160" w:line="259" w:lineRule="auto"/>
              <w:jc w:val="center"/>
              <w:rPr>
                <w:rFonts w:ascii="Times New Roman" w:hAnsi="Times New Roman" w:cs="Times New Roman"/>
                <w:sz w:val="20"/>
                <w:szCs w:val="20"/>
              </w:rPr>
            </w:pPr>
            <w:r w:rsidRPr="003F2DB9">
              <w:rPr>
                <w:rFonts w:ascii="Times New Roman" w:hAnsi="Times New Roman" w:cs="Times New Roman"/>
                <w:sz w:val="20"/>
                <w:szCs w:val="20"/>
              </w:rPr>
              <w:t>[28]</w:t>
            </w:r>
          </w:p>
        </w:tc>
      </w:tr>
      <w:tr w:rsidR="008F4347" w:rsidRPr="003F2DB9" w14:paraId="75103C22" w14:textId="77777777" w:rsidTr="00C76C0A">
        <w:trPr>
          <w:trHeight w:val="851"/>
        </w:trPr>
        <w:tc>
          <w:tcPr>
            <w:tcW w:w="7792" w:type="dxa"/>
            <w:noWrap/>
            <w:vAlign w:val="center"/>
          </w:tcPr>
          <w:p w14:paraId="4DC0CBEB" w14:textId="13EB0197" w:rsidR="000B2B17" w:rsidRPr="003F2DB9" w:rsidRDefault="000B2B17" w:rsidP="000B2B17">
            <w:pPr>
              <w:spacing w:after="160" w:line="259" w:lineRule="auto"/>
              <w:jc w:val="both"/>
              <w:rPr>
                <w:rFonts w:ascii="Times New Roman" w:hAnsi="Times New Roman" w:cs="Times New Roman"/>
                <w:sz w:val="20"/>
                <w:szCs w:val="20"/>
              </w:rPr>
            </w:pPr>
            <w:r w:rsidRPr="003F2DB9">
              <w:rPr>
                <w:rFonts w:ascii="Times New Roman" w:hAnsi="Times New Roman" w:cs="Times New Roman"/>
                <w:sz w:val="20"/>
                <w:szCs w:val="20"/>
              </w:rPr>
              <w:t>Green buildings show higher life cycle costs compared to non-green buildings.</w:t>
            </w:r>
          </w:p>
        </w:tc>
        <w:tc>
          <w:tcPr>
            <w:tcW w:w="1559" w:type="dxa"/>
            <w:vAlign w:val="center"/>
          </w:tcPr>
          <w:p w14:paraId="785BCE8F" w14:textId="271DC1D2" w:rsidR="000B2B17" w:rsidRPr="003F2DB9" w:rsidRDefault="00C357E5" w:rsidP="00A87311">
            <w:pPr>
              <w:spacing w:after="160" w:line="259" w:lineRule="auto"/>
              <w:jc w:val="center"/>
              <w:rPr>
                <w:rFonts w:ascii="Times New Roman" w:hAnsi="Times New Roman" w:cs="Times New Roman"/>
                <w:sz w:val="20"/>
                <w:szCs w:val="20"/>
              </w:rPr>
            </w:pPr>
            <w:r w:rsidRPr="003F2DB9">
              <w:rPr>
                <w:rFonts w:ascii="Times New Roman" w:hAnsi="Times New Roman" w:cs="Times New Roman"/>
                <w:sz w:val="20"/>
                <w:szCs w:val="20"/>
              </w:rPr>
              <w:t>[51]</w:t>
            </w:r>
          </w:p>
        </w:tc>
      </w:tr>
      <w:tr w:rsidR="008F4347" w:rsidRPr="003F2DB9" w14:paraId="2FCA2DC7" w14:textId="77777777" w:rsidTr="00C76C0A">
        <w:trPr>
          <w:trHeight w:val="851"/>
        </w:trPr>
        <w:tc>
          <w:tcPr>
            <w:tcW w:w="7792" w:type="dxa"/>
            <w:noWrap/>
            <w:vAlign w:val="center"/>
          </w:tcPr>
          <w:p w14:paraId="409C71ED" w14:textId="5AA7A49A" w:rsidR="000B2B17" w:rsidRPr="003F2DB9" w:rsidRDefault="000B2B17" w:rsidP="000B2B17">
            <w:pPr>
              <w:spacing w:after="160" w:line="259" w:lineRule="auto"/>
              <w:jc w:val="both"/>
              <w:rPr>
                <w:rFonts w:ascii="Times New Roman" w:hAnsi="Times New Roman" w:cs="Times New Roman"/>
                <w:sz w:val="20"/>
                <w:szCs w:val="20"/>
              </w:rPr>
            </w:pPr>
            <w:r w:rsidRPr="003F2DB9">
              <w:rPr>
                <w:rFonts w:ascii="Times New Roman" w:hAnsi="Times New Roman" w:cs="Times New Roman"/>
                <w:sz w:val="20"/>
                <w:szCs w:val="20"/>
              </w:rPr>
              <w:t>Buildings with LEED Gold and Platinum show a significant premium with 7% and 11% price differentials.</w:t>
            </w:r>
          </w:p>
        </w:tc>
        <w:tc>
          <w:tcPr>
            <w:tcW w:w="1559" w:type="dxa"/>
            <w:vAlign w:val="center"/>
          </w:tcPr>
          <w:p w14:paraId="4CCB56B5" w14:textId="3BA16F94" w:rsidR="000B2B17" w:rsidRPr="003F2DB9" w:rsidRDefault="00C357E5" w:rsidP="00A87311">
            <w:pPr>
              <w:spacing w:after="160" w:line="259" w:lineRule="auto"/>
              <w:jc w:val="center"/>
              <w:rPr>
                <w:rFonts w:ascii="Times New Roman" w:hAnsi="Times New Roman" w:cs="Times New Roman"/>
                <w:sz w:val="20"/>
                <w:szCs w:val="20"/>
              </w:rPr>
            </w:pPr>
            <w:r w:rsidRPr="003F2DB9">
              <w:rPr>
                <w:rFonts w:ascii="Times New Roman" w:hAnsi="Times New Roman" w:cs="Times New Roman"/>
                <w:sz w:val="20"/>
                <w:szCs w:val="20"/>
              </w:rPr>
              <w:t>[5</w:t>
            </w:r>
            <w:r w:rsidR="00D05C99" w:rsidRPr="003F2DB9">
              <w:rPr>
                <w:rFonts w:ascii="Times New Roman" w:hAnsi="Times New Roman" w:cs="Times New Roman"/>
                <w:sz w:val="20"/>
                <w:szCs w:val="20"/>
              </w:rPr>
              <w:t>3</w:t>
            </w:r>
            <w:r w:rsidRPr="003F2DB9">
              <w:rPr>
                <w:rFonts w:ascii="Times New Roman" w:hAnsi="Times New Roman" w:cs="Times New Roman"/>
                <w:sz w:val="20"/>
                <w:szCs w:val="20"/>
              </w:rPr>
              <w:t>]</w:t>
            </w:r>
          </w:p>
        </w:tc>
      </w:tr>
      <w:tr w:rsidR="00A87311" w:rsidRPr="003F2DB9" w14:paraId="787F765E" w14:textId="77777777" w:rsidTr="00C76C0A">
        <w:trPr>
          <w:trHeight w:val="851"/>
        </w:trPr>
        <w:tc>
          <w:tcPr>
            <w:tcW w:w="7792" w:type="dxa"/>
            <w:noWrap/>
            <w:vAlign w:val="center"/>
            <w:hideMark/>
          </w:tcPr>
          <w:p w14:paraId="43FD76F9" w14:textId="77777777" w:rsidR="000B2B17" w:rsidRPr="003F2DB9" w:rsidRDefault="000B2B17" w:rsidP="000B2B17">
            <w:pPr>
              <w:spacing w:after="160" w:line="259" w:lineRule="auto"/>
              <w:rPr>
                <w:rFonts w:ascii="Times New Roman" w:hAnsi="Times New Roman" w:cs="Times New Roman"/>
                <w:sz w:val="20"/>
                <w:szCs w:val="20"/>
              </w:rPr>
            </w:pPr>
            <w:r w:rsidRPr="003F2DB9">
              <w:rPr>
                <w:rFonts w:ascii="Times New Roman" w:hAnsi="Times New Roman" w:cs="Times New Roman"/>
                <w:sz w:val="20"/>
                <w:szCs w:val="20"/>
              </w:rPr>
              <w:t>Green buildings earn a rental premium of 19%.</w:t>
            </w:r>
          </w:p>
        </w:tc>
        <w:tc>
          <w:tcPr>
            <w:tcW w:w="1559" w:type="dxa"/>
            <w:vAlign w:val="center"/>
          </w:tcPr>
          <w:p w14:paraId="6DC9F9C2" w14:textId="3B4255E3" w:rsidR="000B2B17" w:rsidRPr="003F2DB9" w:rsidRDefault="00C357E5" w:rsidP="00A87311">
            <w:pPr>
              <w:spacing w:after="160" w:line="259" w:lineRule="auto"/>
              <w:jc w:val="center"/>
              <w:rPr>
                <w:rFonts w:ascii="Times New Roman" w:hAnsi="Times New Roman" w:cs="Times New Roman"/>
                <w:sz w:val="20"/>
                <w:szCs w:val="20"/>
              </w:rPr>
            </w:pPr>
            <w:r w:rsidRPr="003F2DB9">
              <w:rPr>
                <w:rFonts w:ascii="Times New Roman" w:hAnsi="Times New Roman" w:cs="Times New Roman"/>
                <w:sz w:val="20"/>
                <w:szCs w:val="20"/>
              </w:rPr>
              <w:t>[</w:t>
            </w:r>
            <w:r w:rsidR="00394E1D" w:rsidRPr="003F2DB9">
              <w:rPr>
                <w:rFonts w:ascii="Times New Roman" w:hAnsi="Times New Roman" w:cs="Times New Roman"/>
                <w:sz w:val="20"/>
                <w:szCs w:val="20"/>
              </w:rPr>
              <w:t>7</w:t>
            </w:r>
            <w:r w:rsidR="00D05C99" w:rsidRPr="003F2DB9">
              <w:rPr>
                <w:rFonts w:ascii="Times New Roman" w:hAnsi="Times New Roman" w:cs="Times New Roman"/>
                <w:sz w:val="20"/>
                <w:szCs w:val="20"/>
              </w:rPr>
              <w:t>9</w:t>
            </w:r>
            <w:r w:rsidRPr="003F2DB9">
              <w:rPr>
                <w:rFonts w:ascii="Times New Roman" w:hAnsi="Times New Roman" w:cs="Times New Roman"/>
                <w:sz w:val="20"/>
                <w:szCs w:val="20"/>
              </w:rPr>
              <w:t>]</w:t>
            </w:r>
          </w:p>
        </w:tc>
      </w:tr>
    </w:tbl>
    <w:p w14:paraId="474748C7" w14:textId="1C6B2D30" w:rsidR="00D53F65" w:rsidRPr="003F2DB9" w:rsidRDefault="00D53F65" w:rsidP="00D53F65">
      <w:pPr>
        <w:rPr>
          <w:rFonts w:ascii="Times New Roman" w:hAnsi="Times New Roman" w:cs="Times New Roman"/>
          <w:sz w:val="20"/>
          <w:szCs w:val="20"/>
        </w:rPr>
      </w:pPr>
    </w:p>
    <w:p w14:paraId="3E0E15E4" w14:textId="04E24A8D" w:rsidR="00067C75" w:rsidRPr="003F2DB9" w:rsidRDefault="00067C75" w:rsidP="00D53F65">
      <w:pPr>
        <w:rPr>
          <w:rFonts w:ascii="Times New Roman" w:hAnsi="Times New Roman" w:cs="Times New Roman"/>
          <w:sz w:val="20"/>
          <w:szCs w:val="20"/>
        </w:rPr>
      </w:pPr>
      <w:r w:rsidRPr="003F2DB9">
        <w:rPr>
          <w:rFonts w:ascii="Times New Roman" w:hAnsi="Times New Roman" w:cs="Times New Roman"/>
          <w:sz w:val="20"/>
          <w:szCs w:val="20"/>
        </w:rPr>
        <w:t>In Table 7, the rental premiums for green-certified buildings are presented, highlighting a comparison with non-certified buildings across various regions worldwide.</w:t>
      </w:r>
    </w:p>
    <w:p w14:paraId="1F9A3735" w14:textId="4526AA22" w:rsidR="00D53F65" w:rsidRPr="003F2DB9" w:rsidRDefault="00D53F65" w:rsidP="006B718B">
      <w:pPr>
        <w:jc w:val="center"/>
        <w:rPr>
          <w:rFonts w:ascii="Times New Roman" w:hAnsi="Times New Roman" w:cs="Times New Roman"/>
          <w:sz w:val="16"/>
          <w:szCs w:val="16"/>
        </w:rPr>
      </w:pPr>
      <w:r w:rsidRPr="003F2DB9">
        <w:rPr>
          <w:rFonts w:ascii="Times New Roman" w:hAnsi="Times New Roman" w:cs="Times New Roman"/>
          <w:sz w:val="16"/>
          <w:szCs w:val="16"/>
          <w:highlight w:val="yellow"/>
        </w:rPr>
        <w:t xml:space="preserve">Table </w:t>
      </w:r>
      <w:r w:rsidR="00D95C9E" w:rsidRPr="003F2DB9">
        <w:rPr>
          <w:rFonts w:ascii="Times New Roman" w:hAnsi="Times New Roman" w:cs="Times New Roman"/>
          <w:sz w:val="16"/>
          <w:szCs w:val="16"/>
          <w:highlight w:val="yellow"/>
        </w:rPr>
        <w:t>7</w:t>
      </w:r>
      <w:r w:rsidR="006B718B" w:rsidRPr="003F2DB9">
        <w:rPr>
          <w:rFonts w:ascii="Times New Roman" w:hAnsi="Times New Roman" w:cs="Times New Roman"/>
          <w:sz w:val="16"/>
          <w:szCs w:val="16"/>
          <w:highlight w:val="yellow"/>
        </w:rPr>
        <w:t xml:space="preserve">. </w:t>
      </w:r>
      <w:r w:rsidRPr="003F2DB9">
        <w:rPr>
          <w:rFonts w:ascii="Times New Roman" w:hAnsi="Times New Roman" w:cs="Times New Roman"/>
          <w:sz w:val="16"/>
          <w:szCs w:val="16"/>
          <w:highlight w:val="yellow"/>
        </w:rPr>
        <w:t xml:space="preserve">Summary of </w:t>
      </w:r>
      <w:r w:rsidR="00420107" w:rsidRPr="003F2DB9">
        <w:rPr>
          <w:rFonts w:ascii="Times New Roman" w:hAnsi="Times New Roman" w:cs="Times New Roman"/>
          <w:sz w:val="16"/>
          <w:szCs w:val="16"/>
          <w:highlight w:val="yellow"/>
        </w:rPr>
        <w:t>F</w:t>
      </w:r>
      <w:r w:rsidRPr="003F2DB9">
        <w:rPr>
          <w:rFonts w:ascii="Times New Roman" w:hAnsi="Times New Roman" w:cs="Times New Roman"/>
          <w:sz w:val="16"/>
          <w:szCs w:val="16"/>
          <w:highlight w:val="yellow"/>
        </w:rPr>
        <w:t xml:space="preserve">indings </w:t>
      </w:r>
      <w:proofErr w:type="gramStart"/>
      <w:r w:rsidR="00420107" w:rsidRPr="003F2DB9">
        <w:rPr>
          <w:rFonts w:ascii="Times New Roman" w:hAnsi="Times New Roman" w:cs="Times New Roman"/>
          <w:sz w:val="16"/>
          <w:szCs w:val="16"/>
          <w:highlight w:val="yellow"/>
        </w:rPr>
        <w:t>I</w:t>
      </w:r>
      <w:r w:rsidRPr="003F2DB9">
        <w:rPr>
          <w:rFonts w:ascii="Times New Roman" w:hAnsi="Times New Roman" w:cs="Times New Roman"/>
          <w:sz w:val="16"/>
          <w:szCs w:val="16"/>
          <w:highlight w:val="yellow"/>
        </w:rPr>
        <w:t>n</w:t>
      </w:r>
      <w:proofErr w:type="gramEnd"/>
      <w:r w:rsidRPr="003F2DB9">
        <w:rPr>
          <w:rFonts w:ascii="Times New Roman" w:hAnsi="Times New Roman" w:cs="Times New Roman"/>
          <w:sz w:val="16"/>
          <w:szCs w:val="16"/>
          <w:highlight w:val="yellow"/>
        </w:rPr>
        <w:t xml:space="preserve"> </w:t>
      </w:r>
      <w:r w:rsidR="00420107" w:rsidRPr="003F2DB9">
        <w:rPr>
          <w:rFonts w:ascii="Times New Roman" w:hAnsi="Times New Roman" w:cs="Times New Roman"/>
          <w:sz w:val="16"/>
          <w:szCs w:val="16"/>
          <w:highlight w:val="yellow"/>
        </w:rPr>
        <w:t>O</w:t>
      </w:r>
      <w:r w:rsidRPr="003F2DB9">
        <w:rPr>
          <w:rFonts w:ascii="Times New Roman" w:hAnsi="Times New Roman" w:cs="Times New Roman"/>
          <w:sz w:val="16"/>
          <w:szCs w:val="16"/>
          <w:highlight w:val="yellow"/>
        </w:rPr>
        <w:t xml:space="preserve">ther </w:t>
      </w:r>
      <w:r w:rsidR="00420107" w:rsidRPr="003F2DB9">
        <w:rPr>
          <w:rFonts w:ascii="Times New Roman" w:hAnsi="Times New Roman" w:cs="Times New Roman"/>
          <w:sz w:val="16"/>
          <w:szCs w:val="16"/>
          <w:highlight w:val="yellow"/>
        </w:rPr>
        <w:t>P</w:t>
      </w:r>
      <w:r w:rsidRPr="003F2DB9">
        <w:rPr>
          <w:rFonts w:ascii="Times New Roman" w:hAnsi="Times New Roman" w:cs="Times New Roman"/>
          <w:sz w:val="16"/>
          <w:szCs w:val="16"/>
          <w:highlight w:val="yellow"/>
        </w:rPr>
        <w:t xml:space="preserve">arts of </w:t>
      </w:r>
      <w:r w:rsidR="00420107" w:rsidRPr="003F2DB9">
        <w:rPr>
          <w:rFonts w:ascii="Times New Roman" w:hAnsi="Times New Roman" w:cs="Times New Roman"/>
          <w:sz w:val="16"/>
          <w:szCs w:val="16"/>
          <w:highlight w:val="yellow"/>
        </w:rPr>
        <w:t>T</w:t>
      </w:r>
      <w:r w:rsidRPr="003F2DB9">
        <w:rPr>
          <w:rFonts w:ascii="Times New Roman" w:hAnsi="Times New Roman" w:cs="Times New Roman"/>
          <w:sz w:val="16"/>
          <w:szCs w:val="16"/>
          <w:highlight w:val="yellow"/>
        </w:rPr>
        <w:t xml:space="preserve">he </w:t>
      </w:r>
      <w:r w:rsidR="00420107" w:rsidRPr="003F2DB9">
        <w:rPr>
          <w:rFonts w:ascii="Times New Roman" w:hAnsi="Times New Roman" w:cs="Times New Roman"/>
          <w:sz w:val="16"/>
          <w:szCs w:val="16"/>
          <w:highlight w:val="yellow"/>
        </w:rPr>
        <w:t>W</w:t>
      </w:r>
      <w:r w:rsidRPr="003F2DB9">
        <w:rPr>
          <w:rFonts w:ascii="Times New Roman" w:hAnsi="Times New Roman" w:cs="Times New Roman"/>
          <w:sz w:val="16"/>
          <w:szCs w:val="16"/>
          <w:highlight w:val="yellow"/>
        </w:rPr>
        <w:t>orld</w:t>
      </w:r>
    </w:p>
    <w:tbl>
      <w:tblPr>
        <w:tblStyle w:val="TableGrid"/>
        <w:tblW w:w="9351" w:type="dxa"/>
        <w:tblLook w:val="04A0" w:firstRow="1" w:lastRow="0" w:firstColumn="1" w:lastColumn="0" w:noHBand="0" w:noVBand="1"/>
      </w:tblPr>
      <w:tblGrid>
        <w:gridCol w:w="7792"/>
        <w:gridCol w:w="1559"/>
      </w:tblGrid>
      <w:tr w:rsidR="008F4347" w:rsidRPr="003F2DB9" w14:paraId="0C2F5465" w14:textId="77777777" w:rsidTr="005E0367">
        <w:trPr>
          <w:trHeight w:val="584"/>
          <w:tblHeader/>
        </w:trPr>
        <w:tc>
          <w:tcPr>
            <w:tcW w:w="7792" w:type="dxa"/>
            <w:vAlign w:val="center"/>
            <w:hideMark/>
          </w:tcPr>
          <w:p w14:paraId="2F3D8236" w14:textId="77777777" w:rsidR="00564F0F" w:rsidRPr="003F2DB9" w:rsidRDefault="00564F0F" w:rsidP="005E0367">
            <w:pPr>
              <w:rPr>
                <w:rFonts w:ascii="Times New Roman" w:hAnsi="Times New Roman" w:cs="Times New Roman"/>
                <w:sz w:val="20"/>
                <w:szCs w:val="20"/>
              </w:rPr>
            </w:pPr>
            <w:r w:rsidRPr="003F2DB9">
              <w:rPr>
                <w:rFonts w:ascii="Times New Roman" w:hAnsi="Times New Roman" w:cs="Times New Roman"/>
                <w:sz w:val="20"/>
                <w:szCs w:val="20"/>
              </w:rPr>
              <w:t xml:space="preserve">Findings – Rental premium per square area over non-certified similar buildings </w:t>
            </w:r>
          </w:p>
        </w:tc>
        <w:tc>
          <w:tcPr>
            <w:tcW w:w="1559" w:type="dxa"/>
            <w:vAlign w:val="center"/>
            <w:hideMark/>
          </w:tcPr>
          <w:p w14:paraId="65B92E3A" w14:textId="77777777" w:rsidR="00564F0F" w:rsidRPr="003F2DB9" w:rsidRDefault="00564F0F" w:rsidP="005E0367">
            <w:pPr>
              <w:rPr>
                <w:rFonts w:ascii="Times New Roman" w:hAnsi="Times New Roman" w:cs="Times New Roman"/>
                <w:sz w:val="20"/>
                <w:szCs w:val="20"/>
              </w:rPr>
            </w:pPr>
            <w:r w:rsidRPr="003F2DB9">
              <w:rPr>
                <w:rFonts w:ascii="Times New Roman" w:hAnsi="Times New Roman" w:cs="Times New Roman"/>
                <w:sz w:val="20"/>
                <w:szCs w:val="20"/>
              </w:rPr>
              <w:t>Reference</w:t>
            </w:r>
          </w:p>
        </w:tc>
      </w:tr>
      <w:tr w:rsidR="008F4347" w:rsidRPr="003F2DB9" w14:paraId="3B00C7DC" w14:textId="77777777" w:rsidTr="005E0367">
        <w:trPr>
          <w:trHeight w:val="710"/>
        </w:trPr>
        <w:tc>
          <w:tcPr>
            <w:tcW w:w="7792" w:type="dxa"/>
            <w:noWrap/>
            <w:vAlign w:val="center"/>
          </w:tcPr>
          <w:p w14:paraId="44351463" w14:textId="71AC5AB7" w:rsidR="00723761" w:rsidRPr="003F2DB9" w:rsidRDefault="00723761" w:rsidP="005E0367">
            <w:pPr>
              <w:rPr>
                <w:rFonts w:ascii="Times New Roman" w:hAnsi="Times New Roman" w:cs="Times New Roman"/>
                <w:sz w:val="20"/>
                <w:szCs w:val="20"/>
              </w:rPr>
            </w:pPr>
            <w:r w:rsidRPr="003F2DB9">
              <w:rPr>
                <w:rFonts w:ascii="Times New Roman" w:hAnsi="Times New Roman" w:cs="Times New Roman"/>
                <w:sz w:val="20"/>
                <w:szCs w:val="20"/>
              </w:rPr>
              <w:t xml:space="preserve">Green buildings – Reported higher rental rates of around RM 0.50 to RM 2.25 per square foot and Higher rental growth rates of around RM 0.50 to RM 1.00 per square foot </w:t>
            </w:r>
          </w:p>
        </w:tc>
        <w:tc>
          <w:tcPr>
            <w:tcW w:w="1559" w:type="dxa"/>
            <w:vAlign w:val="center"/>
          </w:tcPr>
          <w:p w14:paraId="435BFCDF" w14:textId="32D03F68" w:rsidR="00723761" w:rsidRPr="003F2DB9" w:rsidRDefault="00C357E5" w:rsidP="005E0367">
            <w:pPr>
              <w:jc w:val="center"/>
              <w:rPr>
                <w:rFonts w:ascii="Times New Roman" w:hAnsi="Times New Roman" w:cs="Times New Roman"/>
                <w:sz w:val="20"/>
                <w:szCs w:val="20"/>
              </w:rPr>
            </w:pPr>
            <w:r w:rsidRPr="003F2DB9">
              <w:rPr>
                <w:rFonts w:ascii="Times New Roman" w:hAnsi="Times New Roman" w:cs="Times New Roman"/>
                <w:sz w:val="20"/>
                <w:szCs w:val="20"/>
              </w:rPr>
              <w:t>[5</w:t>
            </w:r>
            <w:r w:rsidR="00D05C99" w:rsidRPr="003F2DB9">
              <w:rPr>
                <w:rFonts w:ascii="Times New Roman" w:hAnsi="Times New Roman" w:cs="Times New Roman"/>
                <w:sz w:val="20"/>
                <w:szCs w:val="20"/>
              </w:rPr>
              <w:t>7</w:t>
            </w:r>
            <w:r w:rsidRPr="003F2DB9">
              <w:rPr>
                <w:rFonts w:ascii="Times New Roman" w:hAnsi="Times New Roman" w:cs="Times New Roman"/>
                <w:sz w:val="20"/>
                <w:szCs w:val="20"/>
              </w:rPr>
              <w:t>]</w:t>
            </w:r>
          </w:p>
        </w:tc>
      </w:tr>
      <w:tr w:rsidR="008F4347" w:rsidRPr="003F2DB9" w14:paraId="6063112D" w14:textId="77777777" w:rsidTr="005E0367">
        <w:trPr>
          <w:trHeight w:val="620"/>
        </w:trPr>
        <w:tc>
          <w:tcPr>
            <w:tcW w:w="7792" w:type="dxa"/>
            <w:noWrap/>
            <w:vAlign w:val="center"/>
            <w:hideMark/>
          </w:tcPr>
          <w:p w14:paraId="38967390" w14:textId="77777777" w:rsidR="006119D3" w:rsidRPr="003F2DB9" w:rsidRDefault="006119D3" w:rsidP="005E0367">
            <w:pPr>
              <w:rPr>
                <w:rFonts w:ascii="Times New Roman" w:hAnsi="Times New Roman" w:cs="Times New Roman"/>
                <w:sz w:val="20"/>
                <w:szCs w:val="20"/>
              </w:rPr>
            </w:pPr>
            <w:r w:rsidRPr="003F2DB9">
              <w:rPr>
                <w:rFonts w:ascii="Times New Roman" w:hAnsi="Times New Roman" w:cs="Times New Roman"/>
                <w:sz w:val="20"/>
                <w:szCs w:val="20"/>
              </w:rPr>
              <w:t>Energy-efficient/green buildings scored the lowest in terms of importance by tenants in selecting a new office to occupy</w:t>
            </w:r>
          </w:p>
        </w:tc>
        <w:tc>
          <w:tcPr>
            <w:tcW w:w="1559" w:type="dxa"/>
            <w:vAlign w:val="center"/>
          </w:tcPr>
          <w:p w14:paraId="7EDC317A" w14:textId="7A1D3EE9" w:rsidR="006119D3" w:rsidRPr="003F2DB9" w:rsidRDefault="00C357E5" w:rsidP="005E0367">
            <w:pPr>
              <w:jc w:val="center"/>
              <w:rPr>
                <w:rFonts w:ascii="Times New Roman" w:hAnsi="Times New Roman" w:cs="Times New Roman"/>
                <w:sz w:val="20"/>
                <w:szCs w:val="20"/>
              </w:rPr>
            </w:pPr>
            <w:r w:rsidRPr="003F2DB9">
              <w:rPr>
                <w:rFonts w:ascii="Times New Roman" w:hAnsi="Times New Roman" w:cs="Times New Roman"/>
                <w:sz w:val="20"/>
                <w:szCs w:val="20"/>
              </w:rPr>
              <w:t>[</w:t>
            </w:r>
            <w:r w:rsidR="00D05C99" w:rsidRPr="003F2DB9">
              <w:rPr>
                <w:rFonts w:ascii="Times New Roman" w:hAnsi="Times New Roman" w:cs="Times New Roman"/>
                <w:sz w:val="20"/>
                <w:szCs w:val="20"/>
              </w:rPr>
              <w:t>80</w:t>
            </w:r>
            <w:r w:rsidRPr="003F2DB9">
              <w:rPr>
                <w:rFonts w:ascii="Times New Roman" w:hAnsi="Times New Roman" w:cs="Times New Roman"/>
                <w:sz w:val="20"/>
                <w:szCs w:val="20"/>
              </w:rPr>
              <w:t>]</w:t>
            </w:r>
          </w:p>
        </w:tc>
      </w:tr>
      <w:tr w:rsidR="008F4347" w:rsidRPr="003F2DB9" w14:paraId="025DB4B8" w14:textId="77777777" w:rsidTr="005E0367">
        <w:trPr>
          <w:trHeight w:val="620"/>
        </w:trPr>
        <w:tc>
          <w:tcPr>
            <w:tcW w:w="7792" w:type="dxa"/>
            <w:noWrap/>
            <w:vAlign w:val="center"/>
          </w:tcPr>
          <w:p w14:paraId="74620E12" w14:textId="77777777" w:rsidR="00C2287D" w:rsidRPr="003F2DB9" w:rsidRDefault="00C2287D" w:rsidP="005E0367">
            <w:pPr>
              <w:rPr>
                <w:rFonts w:ascii="Times New Roman" w:hAnsi="Times New Roman" w:cs="Times New Roman"/>
                <w:sz w:val="20"/>
                <w:szCs w:val="20"/>
              </w:rPr>
            </w:pPr>
            <w:r w:rsidRPr="003F2DB9">
              <w:rPr>
                <w:rFonts w:ascii="Times New Roman" w:hAnsi="Times New Roman" w:cs="Times New Roman"/>
                <w:sz w:val="20"/>
                <w:szCs w:val="20"/>
              </w:rPr>
              <w:t>No significant presence of energy efficiency premium.</w:t>
            </w:r>
          </w:p>
          <w:p w14:paraId="37D55798" w14:textId="70C2B7A8" w:rsidR="00C2287D" w:rsidRPr="003F2DB9" w:rsidRDefault="00C2287D" w:rsidP="005E0367">
            <w:pPr>
              <w:rPr>
                <w:rFonts w:ascii="Times New Roman" w:hAnsi="Times New Roman" w:cs="Times New Roman"/>
                <w:sz w:val="20"/>
                <w:szCs w:val="20"/>
              </w:rPr>
            </w:pPr>
            <w:r w:rsidRPr="003F2DB9">
              <w:rPr>
                <w:rFonts w:ascii="Times New Roman" w:hAnsi="Times New Roman" w:cs="Times New Roman"/>
                <w:sz w:val="20"/>
                <w:szCs w:val="20"/>
                <w:lang w:val="en-US"/>
              </w:rPr>
              <w:t>No strong evidence of discounts for energy-inefficient buildings</w:t>
            </w:r>
          </w:p>
        </w:tc>
        <w:tc>
          <w:tcPr>
            <w:tcW w:w="1559" w:type="dxa"/>
            <w:vAlign w:val="center"/>
          </w:tcPr>
          <w:p w14:paraId="0E8E40EE" w14:textId="4F037172" w:rsidR="00C2287D" w:rsidRPr="003F2DB9" w:rsidRDefault="00C13301" w:rsidP="005E0367">
            <w:pPr>
              <w:jc w:val="center"/>
              <w:rPr>
                <w:rFonts w:ascii="Times New Roman" w:hAnsi="Times New Roman" w:cs="Times New Roman"/>
                <w:sz w:val="20"/>
                <w:szCs w:val="20"/>
              </w:rPr>
            </w:pPr>
            <w:r w:rsidRPr="003F2DB9">
              <w:rPr>
                <w:rFonts w:ascii="Times New Roman" w:hAnsi="Times New Roman" w:cs="Times New Roman"/>
                <w:sz w:val="20"/>
                <w:szCs w:val="20"/>
                <w:lang w:val="en-US"/>
              </w:rPr>
              <w:t>[6</w:t>
            </w:r>
            <w:r w:rsidR="00D05C99" w:rsidRPr="003F2DB9">
              <w:rPr>
                <w:rFonts w:ascii="Times New Roman" w:hAnsi="Times New Roman" w:cs="Times New Roman"/>
                <w:sz w:val="20"/>
                <w:szCs w:val="20"/>
                <w:lang w:val="en-US"/>
              </w:rPr>
              <w:t>8</w:t>
            </w:r>
            <w:r w:rsidRPr="003F2DB9">
              <w:rPr>
                <w:rFonts w:ascii="Times New Roman" w:hAnsi="Times New Roman" w:cs="Times New Roman"/>
                <w:sz w:val="20"/>
                <w:szCs w:val="20"/>
                <w:lang w:val="en-US"/>
              </w:rPr>
              <w:t>]</w:t>
            </w:r>
          </w:p>
        </w:tc>
      </w:tr>
      <w:tr w:rsidR="008F4347" w:rsidRPr="003F2DB9" w14:paraId="20235AF3" w14:textId="77777777" w:rsidTr="00C76C0A">
        <w:trPr>
          <w:trHeight w:val="851"/>
        </w:trPr>
        <w:tc>
          <w:tcPr>
            <w:tcW w:w="7792" w:type="dxa"/>
            <w:noWrap/>
            <w:vAlign w:val="center"/>
            <w:hideMark/>
          </w:tcPr>
          <w:p w14:paraId="7CE19264" w14:textId="77777777" w:rsidR="00723761" w:rsidRPr="003F2DB9" w:rsidRDefault="00723761" w:rsidP="005E0367">
            <w:pPr>
              <w:rPr>
                <w:rFonts w:ascii="Times New Roman" w:hAnsi="Times New Roman" w:cs="Times New Roman"/>
                <w:sz w:val="20"/>
                <w:szCs w:val="20"/>
              </w:rPr>
            </w:pPr>
            <w:r w:rsidRPr="003F2DB9">
              <w:rPr>
                <w:rFonts w:ascii="Times New Roman" w:hAnsi="Times New Roman" w:cs="Times New Roman"/>
                <w:sz w:val="20"/>
                <w:szCs w:val="20"/>
              </w:rPr>
              <w:lastRenderedPageBreak/>
              <w:t>LEED-certified buildings earn a premium of 12.8%.</w:t>
            </w:r>
          </w:p>
        </w:tc>
        <w:tc>
          <w:tcPr>
            <w:tcW w:w="1559" w:type="dxa"/>
            <w:vAlign w:val="center"/>
          </w:tcPr>
          <w:p w14:paraId="74BA0A20" w14:textId="5224058B" w:rsidR="00723761" w:rsidRPr="003F2DB9" w:rsidRDefault="00C13301" w:rsidP="005E0367">
            <w:pPr>
              <w:jc w:val="center"/>
              <w:rPr>
                <w:rFonts w:ascii="Times New Roman" w:hAnsi="Times New Roman" w:cs="Times New Roman"/>
                <w:sz w:val="20"/>
                <w:szCs w:val="20"/>
              </w:rPr>
            </w:pPr>
            <w:r w:rsidRPr="003F2DB9">
              <w:rPr>
                <w:rFonts w:ascii="Times New Roman" w:hAnsi="Times New Roman" w:cs="Times New Roman"/>
                <w:sz w:val="20"/>
                <w:szCs w:val="20"/>
              </w:rPr>
              <w:t>[5</w:t>
            </w:r>
            <w:r w:rsidR="00D05C99" w:rsidRPr="003F2DB9">
              <w:rPr>
                <w:rFonts w:ascii="Times New Roman" w:hAnsi="Times New Roman" w:cs="Times New Roman"/>
                <w:sz w:val="20"/>
                <w:szCs w:val="20"/>
              </w:rPr>
              <w:t>8</w:t>
            </w:r>
            <w:r w:rsidRPr="003F2DB9">
              <w:rPr>
                <w:rFonts w:ascii="Times New Roman" w:hAnsi="Times New Roman" w:cs="Times New Roman"/>
                <w:sz w:val="20"/>
                <w:szCs w:val="20"/>
              </w:rPr>
              <w:t>]</w:t>
            </w:r>
          </w:p>
        </w:tc>
      </w:tr>
      <w:tr w:rsidR="008F4347" w:rsidRPr="003F2DB9" w14:paraId="6D61F3FB" w14:textId="77777777" w:rsidTr="00C76C0A">
        <w:trPr>
          <w:trHeight w:val="851"/>
        </w:trPr>
        <w:tc>
          <w:tcPr>
            <w:tcW w:w="7792" w:type="dxa"/>
            <w:noWrap/>
            <w:vAlign w:val="center"/>
            <w:hideMark/>
          </w:tcPr>
          <w:p w14:paraId="10ACB8FF" w14:textId="77777777" w:rsidR="00955339" w:rsidRPr="003F2DB9" w:rsidRDefault="00955339" w:rsidP="005E0367">
            <w:pPr>
              <w:rPr>
                <w:rFonts w:ascii="Times New Roman" w:hAnsi="Times New Roman" w:cs="Times New Roman"/>
                <w:sz w:val="20"/>
                <w:szCs w:val="20"/>
              </w:rPr>
            </w:pPr>
            <w:r w:rsidRPr="003F2DB9">
              <w:rPr>
                <w:rFonts w:ascii="Times New Roman" w:hAnsi="Times New Roman" w:cs="Times New Roman"/>
                <w:sz w:val="20"/>
                <w:szCs w:val="20"/>
              </w:rPr>
              <w:t>Building rental performance can be improved by green certification.</w:t>
            </w:r>
          </w:p>
        </w:tc>
        <w:tc>
          <w:tcPr>
            <w:tcW w:w="1559" w:type="dxa"/>
            <w:vAlign w:val="center"/>
          </w:tcPr>
          <w:p w14:paraId="4D41B8F9" w14:textId="4AF58B40" w:rsidR="00955339" w:rsidRPr="003F2DB9" w:rsidRDefault="00695A4A" w:rsidP="005E0367">
            <w:pPr>
              <w:jc w:val="center"/>
              <w:rPr>
                <w:rFonts w:ascii="Times New Roman" w:hAnsi="Times New Roman" w:cs="Times New Roman"/>
                <w:sz w:val="20"/>
                <w:szCs w:val="20"/>
              </w:rPr>
            </w:pPr>
            <w:r w:rsidRPr="003F2DB9">
              <w:rPr>
                <w:rFonts w:ascii="Times New Roman" w:hAnsi="Times New Roman" w:cs="Times New Roman"/>
                <w:sz w:val="20"/>
                <w:szCs w:val="20"/>
              </w:rPr>
              <w:t>[5</w:t>
            </w:r>
            <w:r w:rsidR="00AA3E37" w:rsidRPr="003F2DB9">
              <w:rPr>
                <w:rFonts w:ascii="Times New Roman" w:hAnsi="Times New Roman" w:cs="Times New Roman"/>
                <w:sz w:val="20"/>
                <w:szCs w:val="20"/>
              </w:rPr>
              <w:t>9</w:t>
            </w:r>
            <w:r w:rsidRPr="003F2DB9">
              <w:rPr>
                <w:rFonts w:ascii="Times New Roman" w:hAnsi="Times New Roman" w:cs="Times New Roman"/>
                <w:sz w:val="20"/>
                <w:szCs w:val="20"/>
              </w:rPr>
              <w:t>]</w:t>
            </w:r>
          </w:p>
        </w:tc>
      </w:tr>
      <w:tr w:rsidR="008F4347" w:rsidRPr="003F2DB9" w14:paraId="3EFDA7F0" w14:textId="77777777" w:rsidTr="00C76C0A">
        <w:trPr>
          <w:trHeight w:val="851"/>
        </w:trPr>
        <w:tc>
          <w:tcPr>
            <w:tcW w:w="7792" w:type="dxa"/>
            <w:noWrap/>
            <w:vAlign w:val="center"/>
            <w:hideMark/>
          </w:tcPr>
          <w:p w14:paraId="40F905E1" w14:textId="77777777" w:rsidR="00955339" w:rsidRPr="003F2DB9" w:rsidRDefault="00955339" w:rsidP="005E0367">
            <w:pPr>
              <w:rPr>
                <w:rFonts w:ascii="Times New Roman" w:hAnsi="Times New Roman" w:cs="Times New Roman"/>
                <w:sz w:val="20"/>
                <w:szCs w:val="20"/>
              </w:rPr>
            </w:pPr>
            <w:r w:rsidRPr="003F2DB9">
              <w:rPr>
                <w:rFonts w:ascii="Times New Roman" w:hAnsi="Times New Roman" w:cs="Times New Roman"/>
                <w:sz w:val="20"/>
                <w:szCs w:val="20"/>
              </w:rPr>
              <w:t>Water &amp; energy efficiency, site &amp; locality, construction materials, indoor air quality, landscape &amp; design are the 6 key features identified by occupants.</w:t>
            </w:r>
          </w:p>
          <w:p w14:paraId="2C63661A" w14:textId="77777777" w:rsidR="00955339" w:rsidRPr="003F2DB9" w:rsidRDefault="00955339" w:rsidP="005E0367">
            <w:pPr>
              <w:rPr>
                <w:rFonts w:ascii="Times New Roman" w:hAnsi="Times New Roman" w:cs="Times New Roman"/>
                <w:sz w:val="20"/>
                <w:szCs w:val="20"/>
              </w:rPr>
            </w:pPr>
          </w:p>
        </w:tc>
        <w:tc>
          <w:tcPr>
            <w:tcW w:w="1559" w:type="dxa"/>
            <w:noWrap/>
            <w:vAlign w:val="center"/>
            <w:hideMark/>
          </w:tcPr>
          <w:p w14:paraId="7C50B35B" w14:textId="48EBE35A" w:rsidR="00955339" w:rsidRPr="003F2DB9" w:rsidRDefault="00695A4A" w:rsidP="005E0367">
            <w:pPr>
              <w:jc w:val="center"/>
              <w:rPr>
                <w:rFonts w:ascii="Times New Roman" w:hAnsi="Times New Roman" w:cs="Times New Roman"/>
                <w:sz w:val="20"/>
                <w:szCs w:val="20"/>
              </w:rPr>
            </w:pPr>
            <w:r w:rsidRPr="003F2DB9">
              <w:rPr>
                <w:rFonts w:ascii="Times New Roman" w:hAnsi="Times New Roman" w:cs="Times New Roman"/>
                <w:sz w:val="20"/>
                <w:szCs w:val="20"/>
              </w:rPr>
              <w:t>[8</w:t>
            </w:r>
            <w:r w:rsidR="00AA3E37" w:rsidRPr="003F2DB9">
              <w:rPr>
                <w:rFonts w:ascii="Times New Roman" w:hAnsi="Times New Roman" w:cs="Times New Roman"/>
                <w:sz w:val="20"/>
                <w:szCs w:val="20"/>
              </w:rPr>
              <w:t>1</w:t>
            </w:r>
            <w:r w:rsidRPr="003F2DB9">
              <w:rPr>
                <w:rFonts w:ascii="Times New Roman" w:hAnsi="Times New Roman" w:cs="Times New Roman"/>
                <w:sz w:val="20"/>
                <w:szCs w:val="20"/>
              </w:rPr>
              <w:t>]</w:t>
            </w:r>
          </w:p>
        </w:tc>
      </w:tr>
      <w:tr w:rsidR="008F4347" w:rsidRPr="003F2DB9" w14:paraId="55A9E880" w14:textId="77777777" w:rsidTr="00C76C0A">
        <w:trPr>
          <w:trHeight w:val="851"/>
        </w:trPr>
        <w:tc>
          <w:tcPr>
            <w:tcW w:w="7792" w:type="dxa"/>
            <w:noWrap/>
            <w:vAlign w:val="center"/>
            <w:hideMark/>
          </w:tcPr>
          <w:p w14:paraId="1D476462" w14:textId="77777777" w:rsidR="00955339" w:rsidRPr="003F2DB9" w:rsidRDefault="00955339" w:rsidP="005E0367">
            <w:pPr>
              <w:rPr>
                <w:rFonts w:ascii="Times New Roman" w:hAnsi="Times New Roman" w:cs="Times New Roman"/>
                <w:sz w:val="20"/>
                <w:szCs w:val="20"/>
              </w:rPr>
            </w:pPr>
            <w:r w:rsidRPr="003F2DB9">
              <w:rPr>
                <w:rFonts w:ascii="Times New Roman" w:hAnsi="Times New Roman" w:cs="Times New Roman"/>
                <w:sz w:val="20"/>
                <w:szCs w:val="20"/>
              </w:rPr>
              <w:t>The correlation between the LEED certification and rental premium is Not statistically significant.</w:t>
            </w:r>
          </w:p>
        </w:tc>
        <w:tc>
          <w:tcPr>
            <w:tcW w:w="1559" w:type="dxa"/>
            <w:noWrap/>
            <w:vAlign w:val="center"/>
            <w:hideMark/>
          </w:tcPr>
          <w:p w14:paraId="56E2CB9B" w14:textId="16D3B035" w:rsidR="00955339" w:rsidRPr="003F2DB9" w:rsidRDefault="00695A4A" w:rsidP="005E0367">
            <w:pPr>
              <w:jc w:val="center"/>
              <w:rPr>
                <w:rFonts w:ascii="Times New Roman" w:hAnsi="Times New Roman" w:cs="Times New Roman"/>
                <w:sz w:val="20"/>
                <w:szCs w:val="20"/>
              </w:rPr>
            </w:pPr>
            <w:r w:rsidRPr="003F2DB9">
              <w:rPr>
                <w:rFonts w:ascii="Times New Roman" w:hAnsi="Times New Roman" w:cs="Times New Roman"/>
                <w:sz w:val="20"/>
                <w:szCs w:val="20"/>
              </w:rPr>
              <w:t>[</w:t>
            </w:r>
            <w:r w:rsidR="005373C3" w:rsidRPr="003F2DB9">
              <w:rPr>
                <w:rFonts w:ascii="Times New Roman" w:hAnsi="Times New Roman" w:cs="Times New Roman"/>
                <w:sz w:val="20"/>
                <w:szCs w:val="20"/>
              </w:rPr>
              <w:t>6</w:t>
            </w:r>
            <w:r w:rsidR="00AA3E37" w:rsidRPr="003F2DB9">
              <w:rPr>
                <w:rFonts w:ascii="Times New Roman" w:hAnsi="Times New Roman" w:cs="Times New Roman"/>
                <w:sz w:val="20"/>
                <w:szCs w:val="20"/>
              </w:rPr>
              <w:t>9</w:t>
            </w:r>
            <w:r w:rsidRPr="003F2DB9">
              <w:rPr>
                <w:rFonts w:ascii="Times New Roman" w:hAnsi="Times New Roman" w:cs="Times New Roman"/>
                <w:sz w:val="20"/>
                <w:szCs w:val="20"/>
              </w:rPr>
              <w:t>]</w:t>
            </w:r>
          </w:p>
        </w:tc>
      </w:tr>
      <w:tr w:rsidR="008F4347" w:rsidRPr="003F2DB9" w14:paraId="2BBB5548" w14:textId="77777777" w:rsidTr="00C76C0A">
        <w:trPr>
          <w:trHeight w:val="851"/>
        </w:trPr>
        <w:tc>
          <w:tcPr>
            <w:tcW w:w="7792" w:type="dxa"/>
            <w:vAlign w:val="center"/>
            <w:hideMark/>
          </w:tcPr>
          <w:p w14:paraId="7249659E" w14:textId="77777777" w:rsidR="00955339" w:rsidRPr="003F2DB9" w:rsidRDefault="00955339" w:rsidP="005E0367">
            <w:pPr>
              <w:rPr>
                <w:rFonts w:ascii="Times New Roman" w:hAnsi="Times New Roman" w:cs="Times New Roman"/>
                <w:sz w:val="20"/>
                <w:szCs w:val="20"/>
              </w:rPr>
            </w:pPr>
            <w:r w:rsidRPr="003F2DB9">
              <w:rPr>
                <w:rFonts w:ascii="Times New Roman" w:hAnsi="Times New Roman" w:cs="Times New Roman"/>
                <w:sz w:val="20"/>
                <w:szCs w:val="20"/>
              </w:rPr>
              <w:t>There is no conclusive evidence that green premium exists in commercial property.</w:t>
            </w:r>
          </w:p>
        </w:tc>
        <w:tc>
          <w:tcPr>
            <w:tcW w:w="1559" w:type="dxa"/>
            <w:noWrap/>
            <w:vAlign w:val="center"/>
            <w:hideMark/>
          </w:tcPr>
          <w:p w14:paraId="04CC468D" w14:textId="521B903C" w:rsidR="00955339" w:rsidRPr="003F2DB9" w:rsidRDefault="00695A4A" w:rsidP="005E0367">
            <w:pPr>
              <w:jc w:val="center"/>
              <w:rPr>
                <w:rFonts w:ascii="Times New Roman" w:hAnsi="Times New Roman" w:cs="Times New Roman"/>
                <w:sz w:val="20"/>
                <w:szCs w:val="20"/>
              </w:rPr>
            </w:pPr>
            <w:r w:rsidRPr="003F2DB9">
              <w:rPr>
                <w:rFonts w:ascii="Times New Roman" w:hAnsi="Times New Roman" w:cs="Times New Roman"/>
                <w:sz w:val="20"/>
                <w:szCs w:val="20"/>
              </w:rPr>
              <w:t>[</w:t>
            </w:r>
            <w:r w:rsidR="00AA3E37" w:rsidRPr="003F2DB9">
              <w:rPr>
                <w:rFonts w:ascii="Times New Roman" w:hAnsi="Times New Roman" w:cs="Times New Roman"/>
                <w:sz w:val="20"/>
                <w:szCs w:val="20"/>
              </w:rPr>
              <w:t>70</w:t>
            </w:r>
            <w:r w:rsidRPr="003F2DB9">
              <w:rPr>
                <w:rFonts w:ascii="Times New Roman" w:hAnsi="Times New Roman" w:cs="Times New Roman"/>
                <w:sz w:val="20"/>
                <w:szCs w:val="20"/>
              </w:rPr>
              <w:t>]</w:t>
            </w:r>
          </w:p>
        </w:tc>
      </w:tr>
      <w:tr w:rsidR="008F4347" w:rsidRPr="003F2DB9" w14:paraId="502365F4" w14:textId="77777777" w:rsidTr="00C76C0A">
        <w:trPr>
          <w:trHeight w:val="851"/>
        </w:trPr>
        <w:tc>
          <w:tcPr>
            <w:tcW w:w="7792" w:type="dxa"/>
            <w:noWrap/>
            <w:vAlign w:val="center"/>
            <w:hideMark/>
          </w:tcPr>
          <w:p w14:paraId="64146384" w14:textId="77777777" w:rsidR="00955339" w:rsidRPr="003F2DB9" w:rsidRDefault="00955339" w:rsidP="005E0367">
            <w:pPr>
              <w:rPr>
                <w:rFonts w:ascii="Times New Roman" w:hAnsi="Times New Roman" w:cs="Times New Roman"/>
                <w:sz w:val="20"/>
                <w:szCs w:val="20"/>
              </w:rPr>
            </w:pPr>
            <w:r w:rsidRPr="003F2DB9">
              <w:rPr>
                <w:rFonts w:ascii="Times New Roman" w:hAnsi="Times New Roman" w:cs="Times New Roman"/>
                <w:sz w:val="20"/>
                <w:szCs w:val="20"/>
              </w:rPr>
              <w:t>Effective rent will increase by retrofitting buildings</w:t>
            </w:r>
          </w:p>
        </w:tc>
        <w:tc>
          <w:tcPr>
            <w:tcW w:w="1559" w:type="dxa"/>
            <w:vAlign w:val="center"/>
          </w:tcPr>
          <w:p w14:paraId="7D3AB44A" w14:textId="0679235E" w:rsidR="00955339" w:rsidRPr="003F2DB9" w:rsidRDefault="00695A4A" w:rsidP="005E0367">
            <w:pPr>
              <w:jc w:val="center"/>
              <w:rPr>
                <w:rFonts w:ascii="Times New Roman" w:hAnsi="Times New Roman" w:cs="Times New Roman"/>
                <w:sz w:val="20"/>
                <w:szCs w:val="20"/>
              </w:rPr>
            </w:pPr>
            <w:r w:rsidRPr="003F2DB9">
              <w:rPr>
                <w:rFonts w:ascii="Times New Roman" w:hAnsi="Times New Roman" w:cs="Times New Roman"/>
                <w:sz w:val="20"/>
                <w:szCs w:val="20"/>
              </w:rPr>
              <w:t>[6</w:t>
            </w:r>
            <w:r w:rsidR="00AA3E37" w:rsidRPr="003F2DB9">
              <w:rPr>
                <w:rFonts w:ascii="Times New Roman" w:hAnsi="Times New Roman" w:cs="Times New Roman"/>
                <w:sz w:val="20"/>
                <w:szCs w:val="20"/>
              </w:rPr>
              <w:t>5</w:t>
            </w:r>
            <w:r w:rsidRPr="003F2DB9">
              <w:rPr>
                <w:rFonts w:ascii="Times New Roman" w:hAnsi="Times New Roman" w:cs="Times New Roman"/>
                <w:sz w:val="20"/>
                <w:szCs w:val="20"/>
              </w:rPr>
              <w:t>]</w:t>
            </w:r>
          </w:p>
        </w:tc>
      </w:tr>
      <w:tr w:rsidR="008F4347" w:rsidRPr="003F2DB9" w14:paraId="51BBC6A1" w14:textId="77777777" w:rsidTr="00C76C0A">
        <w:trPr>
          <w:trHeight w:val="851"/>
        </w:trPr>
        <w:tc>
          <w:tcPr>
            <w:tcW w:w="7792" w:type="dxa"/>
            <w:vAlign w:val="center"/>
          </w:tcPr>
          <w:p w14:paraId="7CA25247" w14:textId="77777777" w:rsidR="00955339" w:rsidRPr="003F2DB9" w:rsidRDefault="00955339" w:rsidP="005E0367">
            <w:pPr>
              <w:rPr>
                <w:rFonts w:ascii="Times New Roman" w:hAnsi="Times New Roman" w:cs="Times New Roman"/>
                <w:sz w:val="20"/>
                <w:szCs w:val="20"/>
              </w:rPr>
            </w:pPr>
            <w:r w:rsidRPr="003F2DB9">
              <w:rPr>
                <w:rFonts w:ascii="Times New Roman" w:hAnsi="Times New Roman" w:cs="Times New Roman"/>
                <w:sz w:val="20"/>
                <w:szCs w:val="20"/>
              </w:rPr>
              <w:t>LEED labelled office properties in Sao Paulo yield a higher green premium than their peers from developed countries</w:t>
            </w:r>
          </w:p>
        </w:tc>
        <w:tc>
          <w:tcPr>
            <w:tcW w:w="1559" w:type="dxa"/>
            <w:vAlign w:val="center"/>
          </w:tcPr>
          <w:p w14:paraId="7A3B586A" w14:textId="704E9141" w:rsidR="00955339" w:rsidRPr="003F2DB9" w:rsidRDefault="00695A4A" w:rsidP="005E0367">
            <w:pPr>
              <w:jc w:val="center"/>
              <w:rPr>
                <w:rFonts w:ascii="Times New Roman" w:hAnsi="Times New Roman" w:cs="Times New Roman"/>
                <w:sz w:val="20"/>
                <w:szCs w:val="20"/>
              </w:rPr>
            </w:pPr>
            <w:r w:rsidRPr="003F2DB9">
              <w:rPr>
                <w:rFonts w:ascii="Times New Roman" w:hAnsi="Times New Roman" w:cs="Times New Roman"/>
                <w:sz w:val="20"/>
                <w:szCs w:val="20"/>
              </w:rPr>
              <w:t>[</w:t>
            </w:r>
            <w:r w:rsidR="00AA3E37" w:rsidRPr="003F2DB9">
              <w:rPr>
                <w:rFonts w:ascii="Times New Roman" w:hAnsi="Times New Roman" w:cs="Times New Roman"/>
                <w:sz w:val="20"/>
                <w:szCs w:val="20"/>
              </w:rPr>
              <w:t>60</w:t>
            </w:r>
            <w:r w:rsidRPr="003F2DB9">
              <w:rPr>
                <w:rFonts w:ascii="Times New Roman" w:hAnsi="Times New Roman" w:cs="Times New Roman"/>
                <w:sz w:val="20"/>
                <w:szCs w:val="20"/>
              </w:rPr>
              <w:t>]</w:t>
            </w:r>
          </w:p>
        </w:tc>
      </w:tr>
      <w:tr w:rsidR="008F4347" w:rsidRPr="003F2DB9" w14:paraId="42C089C0" w14:textId="77777777" w:rsidTr="00C76C0A">
        <w:trPr>
          <w:trHeight w:val="851"/>
        </w:trPr>
        <w:tc>
          <w:tcPr>
            <w:tcW w:w="7792" w:type="dxa"/>
            <w:vAlign w:val="center"/>
            <w:hideMark/>
          </w:tcPr>
          <w:p w14:paraId="520533FB" w14:textId="77777777" w:rsidR="00955339" w:rsidRPr="003F2DB9" w:rsidRDefault="00955339" w:rsidP="005E0367">
            <w:pPr>
              <w:rPr>
                <w:rFonts w:ascii="Times New Roman" w:hAnsi="Times New Roman" w:cs="Times New Roman"/>
                <w:sz w:val="20"/>
                <w:szCs w:val="20"/>
              </w:rPr>
            </w:pPr>
            <w:r w:rsidRPr="003F2DB9">
              <w:rPr>
                <w:rFonts w:ascii="Times New Roman" w:hAnsi="Times New Roman" w:cs="Times New Roman"/>
                <w:sz w:val="20"/>
                <w:szCs w:val="20"/>
              </w:rPr>
              <w:t>Tenants show a higher Willingness to Pay (WTP) for Green-certified buildings. An increase in the grade of certification did not necessarily leads to higher WTP</w:t>
            </w:r>
          </w:p>
        </w:tc>
        <w:tc>
          <w:tcPr>
            <w:tcW w:w="1559" w:type="dxa"/>
            <w:vAlign w:val="center"/>
            <w:hideMark/>
          </w:tcPr>
          <w:p w14:paraId="2CA7F721" w14:textId="11276F17" w:rsidR="00955339" w:rsidRPr="003F2DB9" w:rsidRDefault="00426076" w:rsidP="005E0367">
            <w:pPr>
              <w:jc w:val="center"/>
              <w:rPr>
                <w:rFonts w:ascii="Times New Roman" w:hAnsi="Times New Roman" w:cs="Times New Roman"/>
                <w:sz w:val="20"/>
                <w:szCs w:val="20"/>
              </w:rPr>
            </w:pPr>
            <w:r w:rsidRPr="003F2DB9">
              <w:rPr>
                <w:rFonts w:ascii="Times New Roman" w:hAnsi="Times New Roman" w:cs="Times New Roman"/>
                <w:sz w:val="20"/>
                <w:szCs w:val="20"/>
              </w:rPr>
              <w:t>[6</w:t>
            </w:r>
            <w:r w:rsidR="00AA3E37" w:rsidRPr="003F2DB9">
              <w:rPr>
                <w:rFonts w:ascii="Times New Roman" w:hAnsi="Times New Roman" w:cs="Times New Roman"/>
                <w:sz w:val="20"/>
                <w:szCs w:val="20"/>
              </w:rPr>
              <w:t>6</w:t>
            </w:r>
            <w:r w:rsidRPr="003F2DB9">
              <w:rPr>
                <w:rFonts w:ascii="Times New Roman" w:hAnsi="Times New Roman" w:cs="Times New Roman"/>
                <w:sz w:val="20"/>
                <w:szCs w:val="20"/>
              </w:rPr>
              <w:t>]</w:t>
            </w:r>
          </w:p>
        </w:tc>
      </w:tr>
      <w:tr w:rsidR="008F4347" w:rsidRPr="003F2DB9" w14:paraId="2905BB07" w14:textId="77777777" w:rsidTr="00C76C0A">
        <w:trPr>
          <w:trHeight w:val="851"/>
        </w:trPr>
        <w:tc>
          <w:tcPr>
            <w:tcW w:w="7792" w:type="dxa"/>
            <w:noWrap/>
            <w:vAlign w:val="center"/>
            <w:hideMark/>
          </w:tcPr>
          <w:p w14:paraId="0DA1B896" w14:textId="77777777" w:rsidR="00955339" w:rsidRPr="003F2DB9" w:rsidRDefault="00955339" w:rsidP="005E0367">
            <w:pPr>
              <w:rPr>
                <w:rFonts w:ascii="Times New Roman" w:hAnsi="Times New Roman" w:cs="Times New Roman"/>
                <w:sz w:val="20"/>
                <w:szCs w:val="20"/>
              </w:rPr>
            </w:pPr>
            <w:r w:rsidRPr="003F2DB9">
              <w:rPr>
                <w:rFonts w:ascii="Times New Roman" w:hAnsi="Times New Roman" w:cs="Times New Roman"/>
                <w:sz w:val="20"/>
                <w:szCs w:val="20"/>
              </w:rPr>
              <w:t>Buildings certified with HKBEAM, BEAM Plus, or LEED earn a rental premium of 10.9%.</w:t>
            </w:r>
          </w:p>
          <w:p w14:paraId="1032FC15" w14:textId="77777777" w:rsidR="00955339" w:rsidRPr="003F2DB9" w:rsidRDefault="00955339" w:rsidP="005E0367">
            <w:pPr>
              <w:rPr>
                <w:rFonts w:ascii="Times New Roman" w:hAnsi="Times New Roman" w:cs="Times New Roman"/>
                <w:sz w:val="20"/>
                <w:szCs w:val="20"/>
              </w:rPr>
            </w:pPr>
          </w:p>
        </w:tc>
        <w:tc>
          <w:tcPr>
            <w:tcW w:w="1559" w:type="dxa"/>
            <w:noWrap/>
            <w:vAlign w:val="center"/>
            <w:hideMark/>
          </w:tcPr>
          <w:p w14:paraId="0EFD5DD7" w14:textId="30DD7E3A" w:rsidR="00955339" w:rsidRPr="003F2DB9" w:rsidRDefault="00426076" w:rsidP="005E0367">
            <w:pPr>
              <w:jc w:val="center"/>
              <w:rPr>
                <w:rFonts w:ascii="Times New Roman" w:hAnsi="Times New Roman" w:cs="Times New Roman"/>
                <w:sz w:val="20"/>
                <w:szCs w:val="20"/>
              </w:rPr>
            </w:pPr>
            <w:r w:rsidRPr="003F2DB9">
              <w:rPr>
                <w:rFonts w:ascii="Times New Roman" w:hAnsi="Times New Roman" w:cs="Times New Roman"/>
                <w:sz w:val="20"/>
                <w:szCs w:val="20"/>
              </w:rPr>
              <w:t>[6</w:t>
            </w:r>
            <w:r w:rsidR="00AA3E37" w:rsidRPr="003F2DB9">
              <w:rPr>
                <w:rFonts w:ascii="Times New Roman" w:hAnsi="Times New Roman" w:cs="Times New Roman"/>
                <w:sz w:val="20"/>
                <w:szCs w:val="20"/>
              </w:rPr>
              <w:t>2</w:t>
            </w:r>
            <w:r w:rsidRPr="003F2DB9">
              <w:rPr>
                <w:rFonts w:ascii="Times New Roman" w:hAnsi="Times New Roman" w:cs="Times New Roman"/>
                <w:sz w:val="20"/>
                <w:szCs w:val="20"/>
              </w:rPr>
              <w:t>]</w:t>
            </w:r>
          </w:p>
        </w:tc>
      </w:tr>
      <w:tr w:rsidR="008F4347" w:rsidRPr="003F2DB9" w14:paraId="63139959" w14:textId="77777777" w:rsidTr="00C76C0A">
        <w:trPr>
          <w:trHeight w:val="851"/>
        </w:trPr>
        <w:tc>
          <w:tcPr>
            <w:tcW w:w="7792" w:type="dxa"/>
            <w:noWrap/>
            <w:vAlign w:val="center"/>
            <w:hideMark/>
          </w:tcPr>
          <w:p w14:paraId="345BBAC6" w14:textId="77777777" w:rsidR="00955339" w:rsidRPr="003F2DB9" w:rsidRDefault="00955339" w:rsidP="005E0367">
            <w:pPr>
              <w:rPr>
                <w:rFonts w:ascii="Times New Roman" w:hAnsi="Times New Roman" w:cs="Times New Roman"/>
                <w:sz w:val="20"/>
                <w:szCs w:val="20"/>
              </w:rPr>
            </w:pPr>
            <w:r w:rsidRPr="003F2DB9">
              <w:rPr>
                <w:rFonts w:ascii="Times New Roman" w:hAnsi="Times New Roman" w:cs="Times New Roman"/>
                <w:sz w:val="20"/>
                <w:szCs w:val="20"/>
              </w:rPr>
              <w:t>WTP premium for green office space is positively related to prior knowledge of green certification.</w:t>
            </w:r>
          </w:p>
        </w:tc>
        <w:tc>
          <w:tcPr>
            <w:tcW w:w="1559" w:type="dxa"/>
            <w:vAlign w:val="center"/>
          </w:tcPr>
          <w:p w14:paraId="3E1913A6" w14:textId="3C404BBD" w:rsidR="00955339" w:rsidRPr="003F2DB9" w:rsidRDefault="00426076" w:rsidP="005E0367">
            <w:pPr>
              <w:jc w:val="center"/>
              <w:rPr>
                <w:rFonts w:ascii="Times New Roman" w:hAnsi="Times New Roman" w:cs="Times New Roman"/>
                <w:sz w:val="20"/>
                <w:szCs w:val="20"/>
              </w:rPr>
            </w:pPr>
            <w:r w:rsidRPr="003F2DB9">
              <w:rPr>
                <w:rFonts w:ascii="Times New Roman" w:hAnsi="Times New Roman" w:cs="Times New Roman"/>
                <w:sz w:val="20"/>
                <w:szCs w:val="20"/>
              </w:rPr>
              <w:t>[6</w:t>
            </w:r>
            <w:r w:rsidR="00AA3E37" w:rsidRPr="003F2DB9">
              <w:rPr>
                <w:rFonts w:ascii="Times New Roman" w:hAnsi="Times New Roman" w:cs="Times New Roman"/>
                <w:sz w:val="20"/>
                <w:szCs w:val="20"/>
              </w:rPr>
              <w:t>7</w:t>
            </w:r>
            <w:r w:rsidRPr="003F2DB9">
              <w:rPr>
                <w:rFonts w:ascii="Times New Roman" w:hAnsi="Times New Roman" w:cs="Times New Roman"/>
                <w:sz w:val="20"/>
                <w:szCs w:val="20"/>
              </w:rPr>
              <w:t>]</w:t>
            </w:r>
          </w:p>
        </w:tc>
      </w:tr>
      <w:tr w:rsidR="00A87311" w:rsidRPr="003F2DB9" w14:paraId="498F7789" w14:textId="77777777" w:rsidTr="00C76C0A">
        <w:trPr>
          <w:trHeight w:val="851"/>
        </w:trPr>
        <w:tc>
          <w:tcPr>
            <w:tcW w:w="7792" w:type="dxa"/>
            <w:noWrap/>
            <w:vAlign w:val="center"/>
            <w:hideMark/>
          </w:tcPr>
          <w:p w14:paraId="0764D05B" w14:textId="77777777" w:rsidR="00723761" w:rsidRPr="003F2DB9" w:rsidRDefault="00723761" w:rsidP="005E0367">
            <w:pPr>
              <w:rPr>
                <w:rFonts w:ascii="Times New Roman" w:hAnsi="Times New Roman" w:cs="Times New Roman"/>
                <w:sz w:val="20"/>
                <w:szCs w:val="20"/>
              </w:rPr>
            </w:pPr>
            <w:r w:rsidRPr="003F2DB9">
              <w:rPr>
                <w:rFonts w:ascii="Times New Roman" w:hAnsi="Times New Roman" w:cs="Times New Roman"/>
                <w:sz w:val="20"/>
                <w:szCs w:val="20"/>
              </w:rPr>
              <w:t>LEED-certified buildings earn a premium of 19.5% in China while for Shanghai and Beijing are 25.5% and 20.8%, respectively.</w:t>
            </w:r>
          </w:p>
        </w:tc>
        <w:tc>
          <w:tcPr>
            <w:tcW w:w="1559" w:type="dxa"/>
            <w:vAlign w:val="center"/>
          </w:tcPr>
          <w:p w14:paraId="4199EFC0" w14:textId="09A6753E" w:rsidR="00723761" w:rsidRPr="003F2DB9" w:rsidRDefault="00426076" w:rsidP="005E0367">
            <w:pPr>
              <w:jc w:val="center"/>
              <w:rPr>
                <w:rFonts w:ascii="Times New Roman" w:hAnsi="Times New Roman" w:cs="Times New Roman"/>
                <w:sz w:val="20"/>
                <w:szCs w:val="20"/>
              </w:rPr>
            </w:pPr>
            <w:r w:rsidRPr="003F2DB9">
              <w:rPr>
                <w:rFonts w:ascii="Times New Roman" w:hAnsi="Times New Roman" w:cs="Times New Roman"/>
                <w:sz w:val="20"/>
                <w:szCs w:val="20"/>
              </w:rPr>
              <w:t>[6</w:t>
            </w:r>
            <w:r w:rsidR="00AA3E37" w:rsidRPr="003F2DB9">
              <w:rPr>
                <w:rFonts w:ascii="Times New Roman" w:hAnsi="Times New Roman" w:cs="Times New Roman"/>
                <w:sz w:val="20"/>
                <w:szCs w:val="20"/>
              </w:rPr>
              <w:t>3</w:t>
            </w:r>
            <w:r w:rsidRPr="003F2DB9">
              <w:rPr>
                <w:rFonts w:ascii="Times New Roman" w:hAnsi="Times New Roman" w:cs="Times New Roman"/>
                <w:sz w:val="20"/>
                <w:szCs w:val="20"/>
              </w:rPr>
              <w:t>]</w:t>
            </w:r>
          </w:p>
        </w:tc>
      </w:tr>
    </w:tbl>
    <w:p w14:paraId="16D00FEF" w14:textId="77777777" w:rsidR="00564F0F" w:rsidRPr="003F2DB9" w:rsidRDefault="00564F0F" w:rsidP="00D53F65">
      <w:pPr>
        <w:rPr>
          <w:rFonts w:ascii="Times New Roman" w:hAnsi="Times New Roman" w:cs="Times New Roman"/>
          <w:sz w:val="20"/>
          <w:szCs w:val="20"/>
        </w:rPr>
      </w:pPr>
    </w:p>
    <w:p w14:paraId="11B8120E" w14:textId="03139BF7" w:rsidR="00606748" w:rsidRPr="003F2DB9" w:rsidRDefault="00606748" w:rsidP="00606748">
      <w:pPr>
        <w:shd w:val="clear" w:color="auto" w:fill="FFFFFF"/>
        <w:spacing w:after="150" w:line="240" w:lineRule="auto"/>
        <w:rPr>
          <w:rFonts w:ascii="ITC Avant Garde Gothic" w:eastAsia="Times New Roman" w:hAnsi="ITC Avant Garde Gothic" w:cs="Times New Roman"/>
          <w:sz w:val="20"/>
          <w:szCs w:val="20"/>
          <w:highlight w:val="yellow"/>
        </w:rPr>
      </w:pPr>
      <w:r w:rsidRPr="003F2DB9">
        <w:rPr>
          <w:rFonts w:ascii="ITC Avant Garde Gothic" w:eastAsia="Times New Roman" w:hAnsi="ITC Avant Garde Gothic" w:cs="Times New Roman"/>
          <w:sz w:val="20"/>
          <w:szCs w:val="20"/>
          <w:highlight w:val="yellow"/>
        </w:rPr>
        <w:t>V</w:t>
      </w:r>
      <w:r w:rsidR="00A65A98" w:rsidRPr="003F2DB9">
        <w:rPr>
          <w:rFonts w:ascii="ITC Avant Garde Gothic" w:eastAsia="Times New Roman" w:hAnsi="ITC Avant Garde Gothic" w:cs="Times New Roman"/>
          <w:sz w:val="20"/>
          <w:szCs w:val="20"/>
          <w:highlight w:val="yellow"/>
        </w:rPr>
        <w:t>I</w:t>
      </w:r>
      <w:r w:rsidRPr="003F2DB9">
        <w:rPr>
          <w:rFonts w:ascii="ITC Avant Garde Gothic" w:eastAsia="Times New Roman" w:hAnsi="ITC Avant Garde Gothic" w:cs="Times New Roman"/>
          <w:sz w:val="20"/>
          <w:szCs w:val="20"/>
          <w:highlight w:val="yellow"/>
        </w:rPr>
        <w:t>. CONCLUSION</w:t>
      </w:r>
      <w:r w:rsidR="00F450C7" w:rsidRPr="003F2DB9">
        <w:rPr>
          <w:rFonts w:ascii="ITC Avant Garde Gothic" w:eastAsia="Times New Roman" w:hAnsi="ITC Avant Garde Gothic" w:cs="Times New Roman"/>
          <w:sz w:val="20"/>
          <w:szCs w:val="20"/>
          <w:highlight w:val="yellow"/>
        </w:rPr>
        <w:t xml:space="preserve"> &amp; RECOMMENDATIONS</w:t>
      </w:r>
    </w:p>
    <w:p w14:paraId="5E70788E" w14:textId="77777777" w:rsidR="00840C00" w:rsidRPr="003F2DB9" w:rsidRDefault="00840C00" w:rsidP="008014E5">
      <w:pPr>
        <w:shd w:val="clear" w:color="auto" w:fill="FFFFFF"/>
        <w:spacing w:after="150" w:line="240" w:lineRule="auto"/>
        <w:jc w:val="both"/>
        <w:rPr>
          <w:rFonts w:ascii="ITC Avant Garde Gothic" w:eastAsia="Times New Roman" w:hAnsi="ITC Avant Garde Gothic" w:cs="Times New Roman"/>
          <w:sz w:val="20"/>
          <w:szCs w:val="20"/>
          <w:highlight w:val="yellow"/>
        </w:rPr>
      </w:pPr>
      <w:r w:rsidRPr="003F2DB9">
        <w:rPr>
          <w:rFonts w:ascii="ITC Avant Garde Gothic" w:eastAsia="Times New Roman" w:hAnsi="ITC Avant Garde Gothic" w:cs="Times New Roman"/>
          <w:sz w:val="20"/>
          <w:szCs w:val="20"/>
          <w:highlight w:val="yellow"/>
        </w:rPr>
        <w:t>Investing in green accreditation requires developers to allocate funds to various construction and operational aspects, including IoT. This means that the total investment for a green-certified building is higher than that of a non-certified one. Therefore, it is crucial to assess the return on such additional investment. One immediate benefit that building owners receive is higher rent.</w:t>
      </w:r>
    </w:p>
    <w:p w14:paraId="01FE3172" w14:textId="7FCB7846" w:rsidR="00840C00" w:rsidRPr="003F2DB9" w:rsidRDefault="00840C00" w:rsidP="00AD321F">
      <w:pPr>
        <w:shd w:val="clear" w:color="auto" w:fill="FFFFFF"/>
        <w:spacing w:after="150" w:line="240" w:lineRule="auto"/>
        <w:jc w:val="both"/>
        <w:rPr>
          <w:rFonts w:ascii="ITC Avant Garde Gothic" w:eastAsia="Times New Roman" w:hAnsi="ITC Avant Garde Gothic" w:cs="Times New Roman"/>
          <w:sz w:val="20"/>
          <w:szCs w:val="20"/>
          <w:highlight w:val="yellow"/>
        </w:rPr>
      </w:pPr>
      <w:r w:rsidRPr="003F2DB9">
        <w:rPr>
          <w:rFonts w:ascii="ITC Avant Garde Gothic" w:eastAsia="Times New Roman" w:hAnsi="ITC Avant Garde Gothic" w:cs="Times New Roman"/>
          <w:sz w:val="20"/>
          <w:szCs w:val="20"/>
          <w:highlight w:val="yellow"/>
        </w:rPr>
        <w:lastRenderedPageBreak/>
        <w:t xml:space="preserve">To examine the impact of green certification on office rent, relevant literature was reviewed in this study. The key finding is that </w:t>
      </w:r>
      <w:r w:rsidR="00A3038C" w:rsidRPr="003F2DB9">
        <w:rPr>
          <w:rFonts w:ascii="ITC Avant Garde Gothic" w:eastAsia="Times New Roman" w:hAnsi="ITC Avant Garde Gothic" w:cs="Times New Roman"/>
          <w:sz w:val="20"/>
          <w:szCs w:val="20"/>
          <w:highlight w:val="yellow"/>
        </w:rPr>
        <w:t xml:space="preserve">buildings with </w:t>
      </w:r>
      <w:r w:rsidRPr="003F2DB9">
        <w:rPr>
          <w:rFonts w:ascii="ITC Avant Garde Gothic" w:eastAsia="Times New Roman" w:hAnsi="ITC Avant Garde Gothic" w:cs="Times New Roman"/>
          <w:sz w:val="20"/>
          <w:szCs w:val="20"/>
          <w:highlight w:val="yellow"/>
        </w:rPr>
        <w:t>green</w:t>
      </w:r>
      <w:r w:rsidR="00A3038C" w:rsidRPr="003F2DB9">
        <w:rPr>
          <w:rFonts w:ascii="ITC Avant Garde Gothic" w:eastAsia="Times New Roman" w:hAnsi="ITC Avant Garde Gothic" w:cs="Times New Roman"/>
          <w:sz w:val="20"/>
          <w:szCs w:val="20"/>
          <w:highlight w:val="yellow"/>
        </w:rPr>
        <w:t xml:space="preserve"> certifications</w:t>
      </w:r>
      <w:r w:rsidRPr="003F2DB9">
        <w:rPr>
          <w:rFonts w:ascii="ITC Avant Garde Gothic" w:eastAsia="Times New Roman" w:hAnsi="ITC Avant Garde Gothic" w:cs="Times New Roman"/>
          <w:sz w:val="20"/>
          <w:szCs w:val="20"/>
          <w:highlight w:val="yellow"/>
        </w:rPr>
        <w:t xml:space="preserve"> </w:t>
      </w:r>
      <w:r w:rsidR="00A3038C" w:rsidRPr="003F2DB9">
        <w:rPr>
          <w:rFonts w:ascii="ITC Avant Garde Gothic" w:eastAsia="Times New Roman" w:hAnsi="ITC Avant Garde Gothic" w:cs="Times New Roman"/>
          <w:sz w:val="20"/>
          <w:szCs w:val="20"/>
          <w:highlight w:val="yellow"/>
        </w:rPr>
        <w:t>generally earn</w:t>
      </w:r>
      <w:r w:rsidRPr="003F2DB9">
        <w:rPr>
          <w:rFonts w:ascii="ITC Avant Garde Gothic" w:eastAsia="Times New Roman" w:hAnsi="ITC Avant Garde Gothic" w:cs="Times New Roman"/>
          <w:sz w:val="20"/>
          <w:szCs w:val="20"/>
          <w:highlight w:val="yellow"/>
        </w:rPr>
        <w:t xml:space="preserve"> higher rent than non-certified ones. </w:t>
      </w:r>
      <w:r w:rsidR="00D755E4" w:rsidRPr="003F2DB9">
        <w:rPr>
          <w:rFonts w:ascii="ITC Avant Garde Gothic" w:eastAsia="Times New Roman" w:hAnsi="ITC Avant Garde Gothic" w:cs="Times New Roman"/>
          <w:sz w:val="20"/>
          <w:szCs w:val="20"/>
          <w:highlight w:val="yellow"/>
        </w:rPr>
        <w:t xml:space="preserve">Research conducted </w:t>
      </w:r>
      <w:r w:rsidR="00A3038C" w:rsidRPr="003F2DB9">
        <w:rPr>
          <w:rFonts w:ascii="ITC Avant Garde Gothic" w:eastAsia="Times New Roman" w:hAnsi="ITC Avant Garde Gothic" w:cs="Times New Roman"/>
          <w:sz w:val="20"/>
          <w:szCs w:val="20"/>
          <w:highlight w:val="yellow"/>
        </w:rPr>
        <w:t xml:space="preserve">across different regions of the globe, including the US, Europe, and other areas, from 2003 to 2021, </w:t>
      </w:r>
      <w:r w:rsidR="00D755E4" w:rsidRPr="003F2DB9">
        <w:rPr>
          <w:rFonts w:ascii="ITC Avant Garde Gothic" w:eastAsia="Times New Roman" w:hAnsi="ITC Avant Garde Gothic" w:cs="Times New Roman"/>
          <w:sz w:val="20"/>
          <w:szCs w:val="20"/>
          <w:highlight w:val="yellow"/>
        </w:rPr>
        <w:t>has</w:t>
      </w:r>
      <w:r w:rsidR="00A3038C" w:rsidRPr="003F2DB9">
        <w:rPr>
          <w:rFonts w:ascii="ITC Avant Garde Gothic" w:eastAsia="Times New Roman" w:hAnsi="ITC Avant Garde Gothic" w:cs="Times New Roman"/>
          <w:sz w:val="20"/>
          <w:szCs w:val="20"/>
          <w:highlight w:val="yellow"/>
        </w:rPr>
        <w:t xml:space="preserve"> substantiated an 85% green premium in the US, 81% in Europe, and 75% in other regions.</w:t>
      </w:r>
    </w:p>
    <w:p w14:paraId="702A57A8" w14:textId="155DE557" w:rsidR="00840C00" w:rsidRPr="003F2DB9" w:rsidRDefault="00840C00" w:rsidP="00EB79AD">
      <w:pPr>
        <w:shd w:val="clear" w:color="auto" w:fill="FFFFFF"/>
        <w:spacing w:after="150" w:line="240" w:lineRule="auto"/>
        <w:jc w:val="both"/>
        <w:rPr>
          <w:rFonts w:ascii="ITC Avant Garde Gothic" w:eastAsia="Times New Roman" w:hAnsi="ITC Avant Garde Gothic" w:cs="Times New Roman"/>
          <w:sz w:val="20"/>
          <w:szCs w:val="20"/>
          <w:highlight w:val="yellow"/>
        </w:rPr>
      </w:pPr>
      <w:r w:rsidRPr="003F2DB9">
        <w:rPr>
          <w:rFonts w:ascii="ITC Avant Garde Gothic" w:eastAsia="Times New Roman" w:hAnsi="ITC Avant Garde Gothic" w:cs="Times New Roman"/>
          <w:sz w:val="20"/>
          <w:szCs w:val="20"/>
          <w:highlight w:val="yellow"/>
        </w:rPr>
        <w:t xml:space="preserve">Studies have shown that the effect of green certification on rent can be enhanced if the building is marketed as green-certified </w:t>
      </w:r>
      <w:r w:rsidR="009A51B4" w:rsidRPr="003F2DB9">
        <w:rPr>
          <w:rFonts w:ascii="ITC Avant Garde Gothic" w:eastAsia="Times New Roman" w:hAnsi="ITC Avant Garde Gothic" w:cs="Times New Roman"/>
          <w:sz w:val="20"/>
          <w:szCs w:val="20"/>
          <w:highlight w:val="yellow"/>
        </w:rPr>
        <w:t>[42]</w:t>
      </w:r>
      <w:r w:rsidRPr="003F2DB9">
        <w:rPr>
          <w:rFonts w:ascii="ITC Avant Garde Gothic" w:eastAsia="Times New Roman" w:hAnsi="ITC Avant Garde Gothic" w:cs="Times New Roman"/>
          <w:sz w:val="20"/>
          <w:szCs w:val="20"/>
          <w:highlight w:val="yellow"/>
        </w:rPr>
        <w:t xml:space="preserve">. However, the green premium may vary across different markets </w:t>
      </w:r>
      <w:r w:rsidR="009A51B4" w:rsidRPr="003F2DB9">
        <w:rPr>
          <w:rFonts w:ascii="ITC Avant Garde Gothic" w:eastAsia="Times New Roman" w:hAnsi="ITC Avant Garde Gothic" w:cs="Times New Roman"/>
          <w:sz w:val="20"/>
          <w:szCs w:val="20"/>
          <w:highlight w:val="yellow"/>
        </w:rPr>
        <w:t xml:space="preserve">[46] </w:t>
      </w:r>
      <w:r w:rsidRPr="003F2DB9">
        <w:rPr>
          <w:rFonts w:ascii="ITC Avant Garde Gothic" w:eastAsia="Times New Roman" w:hAnsi="ITC Avant Garde Gothic" w:cs="Times New Roman"/>
          <w:sz w:val="20"/>
          <w:szCs w:val="20"/>
          <w:highlight w:val="yellow"/>
        </w:rPr>
        <w:t xml:space="preserve">and change over time, depending on the economic stability of the market. </w:t>
      </w:r>
      <w:r w:rsidR="00D755E4" w:rsidRPr="003F2DB9">
        <w:rPr>
          <w:rFonts w:ascii="ITC Avant Garde Gothic" w:eastAsia="Times New Roman" w:hAnsi="ITC Avant Garde Gothic" w:cs="Times New Roman"/>
          <w:sz w:val="20"/>
          <w:szCs w:val="20"/>
          <w:highlight w:val="yellow"/>
        </w:rPr>
        <w:t>Furthermore, it has been found that higher levels of green certification are associated with increased rental rates in comparison to lower levels, as demonstrated by research conducted by</w:t>
      </w:r>
      <w:r w:rsidR="00FE3BB7" w:rsidRPr="003F2DB9">
        <w:rPr>
          <w:rFonts w:ascii="ITC Avant Garde Gothic" w:eastAsia="Times New Roman" w:hAnsi="ITC Avant Garde Gothic" w:cs="Times New Roman"/>
          <w:sz w:val="20"/>
          <w:szCs w:val="20"/>
          <w:highlight w:val="yellow"/>
        </w:rPr>
        <w:t xml:space="preserve"> [5</w:t>
      </w:r>
      <w:r w:rsidR="00AA3E37" w:rsidRPr="003F2DB9">
        <w:rPr>
          <w:rFonts w:ascii="ITC Avant Garde Gothic" w:eastAsia="Times New Roman" w:hAnsi="ITC Avant Garde Gothic" w:cs="Times New Roman"/>
          <w:sz w:val="20"/>
          <w:szCs w:val="20"/>
          <w:highlight w:val="yellow"/>
        </w:rPr>
        <w:t>4</w:t>
      </w:r>
      <w:r w:rsidR="00FE3BB7" w:rsidRPr="003F2DB9">
        <w:rPr>
          <w:rFonts w:ascii="ITC Avant Garde Gothic" w:eastAsia="Times New Roman" w:hAnsi="ITC Avant Garde Gothic" w:cs="Times New Roman"/>
          <w:sz w:val="20"/>
          <w:szCs w:val="20"/>
          <w:highlight w:val="yellow"/>
        </w:rPr>
        <w:t>]</w:t>
      </w:r>
      <w:r w:rsidR="00D755E4" w:rsidRPr="003F2DB9">
        <w:rPr>
          <w:rFonts w:ascii="ITC Avant Garde Gothic" w:eastAsia="Times New Roman" w:hAnsi="ITC Avant Garde Gothic" w:cs="Times New Roman"/>
          <w:sz w:val="20"/>
          <w:szCs w:val="20"/>
          <w:highlight w:val="yellow"/>
        </w:rPr>
        <w:t>.</w:t>
      </w:r>
    </w:p>
    <w:p w14:paraId="656C95B4" w14:textId="20301AA4" w:rsidR="00606748" w:rsidRPr="003F2DB9" w:rsidRDefault="00840C00" w:rsidP="00606748">
      <w:pPr>
        <w:shd w:val="clear" w:color="auto" w:fill="FFFFFF"/>
        <w:spacing w:after="150" w:line="240" w:lineRule="auto"/>
        <w:jc w:val="both"/>
        <w:rPr>
          <w:rFonts w:ascii="ITC Avant Garde Gothic" w:eastAsia="Times New Roman" w:hAnsi="ITC Avant Garde Gothic" w:cs="Times New Roman"/>
          <w:sz w:val="20"/>
          <w:szCs w:val="20"/>
        </w:rPr>
      </w:pPr>
      <w:r w:rsidRPr="003F2DB9">
        <w:rPr>
          <w:rFonts w:ascii="ITC Avant Garde Gothic" w:eastAsia="Times New Roman" w:hAnsi="ITC Avant Garde Gothic" w:cs="Times New Roman"/>
          <w:sz w:val="20"/>
          <w:szCs w:val="20"/>
          <w:highlight w:val="yellow"/>
        </w:rPr>
        <w:t xml:space="preserve">However, some studies have produced contradictory findings since they only considered the existence of green certification and rental rates without accounting for the occupancy rate. </w:t>
      </w:r>
      <w:r w:rsidR="006368E1" w:rsidRPr="003F2DB9">
        <w:rPr>
          <w:rFonts w:ascii="ITC Avant Garde Gothic" w:eastAsia="Times New Roman" w:hAnsi="ITC Avant Garde Gothic" w:cs="Times New Roman"/>
          <w:sz w:val="20"/>
          <w:szCs w:val="20"/>
          <w:highlight w:val="yellow"/>
        </w:rPr>
        <w:t xml:space="preserve">The findings of </w:t>
      </w:r>
      <w:r w:rsidR="00FE3BB7" w:rsidRPr="003F2DB9">
        <w:rPr>
          <w:rFonts w:ascii="ITC Avant Garde Gothic" w:eastAsia="Times New Roman" w:hAnsi="ITC Avant Garde Gothic" w:cs="Times New Roman"/>
          <w:sz w:val="20"/>
          <w:szCs w:val="20"/>
          <w:highlight w:val="yellow"/>
        </w:rPr>
        <w:t xml:space="preserve">[36] </w:t>
      </w:r>
      <w:r w:rsidR="006368E1" w:rsidRPr="003F2DB9">
        <w:rPr>
          <w:rFonts w:ascii="ITC Avant Garde Gothic" w:eastAsia="Times New Roman" w:hAnsi="ITC Avant Garde Gothic" w:cs="Times New Roman"/>
          <w:sz w:val="20"/>
          <w:szCs w:val="20"/>
          <w:highlight w:val="yellow"/>
        </w:rPr>
        <w:t xml:space="preserve">also support the recommendation to assess rent in relation to the occupancy rate </w:t>
      </w:r>
      <w:r w:rsidRPr="003F2DB9">
        <w:rPr>
          <w:rFonts w:ascii="ITC Avant Garde Gothic" w:eastAsia="Times New Roman" w:hAnsi="ITC Avant Garde Gothic" w:cs="Times New Roman"/>
          <w:sz w:val="20"/>
          <w:szCs w:val="20"/>
          <w:highlight w:val="yellow"/>
        </w:rPr>
        <w:t xml:space="preserve">(i.e., relative rent = rent x occupancy rate). </w:t>
      </w:r>
      <w:r w:rsidR="00F450C7" w:rsidRPr="003F2DB9">
        <w:rPr>
          <w:rFonts w:ascii="ITC Avant Garde Gothic" w:eastAsia="Times New Roman" w:hAnsi="ITC Avant Garde Gothic" w:cs="Times New Roman"/>
          <w:sz w:val="20"/>
          <w:szCs w:val="20"/>
          <w:highlight w:val="yellow"/>
        </w:rPr>
        <w:t xml:space="preserve">In line with </w:t>
      </w:r>
      <w:proofErr w:type="gramStart"/>
      <w:r w:rsidR="00F450C7" w:rsidRPr="003F2DB9">
        <w:rPr>
          <w:rFonts w:ascii="ITC Avant Garde Gothic" w:eastAsia="Times New Roman" w:hAnsi="ITC Avant Garde Gothic" w:cs="Times New Roman"/>
          <w:sz w:val="20"/>
          <w:szCs w:val="20"/>
          <w:highlight w:val="yellow"/>
        </w:rPr>
        <w:t>the aforementioned, a</w:t>
      </w:r>
      <w:proofErr w:type="gramEnd"/>
      <w:r w:rsidR="00F450C7" w:rsidRPr="003F2DB9">
        <w:rPr>
          <w:rFonts w:ascii="ITC Avant Garde Gothic" w:eastAsia="Times New Roman" w:hAnsi="ITC Avant Garde Gothic" w:cs="Times New Roman"/>
          <w:sz w:val="20"/>
          <w:szCs w:val="20"/>
          <w:highlight w:val="yellow"/>
        </w:rPr>
        <w:t xml:space="preserve"> review study conducted by </w:t>
      </w:r>
      <w:r w:rsidR="00FE3BB7" w:rsidRPr="003F2DB9">
        <w:rPr>
          <w:rFonts w:ascii="ITC Avant Garde Gothic" w:eastAsia="Times New Roman" w:hAnsi="ITC Avant Garde Gothic" w:cs="Times New Roman"/>
          <w:sz w:val="20"/>
          <w:szCs w:val="20"/>
          <w:highlight w:val="yellow"/>
        </w:rPr>
        <w:t>[47]</w:t>
      </w:r>
      <w:r w:rsidR="00F450C7" w:rsidRPr="003F2DB9">
        <w:rPr>
          <w:rFonts w:ascii="ITC Avant Garde Gothic" w:eastAsia="Times New Roman" w:hAnsi="ITC Avant Garde Gothic" w:cs="Times New Roman"/>
          <w:sz w:val="20"/>
          <w:szCs w:val="20"/>
          <w:highlight w:val="yellow"/>
        </w:rPr>
        <w:t xml:space="preserve"> affirmed that research papers examining value indicators primarily prioritize rent, price, and occupancy rate. </w:t>
      </w:r>
      <w:r w:rsidRPr="003F2DB9">
        <w:rPr>
          <w:rFonts w:ascii="ITC Avant Garde Gothic" w:eastAsia="Times New Roman" w:hAnsi="ITC Avant Garde Gothic" w:cs="Times New Roman"/>
          <w:sz w:val="20"/>
          <w:szCs w:val="20"/>
          <w:highlight w:val="yellow"/>
        </w:rPr>
        <w:t>Thus,</w:t>
      </w:r>
      <w:r w:rsidR="00BE0218" w:rsidRPr="003F2DB9">
        <w:rPr>
          <w:rFonts w:ascii="ITC Avant Garde Gothic" w:eastAsia="Times New Roman" w:hAnsi="ITC Avant Garde Gothic" w:cs="Times New Roman"/>
          <w:sz w:val="20"/>
          <w:szCs w:val="20"/>
          <w:highlight w:val="yellow"/>
        </w:rPr>
        <w:t xml:space="preserve"> this study</w:t>
      </w:r>
      <w:r w:rsidRPr="003F2DB9">
        <w:rPr>
          <w:rFonts w:ascii="ITC Avant Garde Gothic" w:eastAsia="Times New Roman" w:hAnsi="ITC Avant Garde Gothic" w:cs="Times New Roman"/>
          <w:sz w:val="20"/>
          <w:szCs w:val="20"/>
          <w:highlight w:val="yellow"/>
        </w:rPr>
        <w:t xml:space="preserve"> suggest</w:t>
      </w:r>
      <w:r w:rsidR="00BE0218" w:rsidRPr="003F2DB9">
        <w:rPr>
          <w:rFonts w:ascii="ITC Avant Garde Gothic" w:eastAsia="Times New Roman" w:hAnsi="ITC Avant Garde Gothic" w:cs="Times New Roman"/>
          <w:sz w:val="20"/>
          <w:szCs w:val="20"/>
          <w:highlight w:val="yellow"/>
        </w:rPr>
        <w:t>s</w:t>
      </w:r>
      <w:r w:rsidRPr="003F2DB9">
        <w:rPr>
          <w:rFonts w:ascii="ITC Avant Garde Gothic" w:eastAsia="Times New Roman" w:hAnsi="ITC Avant Garde Gothic" w:cs="Times New Roman"/>
          <w:sz w:val="20"/>
          <w:szCs w:val="20"/>
          <w:highlight w:val="yellow"/>
        </w:rPr>
        <w:t xml:space="preserve"> that </w:t>
      </w:r>
      <w:r w:rsidR="007346D5" w:rsidRPr="003F2DB9">
        <w:rPr>
          <w:rFonts w:ascii="ITC Avant Garde Gothic" w:eastAsia="Times New Roman" w:hAnsi="ITC Avant Garde Gothic" w:cs="Times New Roman"/>
          <w:sz w:val="20"/>
          <w:szCs w:val="20"/>
          <w:highlight w:val="yellow"/>
        </w:rPr>
        <w:t>in future studies, relative rent be considered as an endogenous variable.</w:t>
      </w:r>
      <w:r w:rsidR="00B70E11" w:rsidRPr="003F2DB9">
        <w:rPr>
          <w:rFonts w:ascii="ITC Avant Garde Gothic" w:eastAsia="Times New Roman" w:hAnsi="ITC Avant Garde Gothic" w:cs="Times New Roman"/>
          <w:sz w:val="20"/>
          <w:szCs w:val="20"/>
          <w:highlight w:val="yellow"/>
        </w:rPr>
        <w:t xml:space="preserve"> </w:t>
      </w:r>
      <w:r w:rsidR="00F450C7" w:rsidRPr="003F2DB9">
        <w:rPr>
          <w:rFonts w:ascii="ITC Avant Garde Gothic" w:eastAsia="Times New Roman" w:hAnsi="ITC Avant Garde Gothic" w:cs="Times New Roman"/>
          <w:sz w:val="20"/>
          <w:szCs w:val="20"/>
          <w:highlight w:val="yellow"/>
        </w:rPr>
        <w:t>Furthermore, this study suggests that additional research should also focus on energy and sustainability to gain a deeper understanding of the relationship between green features, energy efficiency, rent, and property value.</w:t>
      </w:r>
    </w:p>
    <w:p w14:paraId="32A28383" w14:textId="77777777" w:rsidR="00F834D5" w:rsidRPr="003F2DB9" w:rsidRDefault="00F834D5" w:rsidP="00606748">
      <w:pPr>
        <w:shd w:val="clear" w:color="auto" w:fill="FFFFFF"/>
        <w:spacing w:after="150" w:line="240" w:lineRule="auto"/>
        <w:rPr>
          <w:rFonts w:ascii="Times New Roman" w:eastAsia="Times New Roman" w:hAnsi="Times New Roman" w:cs="Times New Roman"/>
          <w:sz w:val="20"/>
          <w:szCs w:val="20"/>
        </w:rPr>
      </w:pPr>
    </w:p>
    <w:p w14:paraId="376F6977" w14:textId="22BC735D" w:rsidR="006A3B7F" w:rsidRPr="003F2DB9" w:rsidRDefault="006A3B7F" w:rsidP="00606748">
      <w:pPr>
        <w:shd w:val="clear" w:color="auto" w:fill="FFFFFF"/>
        <w:spacing w:after="150" w:line="240" w:lineRule="auto"/>
        <w:rPr>
          <w:rFonts w:ascii="Times New Roman" w:eastAsia="Times New Roman" w:hAnsi="Times New Roman" w:cs="Times New Roman"/>
          <w:sz w:val="20"/>
          <w:szCs w:val="20"/>
        </w:rPr>
      </w:pPr>
      <w:r w:rsidRPr="003F2DB9">
        <w:rPr>
          <w:rFonts w:ascii="Times New Roman" w:eastAsia="Times New Roman" w:hAnsi="Times New Roman" w:cs="Times New Roman"/>
          <w:sz w:val="20"/>
          <w:szCs w:val="20"/>
        </w:rPr>
        <w:t>ACKNOWLEDGEMENT</w:t>
      </w:r>
    </w:p>
    <w:p w14:paraId="376F6979" w14:textId="408A58CA" w:rsidR="006A3B7F" w:rsidRPr="003F2DB9" w:rsidRDefault="00594746" w:rsidP="006A3B7F">
      <w:pPr>
        <w:shd w:val="clear" w:color="auto" w:fill="FFFFFF"/>
        <w:spacing w:after="150" w:line="240" w:lineRule="auto"/>
        <w:rPr>
          <w:rFonts w:ascii="Times New Roman" w:eastAsia="Times New Roman" w:hAnsi="Times New Roman" w:cs="Times New Roman"/>
          <w:sz w:val="20"/>
          <w:szCs w:val="20"/>
        </w:rPr>
      </w:pPr>
      <w:r w:rsidRPr="003F2DB9">
        <w:rPr>
          <w:rFonts w:ascii="Times New Roman" w:eastAsia="Times New Roman" w:hAnsi="Times New Roman" w:cs="Times New Roman"/>
          <w:sz w:val="20"/>
          <w:szCs w:val="20"/>
        </w:rPr>
        <w:t xml:space="preserve">The authors would also like to acknowledge Professor Bryan MacGregor and Dr. Rodney Ferdinands for </w:t>
      </w:r>
      <w:r w:rsidR="00420107" w:rsidRPr="003F2DB9">
        <w:rPr>
          <w:rFonts w:ascii="Times New Roman" w:eastAsia="Times New Roman" w:hAnsi="Times New Roman" w:cs="Times New Roman"/>
          <w:sz w:val="20"/>
          <w:szCs w:val="20"/>
        </w:rPr>
        <w:t>their content</w:t>
      </w:r>
      <w:r w:rsidRPr="003F2DB9">
        <w:rPr>
          <w:rFonts w:ascii="Times New Roman" w:eastAsia="Times New Roman" w:hAnsi="Times New Roman" w:cs="Times New Roman"/>
          <w:sz w:val="20"/>
          <w:szCs w:val="20"/>
        </w:rPr>
        <w:t xml:space="preserve"> and linguistic suggestions.</w:t>
      </w:r>
    </w:p>
    <w:p w14:paraId="5687B1CA" w14:textId="77777777" w:rsidR="002019A1" w:rsidRPr="003F2DB9" w:rsidRDefault="002019A1" w:rsidP="006A3B7F">
      <w:pPr>
        <w:shd w:val="clear" w:color="auto" w:fill="FFFFFF"/>
        <w:spacing w:after="150" w:line="240" w:lineRule="auto"/>
        <w:rPr>
          <w:rFonts w:ascii="Times New Roman" w:eastAsia="Times New Roman" w:hAnsi="Times New Roman" w:cs="Times New Roman"/>
          <w:sz w:val="20"/>
          <w:szCs w:val="20"/>
        </w:rPr>
      </w:pPr>
    </w:p>
    <w:p w14:paraId="4B70C1E3" w14:textId="77777777" w:rsidR="00E41622" w:rsidRPr="003F2DB9" w:rsidRDefault="006A3B7F" w:rsidP="00E41622">
      <w:pPr>
        <w:shd w:val="clear" w:color="auto" w:fill="FFFFFF"/>
        <w:spacing w:after="150" w:line="240" w:lineRule="auto"/>
        <w:rPr>
          <w:rFonts w:ascii="Times New Roman" w:eastAsia="Times New Roman" w:hAnsi="Times New Roman" w:cs="Times New Roman"/>
          <w:sz w:val="36"/>
          <w:szCs w:val="36"/>
        </w:rPr>
      </w:pPr>
      <w:r w:rsidRPr="003F2DB9">
        <w:rPr>
          <w:rFonts w:ascii="Times New Roman" w:eastAsia="Times New Roman" w:hAnsi="Times New Roman" w:cs="Times New Roman"/>
          <w:sz w:val="36"/>
          <w:szCs w:val="36"/>
          <w:highlight w:val="yellow"/>
        </w:rPr>
        <w:t>REFERENCES</w:t>
      </w:r>
    </w:p>
    <w:p w14:paraId="70C11E4A" w14:textId="085C15C1" w:rsidR="00285518" w:rsidRPr="003F2DB9" w:rsidRDefault="00285518" w:rsidP="005D7E33">
      <w:pPr>
        <w:pStyle w:val="ListParagraph"/>
        <w:numPr>
          <w:ilvl w:val="0"/>
          <w:numId w:val="10"/>
        </w:numPr>
        <w:shd w:val="clear" w:color="auto" w:fill="FFFFFF"/>
        <w:spacing w:after="150" w:line="240" w:lineRule="auto"/>
        <w:ind w:left="340"/>
        <w:contextualSpacing w:val="0"/>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 xml:space="preserve">Sharm El-Sheikh Climate Change Conference, </w:t>
      </w:r>
      <w:r w:rsidR="007109B5" w:rsidRPr="003F2DB9">
        <w:rPr>
          <w:rFonts w:ascii="Times New Roman" w:eastAsia="Times New Roman" w:hAnsi="Times New Roman" w:cs="Times New Roman"/>
          <w:sz w:val="16"/>
          <w:szCs w:val="16"/>
        </w:rPr>
        <w:t>https://unfccc.int/cop27#:~:text=UNFCCC%20Nav&amp;text=At%20the%20Sharm%20el%2DSheikh,Sharm%20el%2DSheikh%2C%20Egypt.</w:t>
      </w:r>
      <w:r w:rsidRPr="003F2DB9">
        <w:rPr>
          <w:rFonts w:ascii="Times New Roman" w:eastAsia="Times New Roman" w:hAnsi="Times New Roman" w:cs="Times New Roman"/>
          <w:sz w:val="16"/>
          <w:szCs w:val="16"/>
        </w:rPr>
        <w:t>, 2022.</w:t>
      </w:r>
    </w:p>
    <w:p w14:paraId="3BB3F3F2" w14:textId="4A92D49C" w:rsidR="00285518" w:rsidRPr="003F2DB9" w:rsidRDefault="00285518" w:rsidP="005D7E33">
      <w:pPr>
        <w:pStyle w:val="ListParagraph"/>
        <w:numPr>
          <w:ilvl w:val="0"/>
          <w:numId w:val="10"/>
        </w:numPr>
        <w:shd w:val="clear" w:color="auto" w:fill="FFFFFF"/>
        <w:spacing w:after="150" w:line="240" w:lineRule="auto"/>
        <w:ind w:left="340"/>
        <w:contextualSpacing w:val="0"/>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J. Yudelson, “The green building revolution”, Island Press, 20</w:t>
      </w:r>
      <w:r w:rsidR="00A963EE" w:rsidRPr="003F2DB9">
        <w:rPr>
          <w:rFonts w:ascii="Times New Roman" w:eastAsia="Times New Roman" w:hAnsi="Times New Roman" w:cs="Times New Roman"/>
          <w:sz w:val="16"/>
          <w:szCs w:val="16"/>
        </w:rPr>
        <w:t>0</w:t>
      </w:r>
      <w:r w:rsidR="00A64785" w:rsidRPr="003F2DB9">
        <w:rPr>
          <w:rFonts w:ascii="Times New Roman" w:eastAsia="Times New Roman" w:hAnsi="Times New Roman" w:cs="Times New Roman"/>
          <w:sz w:val="16"/>
          <w:szCs w:val="16"/>
        </w:rPr>
        <w:t>7</w:t>
      </w:r>
      <w:r w:rsidRPr="003F2DB9">
        <w:rPr>
          <w:rFonts w:ascii="Times New Roman" w:eastAsia="Times New Roman" w:hAnsi="Times New Roman" w:cs="Times New Roman"/>
          <w:sz w:val="16"/>
          <w:szCs w:val="16"/>
        </w:rPr>
        <w:t>.</w:t>
      </w:r>
    </w:p>
    <w:p w14:paraId="01A25685" w14:textId="4A6367AC" w:rsidR="00285518" w:rsidRPr="003F2DB9" w:rsidRDefault="00285518" w:rsidP="005D7E33">
      <w:pPr>
        <w:pStyle w:val="ListParagraph"/>
        <w:numPr>
          <w:ilvl w:val="0"/>
          <w:numId w:val="10"/>
        </w:numPr>
        <w:shd w:val="clear" w:color="auto" w:fill="FFFFFF"/>
        <w:spacing w:after="150" w:line="240" w:lineRule="auto"/>
        <w:ind w:left="340"/>
        <w:contextualSpacing w:val="0"/>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 xml:space="preserve">R. J. Cole, “Shared markets: coexisting building environmental assessment methods”, Building Research &amp; Information, </w:t>
      </w:r>
      <w:r w:rsidR="00C8705F" w:rsidRPr="003F2DB9">
        <w:rPr>
          <w:rFonts w:ascii="Times New Roman" w:eastAsia="Times New Roman" w:hAnsi="Times New Roman" w:cs="Times New Roman"/>
          <w:sz w:val="16"/>
          <w:szCs w:val="16"/>
        </w:rPr>
        <w:t xml:space="preserve">vol. </w:t>
      </w:r>
      <w:r w:rsidRPr="003F2DB9">
        <w:rPr>
          <w:rFonts w:ascii="Times New Roman" w:eastAsia="Times New Roman" w:hAnsi="Times New Roman" w:cs="Times New Roman"/>
          <w:sz w:val="16"/>
          <w:szCs w:val="16"/>
        </w:rPr>
        <w:t>34</w:t>
      </w:r>
      <w:r w:rsidR="00C8705F" w:rsidRPr="003F2DB9">
        <w:rPr>
          <w:rFonts w:ascii="Times New Roman" w:eastAsia="Times New Roman" w:hAnsi="Times New Roman" w:cs="Times New Roman"/>
          <w:sz w:val="16"/>
          <w:szCs w:val="16"/>
        </w:rPr>
        <w:t xml:space="preserve">, no. </w:t>
      </w:r>
      <w:r w:rsidRPr="003F2DB9">
        <w:rPr>
          <w:rFonts w:ascii="Times New Roman" w:eastAsia="Times New Roman" w:hAnsi="Times New Roman" w:cs="Times New Roman"/>
          <w:sz w:val="16"/>
          <w:szCs w:val="16"/>
        </w:rPr>
        <w:t>4, pp. 357-371, 2006.</w:t>
      </w:r>
      <w:r w:rsidR="00A64785" w:rsidRPr="003F2DB9">
        <w:rPr>
          <w:rFonts w:ascii="Times New Roman" w:eastAsia="Times New Roman" w:hAnsi="Times New Roman" w:cs="Times New Roman"/>
          <w:sz w:val="16"/>
          <w:szCs w:val="16"/>
        </w:rPr>
        <w:t xml:space="preserve"> https://doi.org/10.1080/09613210600724624</w:t>
      </w:r>
    </w:p>
    <w:p w14:paraId="4BDDEA5B" w14:textId="23F7B2EA" w:rsidR="00285518" w:rsidRPr="003F2DB9" w:rsidRDefault="00285518" w:rsidP="005D7E33">
      <w:pPr>
        <w:pStyle w:val="ListParagraph"/>
        <w:numPr>
          <w:ilvl w:val="0"/>
          <w:numId w:val="10"/>
        </w:numPr>
        <w:shd w:val="clear" w:color="auto" w:fill="FFFFFF"/>
        <w:spacing w:after="150" w:line="240" w:lineRule="auto"/>
        <w:ind w:left="340"/>
        <w:contextualSpacing w:val="0"/>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 xml:space="preserve">U. Berardi, “Clarifying the new interpretations of the concept of sustainable building”, Sustainable cities and society, </w:t>
      </w:r>
      <w:r w:rsidR="00C8705F" w:rsidRPr="003F2DB9">
        <w:rPr>
          <w:rFonts w:ascii="Times New Roman" w:eastAsia="Times New Roman" w:hAnsi="Times New Roman" w:cs="Times New Roman"/>
          <w:sz w:val="16"/>
          <w:szCs w:val="16"/>
        </w:rPr>
        <w:t xml:space="preserve">vol. </w:t>
      </w:r>
      <w:r w:rsidRPr="003F2DB9">
        <w:rPr>
          <w:rFonts w:ascii="Times New Roman" w:eastAsia="Times New Roman" w:hAnsi="Times New Roman" w:cs="Times New Roman"/>
          <w:sz w:val="16"/>
          <w:szCs w:val="16"/>
        </w:rPr>
        <w:t>8, pp. 72-78, 2013.</w:t>
      </w:r>
      <w:r w:rsidR="00A64785" w:rsidRPr="003F2DB9">
        <w:rPr>
          <w:rFonts w:ascii="Times New Roman" w:eastAsia="Times New Roman" w:hAnsi="Times New Roman" w:cs="Times New Roman"/>
          <w:sz w:val="16"/>
          <w:szCs w:val="16"/>
        </w:rPr>
        <w:t xml:space="preserve"> https://doi.org/10.1016/j.scs.2013.01.008</w:t>
      </w:r>
    </w:p>
    <w:p w14:paraId="1B748E30" w14:textId="0CEBF0CB" w:rsidR="00285518" w:rsidRPr="003F2DB9" w:rsidRDefault="00285518" w:rsidP="005D7E33">
      <w:pPr>
        <w:pStyle w:val="ListParagraph"/>
        <w:numPr>
          <w:ilvl w:val="0"/>
          <w:numId w:val="10"/>
        </w:numPr>
        <w:shd w:val="clear" w:color="auto" w:fill="FFFFFF"/>
        <w:spacing w:after="150" w:line="240" w:lineRule="auto"/>
        <w:ind w:left="340"/>
        <w:contextualSpacing w:val="0"/>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D.</w:t>
      </w:r>
      <w:r w:rsidR="00761DDC" w:rsidRPr="003F2DB9">
        <w:rPr>
          <w:rFonts w:ascii="Times New Roman" w:eastAsia="Times New Roman" w:hAnsi="Times New Roman" w:cs="Times New Roman"/>
          <w:sz w:val="16"/>
          <w:szCs w:val="16"/>
        </w:rPr>
        <w:t xml:space="preserve"> </w:t>
      </w:r>
      <w:r w:rsidRPr="003F2DB9">
        <w:rPr>
          <w:rFonts w:ascii="Times New Roman" w:eastAsia="Times New Roman" w:hAnsi="Times New Roman" w:cs="Times New Roman"/>
          <w:sz w:val="16"/>
          <w:szCs w:val="16"/>
        </w:rPr>
        <w:t xml:space="preserve">Doan, A. </w:t>
      </w:r>
      <w:proofErr w:type="spellStart"/>
      <w:r w:rsidRPr="003F2DB9">
        <w:rPr>
          <w:rFonts w:ascii="Times New Roman" w:eastAsia="Times New Roman" w:hAnsi="Times New Roman" w:cs="Times New Roman"/>
          <w:sz w:val="16"/>
          <w:szCs w:val="16"/>
        </w:rPr>
        <w:t>Ghaffarianhoseini</w:t>
      </w:r>
      <w:proofErr w:type="spellEnd"/>
      <w:r w:rsidRPr="003F2DB9">
        <w:rPr>
          <w:rFonts w:ascii="Times New Roman" w:eastAsia="Times New Roman" w:hAnsi="Times New Roman" w:cs="Times New Roman"/>
          <w:sz w:val="16"/>
          <w:szCs w:val="16"/>
        </w:rPr>
        <w:t>, N. Naismith, T. Zhang</w:t>
      </w:r>
      <w:r w:rsidR="00A64785" w:rsidRPr="003F2DB9">
        <w:rPr>
          <w:rFonts w:ascii="Times New Roman" w:eastAsia="Times New Roman" w:hAnsi="Times New Roman" w:cs="Times New Roman"/>
          <w:sz w:val="16"/>
          <w:szCs w:val="16"/>
        </w:rPr>
        <w:t>,</w:t>
      </w:r>
      <w:r w:rsidR="003F744F" w:rsidRPr="003F2DB9">
        <w:rPr>
          <w:rFonts w:ascii="Times New Roman" w:eastAsia="Times New Roman" w:hAnsi="Times New Roman" w:cs="Times New Roman"/>
          <w:sz w:val="16"/>
          <w:szCs w:val="16"/>
        </w:rPr>
        <w:t xml:space="preserve"> </w:t>
      </w:r>
      <w:r w:rsidRPr="003F2DB9">
        <w:rPr>
          <w:rFonts w:ascii="Times New Roman" w:eastAsia="Times New Roman" w:hAnsi="Times New Roman" w:cs="Times New Roman"/>
          <w:sz w:val="16"/>
          <w:szCs w:val="16"/>
        </w:rPr>
        <w:t xml:space="preserve">J. Tookey, “A critical comparison of green building rating systems”, Building and Environment, </w:t>
      </w:r>
      <w:r w:rsidR="00C8705F" w:rsidRPr="003F2DB9">
        <w:rPr>
          <w:rFonts w:ascii="Times New Roman" w:eastAsia="Times New Roman" w:hAnsi="Times New Roman" w:cs="Times New Roman"/>
          <w:sz w:val="16"/>
          <w:szCs w:val="16"/>
        </w:rPr>
        <w:t xml:space="preserve">vol. </w:t>
      </w:r>
      <w:r w:rsidRPr="003F2DB9">
        <w:rPr>
          <w:rFonts w:ascii="Times New Roman" w:eastAsia="Times New Roman" w:hAnsi="Times New Roman" w:cs="Times New Roman"/>
          <w:sz w:val="16"/>
          <w:szCs w:val="16"/>
        </w:rPr>
        <w:t>123, pp. 243-260, 2017.</w:t>
      </w:r>
      <w:r w:rsidR="00A64785" w:rsidRPr="003F2DB9">
        <w:rPr>
          <w:rFonts w:ascii="Times New Roman" w:eastAsia="Times New Roman" w:hAnsi="Times New Roman" w:cs="Times New Roman"/>
          <w:sz w:val="16"/>
          <w:szCs w:val="16"/>
        </w:rPr>
        <w:t xml:space="preserve"> https://doi.org/10.1016/j.buildenv.2017.07.007</w:t>
      </w:r>
    </w:p>
    <w:p w14:paraId="617F804E" w14:textId="2DA250A9" w:rsidR="00285518" w:rsidRPr="003F2DB9" w:rsidRDefault="6B79E008" w:rsidP="62723891">
      <w:pPr>
        <w:pStyle w:val="ListParagraph"/>
        <w:numPr>
          <w:ilvl w:val="0"/>
          <w:numId w:val="10"/>
        </w:numPr>
        <w:shd w:val="clear" w:color="auto" w:fill="FFFFFF" w:themeFill="background1"/>
        <w:spacing w:after="150" w:line="240" w:lineRule="auto"/>
        <w:ind w:left="340"/>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 xml:space="preserve">M. Boubekri, J. Lee, P. MacNaughton, M. Woo, L. Schuyler, B. </w:t>
      </w:r>
      <w:proofErr w:type="spellStart"/>
      <w:r w:rsidRPr="003F2DB9">
        <w:rPr>
          <w:rFonts w:ascii="Times New Roman" w:eastAsia="Times New Roman" w:hAnsi="Times New Roman" w:cs="Times New Roman"/>
          <w:sz w:val="16"/>
          <w:szCs w:val="16"/>
        </w:rPr>
        <w:t>Tinianov</w:t>
      </w:r>
      <w:proofErr w:type="spellEnd"/>
      <w:r w:rsidRPr="003F2DB9">
        <w:rPr>
          <w:rFonts w:ascii="Times New Roman" w:eastAsia="Times New Roman" w:hAnsi="Times New Roman" w:cs="Times New Roman"/>
          <w:sz w:val="16"/>
          <w:szCs w:val="16"/>
        </w:rPr>
        <w:t xml:space="preserve"> </w:t>
      </w:r>
      <w:r w:rsidR="72F58504" w:rsidRPr="003F2DB9">
        <w:rPr>
          <w:rFonts w:ascii="Times New Roman" w:eastAsia="Times New Roman" w:hAnsi="Times New Roman" w:cs="Times New Roman"/>
          <w:sz w:val="16"/>
          <w:szCs w:val="16"/>
        </w:rPr>
        <w:t>and</w:t>
      </w:r>
      <w:r w:rsidRPr="003F2DB9">
        <w:rPr>
          <w:rFonts w:ascii="Times New Roman" w:eastAsia="Times New Roman" w:hAnsi="Times New Roman" w:cs="Times New Roman"/>
          <w:sz w:val="16"/>
          <w:szCs w:val="16"/>
        </w:rPr>
        <w:t xml:space="preserve"> U. Satish, “The impact of optimized daylight and views on the sleep duration and cognitive performance of office workers”</w:t>
      </w:r>
      <w:r w:rsidR="00AA3F28" w:rsidRPr="003F2DB9">
        <w:rPr>
          <w:rFonts w:ascii="Times New Roman" w:eastAsia="Times New Roman" w:hAnsi="Times New Roman" w:cs="Times New Roman"/>
          <w:sz w:val="16"/>
          <w:szCs w:val="16"/>
        </w:rPr>
        <w:t>,</w:t>
      </w:r>
      <w:r w:rsidRPr="003F2DB9">
        <w:rPr>
          <w:rFonts w:ascii="Times New Roman" w:eastAsia="Times New Roman" w:hAnsi="Times New Roman" w:cs="Times New Roman"/>
          <w:sz w:val="16"/>
          <w:szCs w:val="16"/>
        </w:rPr>
        <w:t xml:space="preserve"> International journal of environmental research and public health, </w:t>
      </w:r>
      <w:r w:rsidR="72F58504" w:rsidRPr="003F2DB9">
        <w:rPr>
          <w:rFonts w:ascii="Times New Roman" w:eastAsia="Times New Roman" w:hAnsi="Times New Roman" w:cs="Times New Roman"/>
          <w:sz w:val="16"/>
          <w:szCs w:val="16"/>
        </w:rPr>
        <w:t xml:space="preserve">vol. </w:t>
      </w:r>
      <w:r w:rsidRPr="003F2DB9">
        <w:rPr>
          <w:rFonts w:ascii="Times New Roman" w:eastAsia="Times New Roman" w:hAnsi="Times New Roman" w:cs="Times New Roman"/>
          <w:sz w:val="16"/>
          <w:szCs w:val="16"/>
        </w:rPr>
        <w:t>17</w:t>
      </w:r>
      <w:r w:rsidR="72F58504" w:rsidRPr="003F2DB9">
        <w:rPr>
          <w:rFonts w:ascii="Times New Roman" w:eastAsia="Times New Roman" w:hAnsi="Times New Roman" w:cs="Times New Roman"/>
          <w:sz w:val="16"/>
          <w:szCs w:val="16"/>
        </w:rPr>
        <w:t xml:space="preserve">, no. </w:t>
      </w:r>
      <w:r w:rsidRPr="003F2DB9">
        <w:rPr>
          <w:rFonts w:ascii="Times New Roman" w:eastAsia="Times New Roman" w:hAnsi="Times New Roman" w:cs="Times New Roman"/>
          <w:sz w:val="16"/>
          <w:szCs w:val="16"/>
        </w:rPr>
        <w:t xml:space="preserve">9, </w:t>
      </w:r>
      <w:r w:rsidR="72F58504" w:rsidRPr="003F2DB9">
        <w:rPr>
          <w:rFonts w:ascii="Times New Roman" w:eastAsia="Times New Roman" w:hAnsi="Times New Roman" w:cs="Times New Roman"/>
          <w:sz w:val="16"/>
          <w:szCs w:val="16"/>
        </w:rPr>
        <w:t xml:space="preserve">pp. </w:t>
      </w:r>
      <w:r w:rsidRPr="003F2DB9">
        <w:rPr>
          <w:rFonts w:ascii="Times New Roman" w:eastAsia="Times New Roman" w:hAnsi="Times New Roman" w:cs="Times New Roman"/>
          <w:sz w:val="16"/>
          <w:szCs w:val="16"/>
        </w:rPr>
        <w:t>3219, 2020.</w:t>
      </w:r>
      <w:r w:rsidR="00A64785" w:rsidRPr="003F2DB9">
        <w:rPr>
          <w:rFonts w:ascii="Times New Roman" w:eastAsia="Times New Roman" w:hAnsi="Times New Roman" w:cs="Times New Roman"/>
          <w:sz w:val="16"/>
          <w:szCs w:val="16"/>
        </w:rPr>
        <w:t xml:space="preserve"> </w:t>
      </w:r>
      <w:hyperlink r:id="rId12" w:history="1">
        <w:r w:rsidR="00A64785" w:rsidRPr="003F2DB9">
          <w:rPr>
            <w:rStyle w:val="Hyperlink"/>
            <w:rFonts w:ascii="Times New Roman" w:eastAsia="Times New Roman" w:hAnsi="Times New Roman" w:cs="Times New Roman"/>
            <w:sz w:val="16"/>
            <w:szCs w:val="16"/>
          </w:rPr>
          <w:t>https://doi.org/10.3390/ijerph17093219</w:t>
        </w:r>
      </w:hyperlink>
    </w:p>
    <w:p w14:paraId="788329C3" w14:textId="77777777" w:rsidR="00A64785" w:rsidRPr="003F2DB9" w:rsidRDefault="00A64785" w:rsidP="00A64785">
      <w:pPr>
        <w:pStyle w:val="ListParagraph"/>
        <w:shd w:val="clear" w:color="auto" w:fill="FFFFFF" w:themeFill="background1"/>
        <w:spacing w:after="150" w:line="240" w:lineRule="auto"/>
        <w:ind w:left="340"/>
        <w:jc w:val="both"/>
        <w:rPr>
          <w:rFonts w:ascii="Times New Roman" w:eastAsia="Times New Roman" w:hAnsi="Times New Roman" w:cs="Times New Roman"/>
          <w:sz w:val="16"/>
          <w:szCs w:val="16"/>
        </w:rPr>
      </w:pPr>
    </w:p>
    <w:p w14:paraId="736A2B5E" w14:textId="310C0BA0" w:rsidR="00285518" w:rsidRPr="003F2DB9" w:rsidRDefault="00285518" w:rsidP="005D7E33">
      <w:pPr>
        <w:pStyle w:val="ListParagraph"/>
        <w:numPr>
          <w:ilvl w:val="0"/>
          <w:numId w:val="10"/>
        </w:numPr>
        <w:shd w:val="clear" w:color="auto" w:fill="FFFFFF"/>
        <w:spacing w:after="150" w:line="240" w:lineRule="auto"/>
        <w:ind w:left="340"/>
        <w:contextualSpacing w:val="0"/>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S. Bae, C. S. Martin</w:t>
      </w:r>
      <w:r w:rsidR="00761DDC" w:rsidRPr="003F2DB9">
        <w:rPr>
          <w:rFonts w:ascii="Times New Roman" w:eastAsia="Times New Roman" w:hAnsi="Times New Roman" w:cs="Times New Roman"/>
          <w:sz w:val="16"/>
          <w:szCs w:val="16"/>
        </w:rPr>
        <w:t xml:space="preserve"> and</w:t>
      </w:r>
      <w:r w:rsidRPr="003F2DB9">
        <w:rPr>
          <w:rFonts w:ascii="Times New Roman" w:eastAsia="Times New Roman" w:hAnsi="Times New Roman" w:cs="Times New Roman"/>
          <w:sz w:val="16"/>
          <w:szCs w:val="16"/>
        </w:rPr>
        <w:t xml:space="preserve"> A. O. </w:t>
      </w:r>
      <w:proofErr w:type="spellStart"/>
      <w:r w:rsidRPr="003F2DB9">
        <w:rPr>
          <w:rFonts w:ascii="Times New Roman" w:eastAsia="Times New Roman" w:hAnsi="Times New Roman" w:cs="Times New Roman"/>
          <w:sz w:val="16"/>
          <w:szCs w:val="16"/>
        </w:rPr>
        <w:t>Asojo</w:t>
      </w:r>
      <w:proofErr w:type="spellEnd"/>
      <w:r w:rsidRPr="003F2DB9">
        <w:rPr>
          <w:rFonts w:ascii="Times New Roman" w:eastAsia="Times New Roman" w:hAnsi="Times New Roman" w:cs="Times New Roman"/>
          <w:sz w:val="16"/>
          <w:szCs w:val="16"/>
        </w:rPr>
        <w:t>, “Higher education students’ indoor environmental quality satisfaction benchmark</w:t>
      </w:r>
      <w:r w:rsidR="007A3D31" w:rsidRPr="003F2DB9">
        <w:rPr>
          <w:rFonts w:ascii="Times New Roman" w:eastAsia="Times New Roman" w:hAnsi="Times New Roman" w:cs="Times New Roman"/>
          <w:sz w:val="16"/>
          <w:szCs w:val="16"/>
        </w:rPr>
        <w:t>”, Building</w:t>
      </w:r>
      <w:r w:rsidRPr="003F2DB9">
        <w:rPr>
          <w:rFonts w:ascii="Times New Roman" w:eastAsia="Times New Roman" w:hAnsi="Times New Roman" w:cs="Times New Roman"/>
          <w:sz w:val="16"/>
          <w:szCs w:val="16"/>
        </w:rPr>
        <w:t xml:space="preserve"> Research &amp; Information, </w:t>
      </w:r>
      <w:r w:rsidR="00761DDC" w:rsidRPr="003F2DB9">
        <w:rPr>
          <w:rFonts w:ascii="Times New Roman" w:eastAsia="Times New Roman" w:hAnsi="Times New Roman" w:cs="Times New Roman"/>
          <w:sz w:val="16"/>
          <w:szCs w:val="16"/>
        </w:rPr>
        <w:t xml:space="preserve">vol. </w:t>
      </w:r>
      <w:r w:rsidRPr="003F2DB9">
        <w:rPr>
          <w:rFonts w:ascii="Times New Roman" w:eastAsia="Times New Roman" w:hAnsi="Times New Roman" w:cs="Times New Roman"/>
          <w:sz w:val="16"/>
          <w:szCs w:val="16"/>
        </w:rPr>
        <w:t>49</w:t>
      </w:r>
      <w:r w:rsidR="00761DDC" w:rsidRPr="003F2DB9">
        <w:rPr>
          <w:rFonts w:ascii="Times New Roman" w:eastAsia="Times New Roman" w:hAnsi="Times New Roman" w:cs="Times New Roman"/>
          <w:sz w:val="16"/>
          <w:szCs w:val="16"/>
        </w:rPr>
        <w:t xml:space="preserve">, no. </w:t>
      </w:r>
      <w:r w:rsidRPr="003F2DB9">
        <w:rPr>
          <w:rFonts w:ascii="Times New Roman" w:eastAsia="Times New Roman" w:hAnsi="Times New Roman" w:cs="Times New Roman"/>
          <w:sz w:val="16"/>
          <w:szCs w:val="16"/>
        </w:rPr>
        <w:t>6, pp. 679-694, 2021.</w:t>
      </w:r>
      <w:r w:rsidR="00A64785" w:rsidRPr="003F2DB9">
        <w:rPr>
          <w:rFonts w:ascii="Times New Roman" w:eastAsia="Times New Roman" w:hAnsi="Times New Roman" w:cs="Times New Roman"/>
          <w:sz w:val="16"/>
          <w:szCs w:val="16"/>
        </w:rPr>
        <w:t xml:space="preserve"> https://doi.org/10.1080/09613218.2020.1813012</w:t>
      </w:r>
    </w:p>
    <w:p w14:paraId="4B0E98BA" w14:textId="246916B4" w:rsidR="00285518" w:rsidRPr="003F2DB9" w:rsidRDefault="00285518" w:rsidP="005D7E33">
      <w:pPr>
        <w:pStyle w:val="ListParagraph"/>
        <w:numPr>
          <w:ilvl w:val="0"/>
          <w:numId w:val="10"/>
        </w:numPr>
        <w:shd w:val="clear" w:color="auto" w:fill="FFFFFF"/>
        <w:spacing w:after="150" w:line="240" w:lineRule="auto"/>
        <w:ind w:left="340"/>
        <w:contextualSpacing w:val="0"/>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 xml:space="preserve">J. G. Cedeño-Laurent, A. Williams, P. MacNaughton, X. Cao, E. </w:t>
      </w:r>
      <w:proofErr w:type="spellStart"/>
      <w:r w:rsidRPr="003F2DB9">
        <w:rPr>
          <w:rFonts w:ascii="Times New Roman" w:eastAsia="Times New Roman" w:hAnsi="Times New Roman" w:cs="Times New Roman"/>
          <w:sz w:val="16"/>
          <w:szCs w:val="16"/>
        </w:rPr>
        <w:t>Eitland</w:t>
      </w:r>
      <w:proofErr w:type="spellEnd"/>
      <w:r w:rsidRPr="003F2DB9">
        <w:rPr>
          <w:rFonts w:ascii="Times New Roman" w:eastAsia="Times New Roman" w:hAnsi="Times New Roman" w:cs="Times New Roman"/>
          <w:sz w:val="16"/>
          <w:szCs w:val="16"/>
        </w:rPr>
        <w:t>, J. Spengler</w:t>
      </w:r>
      <w:r w:rsidR="000B0D19" w:rsidRPr="003F2DB9">
        <w:rPr>
          <w:rFonts w:ascii="Times New Roman" w:eastAsia="Times New Roman" w:hAnsi="Times New Roman" w:cs="Times New Roman"/>
          <w:sz w:val="16"/>
          <w:szCs w:val="16"/>
        </w:rPr>
        <w:t xml:space="preserve"> and</w:t>
      </w:r>
      <w:r w:rsidRPr="003F2DB9">
        <w:rPr>
          <w:rFonts w:ascii="Times New Roman" w:eastAsia="Times New Roman" w:hAnsi="Times New Roman" w:cs="Times New Roman"/>
          <w:sz w:val="16"/>
          <w:szCs w:val="16"/>
        </w:rPr>
        <w:t xml:space="preserve"> J. Allen, “Building evidence for health: green buildings, current science, and future challenges”</w:t>
      </w:r>
      <w:r w:rsidR="000B0D19" w:rsidRPr="003F2DB9">
        <w:rPr>
          <w:rFonts w:ascii="Times New Roman" w:eastAsia="Times New Roman" w:hAnsi="Times New Roman" w:cs="Times New Roman"/>
          <w:sz w:val="16"/>
          <w:szCs w:val="16"/>
        </w:rPr>
        <w:t>,</w:t>
      </w:r>
      <w:r w:rsidRPr="003F2DB9">
        <w:rPr>
          <w:rFonts w:ascii="Times New Roman" w:eastAsia="Times New Roman" w:hAnsi="Times New Roman" w:cs="Times New Roman"/>
          <w:sz w:val="16"/>
          <w:szCs w:val="16"/>
        </w:rPr>
        <w:t xml:space="preserve"> Annual review of public health, </w:t>
      </w:r>
      <w:r w:rsidR="000B0D19" w:rsidRPr="003F2DB9">
        <w:rPr>
          <w:rFonts w:ascii="Times New Roman" w:eastAsia="Times New Roman" w:hAnsi="Times New Roman" w:cs="Times New Roman"/>
          <w:sz w:val="16"/>
          <w:szCs w:val="16"/>
        </w:rPr>
        <w:t xml:space="preserve">vol. </w:t>
      </w:r>
      <w:r w:rsidRPr="003F2DB9">
        <w:rPr>
          <w:rFonts w:ascii="Times New Roman" w:eastAsia="Times New Roman" w:hAnsi="Times New Roman" w:cs="Times New Roman"/>
          <w:sz w:val="16"/>
          <w:szCs w:val="16"/>
        </w:rPr>
        <w:t>39, pp. 291-308, 2018.</w:t>
      </w:r>
      <w:r w:rsidR="00A64785" w:rsidRPr="003F2DB9">
        <w:rPr>
          <w:rFonts w:ascii="Times New Roman" w:eastAsia="Times New Roman" w:hAnsi="Times New Roman" w:cs="Times New Roman"/>
          <w:sz w:val="16"/>
          <w:szCs w:val="16"/>
        </w:rPr>
        <w:t xml:space="preserve"> https://doi.org/10.1146/annurev-publhealth-031816-044420</w:t>
      </w:r>
    </w:p>
    <w:p w14:paraId="0A0600D9" w14:textId="50A7F0C1" w:rsidR="00285518" w:rsidRPr="003F2DB9" w:rsidRDefault="00285518" w:rsidP="005D7E33">
      <w:pPr>
        <w:pStyle w:val="ListParagraph"/>
        <w:numPr>
          <w:ilvl w:val="0"/>
          <w:numId w:val="10"/>
        </w:numPr>
        <w:shd w:val="clear" w:color="auto" w:fill="FFFFFF"/>
        <w:spacing w:after="150" w:line="240" w:lineRule="auto"/>
        <w:ind w:left="340"/>
        <w:contextualSpacing w:val="0"/>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lastRenderedPageBreak/>
        <w:t>J. G</w:t>
      </w:r>
      <w:r w:rsidR="003363CA" w:rsidRPr="003F2DB9">
        <w:rPr>
          <w:rFonts w:ascii="Times New Roman" w:eastAsia="Times New Roman" w:hAnsi="Times New Roman" w:cs="Times New Roman"/>
          <w:sz w:val="16"/>
          <w:szCs w:val="16"/>
        </w:rPr>
        <w:t>.</w:t>
      </w:r>
      <w:r w:rsidRPr="003F2DB9">
        <w:rPr>
          <w:rFonts w:ascii="Times New Roman" w:eastAsia="Times New Roman" w:hAnsi="Times New Roman" w:cs="Times New Roman"/>
          <w:sz w:val="16"/>
          <w:szCs w:val="16"/>
        </w:rPr>
        <w:t xml:space="preserve"> Allen, P. MacNaughton, U. Satish, S. Santanam, J. Vallarino</w:t>
      </w:r>
      <w:r w:rsidR="003363CA" w:rsidRPr="003F2DB9">
        <w:rPr>
          <w:rFonts w:ascii="Times New Roman" w:eastAsia="Times New Roman" w:hAnsi="Times New Roman" w:cs="Times New Roman"/>
          <w:sz w:val="16"/>
          <w:szCs w:val="16"/>
        </w:rPr>
        <w:t xml:space="preserve"> and</w:t>
      </w:r>
      <w:r w:rsidRPr="003F2DB9">
        <w:rPr>
          <w:rFonts w:ascii="Times New Roman" w:eastAsia="Times New Roman" w:hAnsi="Times New Roman" w:cs="Times New Roman"/>
          <w:sz w:val="16"/>
          <w:szCs w:val="16"/>
        </w:rPr>
        <w:t xml:space="preserve"> J. D. Spengler, “Associations of cognitive function scores with carbon dioxide, ventilation, and volatile organic compound exposures in office workers: a controlled exposure study of green and conventional office environments”, Environmental health perspectives, </w:t>
      </w:r>
      <w:r w:rsidR="003363CA" w:rsidRPr="003F2DB9">
        <w:rPr>
          <w:rFonts w:ascii="Times New Roman" w:eastAsia="Times New Roman" w:hAnsi="Times New Roman" w:cs="Times New Roman"/>
          <w:sz w:val="16"/>
          <w:szCs w:val="16"/>
        </w:rPr>
        <w:t xml:space="preserve">vol. </w:t>
      </w:r>
      <w:r w:rsidRPr="003F2DB9">
        <w:rPr>
          <w:rFonts w:ascii="Times New Roman" w:eastAsia="Times New Roman" w:hAnsi="Times New Roman" w:cs="Times New Roman"/>
          <w:sz w:val="16"/>
          <w:szCs w:val="16"/>
        </w:rPr>
        <w:t>124</w:t>
      </w:r>
      <w:r w:rsidR="003363CA" w:rsidRPr="003F2DB9">
        <w:rPr>
          <w:rFonts w:ascii="Times New Roman" w:eastAsia="Times New Roman" w:hAnsi="Times New Roman" w:cs="Times New Roman"/>
          <w:sz w:val="16"/>
          <w:szCs w:val="16"/>
        </w:rPr>
        <w:t xml:space="preserve">, no. </w:t>
      </w:r>
      <w:r w:rsidRPr="003F2DB9">
        <w:rPr>
          <w:rFonts w:ascii="Times New Roman" w:eastAsia="Times New Roman" w:hAnsi="Times New Roman" w:cs="Times New Roman"/>
          <w:sz w:val="16"/>
          <w:szCs w:val="16"/>
        </w:rPr>
        <w:t>6, pp. 805-812, 2016.</w:t>
      </w:r>
      <w:r w:rsidR="00A64785" w:rsidRPr="003F2DB9">
        <w:rPr>
          <w:rFonts w:ascii="Times New Roman" w:eastAsia="Times New Roman" w:hAnsi="Times New Roman" w:cs="Times New Roman"/>
          <w:sz w:val="16"/>
          <w:szCs w:val="16"/>
        </w:rPr>
        <w:t xml:space="preserve"> https://doi.org/10.1289/ehp.1510037</w:t>
      </w:r>
    </w:p>
    <w:p w14:paraId="235B402D" w14:textId="01B466B9" w:rsidR="00285518" w:rsidRPr="003F2DB9" w:rsidRDefault="00285518" w:rsidP="005D7E33">
      <w:pPr>
        <w:pStyle w:val="ListParagraph"/>
        <w:numPr>
          <w:ilvl w:val="0"/>
          <w:numId w:val="10"/>
        </w:numPr>
        <w:shd w:val="clear" w:color="auto" w:fill="FFFFFF"/>
        <w:spacing w:after="150" w:line="240" w:lineRule="auto"/>
        <w:ind w:left="340"/>
        <w:contextualSpacing w:val="0"/>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Y. Li, Y. Rong, U. M. Ahmad, X. Wang, J. Zuo</w:t>
      </w:r>
      <w:r w:rsidR="003363CA" w:rsidRPr="003F2DB9">
        <w:rPr>
          <w:rFonts w:ascii="Times New Roman" w:eastAsia="Times New Roman" w:hAnsi="Times New Roman" w:cs="Times New Roman"/>
          <w:sz w:val="16"/>
          <w:szCs w:val="16"/>
        </w:rPr>
        <w:t xml:space="preserve"> and</w:t>
      </w:r>
      <w:r w:rsidRPr="003F2DB9">
        <w:rPr>
          <w:rFonts w:ascii="Times New Roman" w:eastAsia="Times New Roman" w:hAnsi="Times New Roman" w:cs="Times New Roman"/>
          <w:sz w:val="16"/>
          <w:szCs w:val="16"/>
        </w:rPr>
        <w:t xml:space="preserve"> G. Mao, “A comprehensive review on green buildings research: bibliometric analysis during 1998–2018”, Environmental Science and Pollution Research, </w:t>
      </w:r>
      <w:r w:rsidR="003363CA" w:rsidRPr="003F2DB9">
        <w:rPr>
          <w:rFonts w:ascii="Times New Roman" w:eastAsia="Times New Roman" w:hAnsi="Times New Roman" w:cs="Times New Roman"/>
          <w:sz w:val="16"/>
          <w:szCs w:val="16"/>
        </w:rPr>
        <w:t xml:space="preserve">vol. 28, no. 95-10718, pp. </w:t>
      </w:r>
      <w:r w:rsidRPr="003F2DB9">
        <w:rPr>
          <w:rFonts w:ascii="Times New Roman" w:eastAsia="Times New Roman" w:hAnsi="Times New Roman" w:cs="Times New Roman"/>
          <w:sz w:val="16"/>
          <w:szCs w:val="16"/>
        </w:rPr>
        <w:t>1-19, 2021.</w:t>
      </w:r>
      <w:r w:rsidR="00A64785" w:rsidRPr="003F2DB9">
        <w:rPr>
          <w:rFonts w:ascii="Times New Roman" w:eastAsia="Times New Roman" w:hAnsi="Times New Roman" w:cs="Times New Roman"/>
          <w:sz w:val="16"/>
          <w:szCs w:val="16"/>
        </w:rPr>
        <w:t xml:space="preserve"> https://doi.org/10.1007%2Fs11356-021-12739-7</w:t>
      </w:r>
    </w:p>
    <w:p w14:paraId="7EB9D2CA" w14:textId="77777777" w:rsidR="00285518" w:rsidRPr="003F2DB9" w:rsidRDefault="00285518" w:rsidP="005D7E33">
      <w:pPr>
        <w:pStyle w:val="ListParagraph"/>
        <w:numPr>
          <w:ilvl w:val="0"/>
          <w:numId w:val="10"/>
        </w:numPr>
        <w:shd w:val="clear" w:color="auto" w:fill="FFFFFF"/>
        <w:spacing w:after="150" w:line="240" w:lineRule="auto"/>
        <w:ind w:left="340"/>
        <w:contextualSpacing w:val="0"/>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USGBC, “LEED v4.1: Building design and construction”, Washington, DC: U.S. Green Building Council, 2021.</w:t>
      </w:r>
    </w:p>
    <w:p w14:paraId="39D8846C" w14:textId="6299F2F5" w:rsidR="00285518" w:rsidRPr="003F2DB9" w:rsidRDefault="00285518" w:rsidP="005D7E33">
      <w:pPr>
        <w:pStyle w:val="ListParagraph"/>
        <w:numPr>
          <w:ilvl w:val="0"/>
          <w:numId w:val="10"/>
        </w:numPr>
        <w:shd w:val="clear" w:color="auto" w:fill="FFFFFF"/>
        <w:spacing w:after="150" w:line="240" w:lineRule="auto"/>
        <w:ind w:left="340"/>
        <w:contextualSpacing w:val="0"/>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A. E. M. Taha</w:t>
      </w:r>
      <w:r w:rsidR="00A64785" w:rsidRPr="003F2DB9">
        <w:rPr>
          <w:rFonts w:ascii="Times New Roman" w:eastAsia="Times New Roman" w:hAnsi="Times New Roman" w:cs="Times New Roman"/>
          <w:sz w:val="16"/>
          <w:szCs w:val="16"/>
        </w:rPr>
        <w:t xml:space="preserve">, </w:t>
      </w:r>
      <w:r w:rsidRPr="003F2DB9">
        <w:rPr>
          <w:rFonts w:ascii="Times New Roman" w:eastAsia="Times New Roman" w:hAnsi="Times New Roman" w:cs="Times New Roman"/>
          <w:sz w:val="16"/>
          <w:szCs w:val="16"/>
        </w:rPr>
        <w:t xml:space="preserve">A. </w:t>
      </w:r>
      <w:proofErr w:type="spellStart"/>
      <w:r w:rsidRPr="003F2DB9">
        <w:rPr>
          <w:rFonts w:ascii="Times New Roman" w:eastAsia="Times New Roman" w:hAnsi="Times New Roman" w:cs="Times New Roman"/>
          <w:sz w:val="16"/>
          <w:szCs w:val="16"/>
        </w:rPr>
        <w:t>Elabd</w:t>
      </w:r>
      <w:proofErr w:type="spellEnd"/>
      <w:r w:rsidRPr="003F2DB9">
        <w:rPr>
          <w:rFonts w:ascii="Times New Roman" w:eastAsia="Times New Roman" w:hAnsi="Times New Roman" w:cs="Times New Roman"/>
          <w:sz w:val="16"/>
          <w:szCs w:val="16"/>
        </w:rPr>
        <w:t>, “IoT for certified sustainability in smart buildings”, IEEE Network, </w:t>
      </w:r>
      <w:r w:rsidR="00B30B9F" w:rsidRPr="003F2DB9">
        <w:rPr>
          <w:rFonts w:ascii="Times New Roman" w:eastAsia="Times New Roman" w:hAnsi="Times New Roman" w:cs="Times New Roman"/>
          <w:sz w:val="16"/>
          <w:szCs w:val="16"/>
        </w:rPr>
        <w:t xml:space="preserve">vol. </w:t>
      </w:r>
      <w:r w:rsidRPr="003F2DB9">
        <w:rPr>
          <w:rFonts w:ascii="Times New Roman" w:eastAsia="Times New Roman" w:hAnsi="Times New Roman" w:cs="Times New Roman"/>
          <w:sz w:val="16"/>
          <w:szCs w:val="16"/>
        </w:rPr>
        <w:t>35</w:t>
      </w:r>
      <w:r w:rsidR="00B30B9F" w:rsidRPr="003F2DB9">
        <w:rPr>
          <w:rFonts w:ascii="Times New Roman" w:eastAsia="Times New Roman" w:hAnsi="Times New Roman" w:cs="Times New Roman"/>
          <w:sz w:val="16"/>
          <w:szCs w:val="16"/>
        </w:rPr>
        <w:t xml:space="preserve">, no. </w:t>
      </w:r>
      <w:r w:rsidRPr="003F2DB9">
        <w:rPr>
          <w:rFonts w:ascii="Times New Roman" w:eastAsia="Times New Roman" w:hAnsi="Times New Roman" w:cs="Times New Roman"/>
          <w:sz w:val="16"/>
          <w:szCs w:val="16"/>
        </w:rPr>
        <w:t>4, pp. 241-247, 202</w:t>
      </w:r>
      <w:r w:rsidR="00B30B9F" w:rsidRPr="003F2DB9">
        <w:rPr>
          <w:rFonts w:ascii="Times New Roman" w:eastAsia="Times New Roman" w:hAnsi="Times New Roman" w:cs="Times New Roman"/>
          <w:sz w:val="16"/>
          <w:szCs w:val="16"/>
        </w:rPr>
        <w:t>1</w:t>
      </w:r>
      <w:r w:rsidRPr="003F2DB9">
        <w:rPr>
          <w:rFonts w:ascii="Times New Roman" w:eastAsia="Times New Roman" w:hAnsi="Times New Roman" w:cs="Times New Roman"/>
          <w:sz w:val="16"/>
          <w:szCs w:val="16"/>
        </w:rPr>
        <w:t>.</w:t>
      </w:r>
    </w:p>
    <w:p w14:paraId="425CF295" w14:textId="6C2BAFF1" w:rsidR="00285518" w:rsidRPr="003F2DB9" w:rsidRDefault="00285518" w:rsidP="005D7E33">
      <w:pPr>
        <w:pStyle w:val="ListParagraph"/>
        <w:numPr>
          <w:ilvl w:val="0"/>
          <w:numId w:val="10"/>
        </w:numPr>
        <w:tabs>
          <w:tab w:val="left" w:pos="0"/>
        </w:tabs>
        <w:ind w:left="426" w:hanging="426"/>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 xml:space="preserve">C. K. </w:t>
      </w:r>
      <w:proofErr w:type="spellStart"/>
      <w:r w:rsidRPr="003F2DB9">
        <w:rPr>
          <w:rFonts w:ascii="Times New Roman" w:eastAsia="Times New Roman" w:hAnsi="Times New Roman" w:cs="Times New Roman"/>
          <w:sz w:val="16"/>
          <w:szCs w:val="16"/>
        </w:rPr>
        <w:t>Metallidou</w:t>
      </w:r>
      <w:proofErr w:type="spellEnd"/>
      <w:r w:rsidRPr="003F2DB9">
        <w:rPr>
          <w:rFonts w:ascii="Times New Roman" w:eastAsia="Times New Roman" w:hAnsi="Times New Roman" w:cs="Times New Roman"/>
          <w:sz w:val="16"/>
          <w:szCs w:val="16"/>
        </w:rPr>
        <w:t xml:space="preserve">, K. E. </w:t>
      </w:r>
      <w:proofErr w:type="spellStart"/>
      <w:r w:rsidRPr="003F2DB9">
        <w:rPr>
          <w:rFonts w:ascii="Times New Roman" w:eastAsia="Times New Roman" w:hAnsi="Times New Roman" w:cs="Times New Roman"/>
          <w:sz w:val="16"/>
          <w:szCs w:val="16"/>
        </w:rPr>
        <w:t>Psannis</w:t>
      </w:r>
      <w:proofErr w:type="spellEnd"/>
      <w:r w:rsidR="00A64785" w:rsidRPr="003F2DB9">
        <w:rPr>
          <w:rFonts w:ascii="Times New Roman" w:eastAsia="Times New Roman" w:hAnsi="Times New Roman" w:cs="Times New Roman"/>
          <w:sz w:val="16"/>
          <w:szCs w:val="16"/>
        </w:rPr>
        <w:t xml:space="preserve">, </w:t>
      </w:r>
      <w:r w:rsidRPr="003F2DB9">
        <w:rPr>
          <w:rFonts w:ascii="Times New Roman" w:eastAsia="Times New Roman" w:hAnsi="Times New Roman" w:cs="Times New Roman"/>
          <w:sz w:val="16"/>
          <w:szCs w:val="16"/>
        </w:rPr>
        <w:t xml:space="preserve">E. A. </w:t>
      </w:r>
      <w:proofErr w:type="spellStart"/>
      <w:r w:rsidRPr="003F2DB9">
        <w:rPr>
          <w:rFonts w:ascii="Times New Roman" w:eastAsia="Times New Roman" w:hAnsi="Times New Roman" w:cs="Times New Roman"/>
          <w:sz w:val="16"/>
          <w:szCs w:val="16"/>
        </w:rPr>
        <w:t>Egyptiadou</w:t>
      </w:r>
      <w:proofErr w:type="spellEnd"/>
      <w:r w:rsidRPr="003F2DB9">
        <w:rPr>
          <w:rFonts w:ascii="Times New Roman" w:eastAsia="Times New Roman" w:hAnsi="Times New Roman" w:cs="Times New Roman"/>
          <w:sz w:val="16"/>
          <w:szCs w:val="16"/>
        </w:rPr>
        <w:t>, “Energy efficiency in smart buildings: IoT approaches</w:t>
      </w:r>
      <w:r w:rsidR="007A3D31" w:rsidRPr="003F2DB9">
        <w:rPr>
          <w:rFonts w:ascii="Times New Roman" w:eastAsia="Times New Roman" w:hAnsi="Times New Roman" w:cs="Times New Roman"/>
          <w:sz w:val="16"/>
          <w:szCs w:val="16"/>
        </w:rPr>
        <w:t>”, IEEE</w:t>
      </w:r>
      <w:r w:rsidRPr="003F2DB9">
        <w:rPr>
          <w:rFonts w:ascii="Times New Roman" w:eastAsia="Times New Roman" w:hAnsi="Times New Roman" w:cs="Times New Roman"/>
          <w:sz w:val="16"/>
          <w:szCs w:val="16"/>
        </w:rPr>
        <w:t xml:space="preserve"> Access, </w:t>
      </w:r>
      <w:r w:rsidR="00EB3870" w:rsidRPr="003F2DB9">
        <w:rPr>
          <w:rFonts w:ascii="Times New Roman" w:eastAsia="Times New Roman" w:hAnsi="Times New Roman" w:cs="Times New Roman"/>
          <w:sz w:val="16"/>
          <w:szCs w:val="16"/>
        </w:rPr>
        <w:t xml:space="preserve">vol. </w:t>
      </w:r>
      <w:r w:rsidRPr="003F2DB9">
        <w:rPr>
          <w:rFonts w:ascii="Times New Roman" w:eastAsia="Times New Roman" w:hAnsi="Times New Roman" w:cs="Times New Roman"/>
          <w:sz w:val="16"/>
          <w:szCs w:val="16"/>
        </w:rPr>
        <w:t xml:space="preserve">8, </w:t>
      </w:r>
      <w:r w:rsidR="00EB3870" w:rsidRPr="003F2DB9">
        <w:rPr>
          <w:rFonts w:ascii="Times New Roman" w:eastAsia="Times New Roman" w:hAnsi="Times New Roman" w:cs="Times New Roman"/>
          <w:sz w:val="16"/>
          <w:szCs w:val="16"/>
        </w:rPr>
        <w:t xml:space="preserve">pp. </w:t>
      </w:r>
      <w:r w:rsidRPr="003F2DB9">
        <w:rPr>
          <w:rFonts w:ascii="Times New Roman" w:eastAsia="Times New Roman" w:hAnsi="Times New Roman" w:cs="Times New Roman"/>
          <w:sz w:val="16"/>
          <w:szCs w:val="16"/>
        </w:rPr>
        <w:t>63679-63699, 2020.</w:t>
      </w:r>
    </w:p>
    <w:p w14:paraId="6309933B" w14:textId="77777777" w:rsidR="00A64785" w:rsidRPr="003F2DB9" w:rsidRDefault="00A64785" w:rsidP="00A64785">
      <w:pPr>
        <w:pStyle w:val="ListParagraph"/>
        <w:tabs>
          <w:tab w:val="left" w:pos="0"/>
        </w:tabs>
        <w:ind w:left="426"/>
        <w:jc w:val="both"/>
        <w:rPr>
          <w:rFonts w:ascii="Times New Roman" w:eastAsia="Times New Roman" w:hAnsi="Times New Roman" w:cs="Times New Roman"/>
          <w:sz w:val="16"/>
          <w:szCs w:val="16"/>
        </w:rPr>
      </w:pPr>
    </w:p>
    <w:p w14:paraId="02D325AF" w14:textId="6A476E18" w:rsidR="00285518" w:rsidRPr="003F2DB9"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C. Debrah, A.P</w:t>
      </w:r>
      <w:r w:rsidR="00EB3870" w:rsidRPr="003F2DB9">
        <w:rPr>
          <w:rFonts w:ascii="Times New Roman" w:eastAsia="Times New Roman" w:hAnsi="Times New Roman" w:cs="Times New Roman"/>
          <w:sz w:val="16"/>
          <w:szCs w:val="16"/>
        </w:rPr>
        <w:t>.</w:t>
      </w:r>
      <w:r w:rsidRPr="003F2DB9">
        <w:rPr>
          <w:rFonts w:ascii="Times New Roman" w:eastAsia="Times New Roman" w:hAnsi="Times New Roman" w:cs="Times New Roman"/>
          <w:sz w:val="16"/>
          <w:szCs w:val="16"/>
        </w:rPr>
        <w:t xml:space="preserve"> Chan</w:t>
      </w:r>
      <w:r w:rsidR="00A64785" w:rsidRPr="003F2DB9">
        <w:rPr>
          <w:rFonts w:ascii="Times New Roman" w:eastAsia="Times New Roman" w:hAnsi="Times New Roman" w:cs="Times New Roman"/>
          <w:sz w:val="16"/>
          <w:szCs w:val="16"/>
        </w:rPr>
        <w:t xml:space="preserve">, </w:t>
      </w:r>
      <w:r w:rsidRPr="003F2DB9">
        <w:rPr>
          <w:rFonts w:ascii="Times New Roman" w:eastAsia="Times New Roman" w:hAnsi="Times New Roman" w:cs="Times New Roman"/>
          <w:sz w:val="16"/>
          <w:szCs w:val="16"/>
        </w:rPr>
        <w:t xml:space="preserve">A. Darko, “Artificial intelligence in green building”, Automation in Construction, </w:t>
      </w:r>
      <w:r w:rsidR="00EB3870" w:rsidRPr="003F2DB9">
        <w:rPr>
          <w:rFonts w:ascii="Times New Roman" w:eastAsia="Times New Roman" w:hAnsi="Times New Roman" w:cs="Times New Roman"/>
          <w:sz w:val="16"/>
          <w:szCs w:val="16"/>
        </w:rPr>
        <w:t xml:space="preserve">vol. </w:t>
      </w:r>
      <w:r w:rsidRPr="003F2DB9">
        <w:rPr>
          <w:rFonts w:ascii="Times New Roman" w:eastAsia="Times New Roman" w:hAnsi="Times New Roman" w:cs="Times New Roman"/>
          <w:sz w:val="16"/>
          <w:szCs w:val="16"/>
        </w:rPr>
        <w:t xml:space="preserve">137, </w:t>
      </w:r>
      <w:r w:rsidR="00EB3870" w:rsidRPr="003F2DB9">
        <w:rPr>
          <w:rFonts w:ascii="Times New Roman" w:eastAsia="Times New Roman" w:hAnsi="Times New Roman" w:cs="Times New Roman"/>
          <w:sz w:val="16"/>
          <w:szCs w:val="16"/>
        </w:rPr>
        <w:t xml:space="preserve">no. </w:t>
      </w:r>
      <w:r w:rsidRPr="003F2DB9">
        <w:rPr>
          <w:rFonts w:ascii="Times New Roman" w:eastAsia="Times New Roman" w:hAnsi="Times New Roman" w:cs="Times New Roman"/>
          <w:sz w:val="16"/>
          <w:szCs w:val="16"/>
        </w:rPr>
        <w:t>104192,</w:t>
      </w:r>
      <w:r w:rsidR="00EB3870" w:rsidRPr="003F2DB9">
        <w:rPr>
          <w:rFonts w:ascii="Times New Roman" w:eastAsia="Times New Roman" w:hAnsi="Times New Roman" w:cs="Times New Roman"/>
          <w:sz w:val="16"/>
          <w:szCs w:val="16"/>
        </w:rPr>
        <w:t xml:space="preserve"> </w:t>
      </w:r>
      <w:r w:rsidRPr="003F2DB9">
        <w:rPr>
          <w:rFonts w:ascii="Times New Roman" w:eastAsia="Times New Roman" w:hAnsi="Times New Roman" w:cs="Times New Roman"/>
          <w:sz w:val="16"/>
          <w:szCs w:val="16"/>
        </w:rPr>
        <w:t>2022.</w:t>
      </w:r>
    </w:p>
    <w:p w14:paraId="79595F19" w14:textId="418CF739" w:rsidR="00285518" w:rsidRPr="003F2DB9" w:rsidRDefault="00285518" w:rsidP="005D7E33">
      <w:pPr>
        <w:pStyle w:val="ListParagraph"/>
        <w:numPr>
          <w:ilvl w:val="0"/>
          <w:numId w:val="10"/>
        </w:numPr>
        <w:shd w:val="clear" w:color="auto" w:fill="FFFFFF"/>
        <w:spacing w:before="240" w:after="150" w:line="240" w:lineRule="auto"/>
        <w:ind w:left="426" w:hanging="426"/>
        <w:contextualSpacing w:val="0"/>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 xml:space="preserve">O. I. Olanrewaju, W. I. </w:t>
      </w:r>
      <w:proofErr w:type="spellStart"/>
      <w:r w:rsidRPr="003F2DB9">
        <w:rPr>
          <w:rFonts w:ascii="Times New Roman" w:eastAsia="Times New Roman" w:hAnsi="Times New Roman" w:cs="Times New Roman"/>
          <w:sz w:val="16"/>
          <w:szCs w:val="16"/>
        </w:rPr>
        <w:t>Enegbuma</w:t>
      </w:r>
      <w:proofErr w:type="spellEnd"/>
      <w:r w:rsidRPr="003F2DB9">
        <w:rPr>
          <w:rFonts w:ascii="Times New Roman" w:eastAsia="Times New Roman" w:hAnsi="Times New Roman" w:cs="Times New Roman"/>
          <w:sz w:val="16"/>
          <w:szCs w:val="16"/>
        </w:rPr>
        <w:t>, M. Donn</w:t>
      </w:r>
      <w:r w:rsidR="00A64785" w:rsidRPr="003F2DB9">
        <w:rPr>
          <w:rFonts w:ascii="Times New Roman" w:eastAsia="Times New Roman" w:hAnsi="Times New Roman" w:cs="Times New Roman"/>
          <w:sz w:val="16"/>
          <w:szCs w:val="16"/>
        </w:rPr>
        <w:t xml:space="preserve">, </w:t>
      </w:r>
      <w:r w:rsidRPr="003F2DB9">
        <w:rPr>
          <w:rFonts w:ascii="Times New Roman" w:eastAsia="Times New Roman" w:hAnsi="Times New Roman" w:cs="Times New Roman"/>
          <w:sz w:val="16"/>
          <w:szCs w:val="16"/>
        </w:rPr>
        <w:t xml:space="preserve">N. Chileshe, “Building information modelling and green building certification systems: A systematic literature review and gap spotting”, Sustainable Cities and Society, </w:t>
      </w:r>
      <w:r w:rsidR="00555C0C" w:rsidRPr="003F2DB9">
        <w:rPr>
          <w:rFonts w:ascii="Times New Roman" w:eastAsia="Times New Roman" w:hAnsi="Times New Roman" w:cs="Times New Roman"/>
          <w:sz w:val="16"/>
          <w:szCs w:val="16"/>
        </w:rPr>
        <w:t xml:space="preserve">vol. </w:t>
      </w:r>
      <w:r w:rsidRPr="003F2DB9">
        <w:rPr>
          <w:rFonts w:ascii="Times New Roman" w:eastAsia="Times New Roman" w:hAnsi="Times New Roman" w:cs="Times New Roman"/>
          <w:sz w:val="16"/>
          <w:szCs w:val="16"/>
        </w:rPr>
        <w:t>103865, 2022.</w:t>
      </w:r>
    </w:p>
    <w:p w14:paraId="74A22895" w14:textId="088399E0" w:rsidR="00285518" w:rsidRPr="003F2DB9" w:rsidRDefault="00285518" w:rsidP="005D7E33">
      <w:pPr>
        <w:pStyle w:val="ListParagraph"/>
        <w:numPr>
          <w:ilvl w:val="0"/>
          <w:numId w:val="10"/>
        </w:numPr>
        <w:shd w:val="clear" w:color="auto" w:fill="FFFFFF"/>
        <w:spacing w:before="240" w:after="150" w:line="240" w:lineRule="auto"/>
        <w:ind w:left="426" w:hanging="426"/>
        <w:contextualSpacing w:val="0"/>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 xml:space="preserve">O. I. Olanrewaju, W. I. </w:t>
      </w:r>
      <w:proofErr w:type="spellStart"/>
      <w:r w:rsidRPr="003F2DB9">
        <w:rPr>
          <w:rFonts w:ascii="Times New Roman" w:eastAsia="Times New Roman" w:hAnsi="Times New Roman" w:cs="Times New Roman"/>
          <w:sz w:val="16"/>
          <w:szCs w:val="16"/>
        </w:rPr>
        <w:t>Enegbuma</w:t>
      </w:r>
      <w:proofErr w:type="spellEnd"/>
      <w:r w:rsidR="00A64785" w:rsidRPr="003F2DB9">
        <w:rPr>
          <w:rFonts w:ascii="Times New Roman" w:eastAsia="Times New Roman" w:hAnsi="Times New Roman" w:cs="Times New Roman"/>
          <w:sz w:val="16"/>
          <w:szCs w:val="16"/>
        </w:rPr>
        <w:t xml:space="preserve">, </w:t>
      </w:r>
      <w:r w:rsidRPr="003F2DB9">
        <w:rPr>
          <w:rFonts w:ascii="Times New Roman" w:eastAsia="Times New Roman" w:hAnsi="Times New Roman" w:cs="Times New Roman"/>
          <w:sz w:val="16"/>
          <w:szCs w:val="16"/>
        </w:rPr>
        <w:t>M. Donn, “Systematic Literature Review of Building Information Modelling and Green Building Certification Systems”, International Symposium on Automation and Robotics in Construction</w:t>
      </w:r>
      <w:r w:rsidR="00555C0C" w:rsidRPr="003F2DB9">
        <w:rPr>
          <w:rFonts w:ascii="Times New Roman" w:eastAsia="Times New Roman" w:hAnsi="Times New Roman" w:cs="Times New Roman"/>
          <w:sz w:val="16"/>
          <w:szCs w:val="16"/>
        </w:rPr>
        <w:t>,</w:t>
      </w:r>
      <w:r w:rsidRPr="003F2DB9">
        <w:rPr>
          <w:rFonts w:ascii="Times New Roman" w:eastAsia="Times New Roman" w:hAnsi="Times New Roman" w:cs="Times New Roman"/>
          <w:sz w:val="16"/>
          <w:szCs w:val="16"/>
        </w:rPr>
        <w:t xml:space="preserve"> </w:t>
      </w:r>
      <w:r w:rsidR="00554546" w:rsidRPr="003F2DB9">
        <w:rPr>
          <w:rFonts w:ascii="Times New Roman" w:eastAsia="Times New Roman" w:hAnsi="Times New Roman" w:cs="Times New Roman"/>
          <w:sz w:val="16"/>
          <w:szCs w:val="16"/>
        </w:rPr>
        <w:t>v</w:t>
      </w:r>
      <w:r w:rsidRPr="003F2DB9">
        <w:rPr>
          <w:rFonts w:ascii="Times New Roman" w:eastAsia="Times New Roman" w:hAnsi="Times New Roman" w:cs="Times New Roman"/>
          <w:sz w:val="16"/>
          <w:szCs w:val="16"/>
        </w:rPr>
        <w:t>ol. 39</w:t>
      </w:r>
      <w:r w:rsidR="00A51ECA" w:rsidRPr="003F2DB9">
        <w:rPr>
          <w:rFonts w:ascii="Times New Roman" w:eastAsia="Times New Roman" w:hAnsi="Times New Roman" w:cs="Times New Roman"/>
          <w:sz w:val="16"/>
          <w:szCs w:val="16"/>
        </w:rPr>
        <w:t>, 2022</w:t>
      </w:r>
      <w:r w:rsidRPr="003F2DB9">
        <w:rPr>
          <w:rFonts w:ascii="Times New Roman" w:eastAsia="Times New Roman" w:hAnsi="Times New Roman" w:cs="Times New Roman"/>
          <w:sz w:val="16"/>
          <w:szCs w:val="16"/>
        </w:rPr>
        <w:t>, pp. 167-174.</w:t>
      </w:r>
    </w:p>
    <w:p w14:paraId="0BFBDFA2" w14:textId="44E6E96B" w:rsidR="00285518" w:rsidRPr="003F2DB9" w:rsidRDefault="6B79E008" w:rsidP="62723891">
      <w:pPr>
        <w:pStyle w:val="ListParagraph"/>
        <w:numPr>
          <w:ilvl w:val="0"/>
          <w:numId w:val="10"/>
        </w:numPr>
        <w:shd w:val="clear" w:color="auto" w:fill="FFFFFF" w:themeFill="background1"/>
        <w:spacing w:after="150" w:line="240" w:lineRule="auto"/>
        <w:ind w:left="426" w:hanging="426"/>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 xml:space="preserve">R. </w:t>
      </w:r>
      <w:proofErr w:type="spellStart"/>
      <w:r w:rsidRPr="003F2DB9">
        <w:rPr>
          <w:rFonts w:ascii="Times New Roman" w:eastAsia="Times New Roman" w:hAnsi="Times New Roman" w:cs="Times New Roman"/>
          <w:sz w:val="16"/>
          <w:szCs w:val="16"/>
        </w:rPr>
        <w:t>Sukmadiansyah</w:t>
      </w:r>
      <w:proofErr w:type="spellEnd"/>
      <w:r w:rsidR="00A64785" w:rsidRPr="003F2DB9">
        <w:rPr>
          <w:rFonts w:ascii="Times New Roman" w:eastAsia="Times New Roman" w:hAnsi="Times New Roman" w:cs="Times New Roman"/>
          <w:sz w:val="16"/>
          <w:szCs w:val="16"/>
        </w:rPr>
        <w:t xml:space="preserve">, </w:t>
      </w:r>
      <w:r w:rsidRPr="003F2DB9">
        <w:rPr>
          <w:rFonts w:ascii="Times New Roman" w:eastAsia="Times New Roman" w:hAnsi="Times New Roman" w:cs="Times New Roman"/>
          <w:sz w:val="16"/>
          <w:szCs w:val="16"/>
        </w:rPr>
        <w:t xml:space="preserve">S. </w:t>
      </w:r>
      <w:proofErr w:type="spellStart"/>
      <w:r w:rsidRPr="003F2DB9">
        <w:rPr>
          <w:rFonts w:ascii="Times New Roman" w:eastAsia="Times New Roman" w:hAnsi="Times New Roman" w:cs="Times New Roman"/>
          <w:sz w:val="16"/>
          <w:szCs w:val="16"/>
        </w:rPr>
        <w:t>Noviaristanti</w:t>
      </w:r>
      <w:proofErr w:type="spellEnd"/>
      <w:r w:rsidRPr="003F2DB9">
        <w:rPr>
          <w:rFonts w:ascii="Times New Roman" w:eastAsia="Times New Roman" w:hAnsi="Times New Roman" w:cs="Times New Roman"/>
          <w:sz w:val="16"/>
          <w:szCs w:val="16"/>
        </w:rPr>
        <w:t>, “Digital Readiness Analysis in Bandung Government for Smart City Implementation</w:t>
      </w:r>
      <w:r w:rsidR="00AA3F28" w:rsidRPr="003F2DB9">
        <w:rPr>
          <w:rFonts w:ascii="Times New Roman" w:eastAsia="Times New Roman" w:hAnsi="Times New Roman" w:cs="Times New Roman"/>
          <w:sz w:val="16"/>
          <w:szCs w:val="16"/>
        </w:rPr>
        <w:t>”,</w:t>
      </w:r>
      <w:r w:rsidRPr="003F2DB9">
        <w:rPr>
          <w:rFonts w:ascii="Times New Roman" w:eastAsia="Times New Roman" w:hAnsi="Times New Roman" w:cs="Times New Roman"/>
          <w:sz w:val="16"/>
          <w:szCs w:val="16"/>
        </w:rPr>
        <w:t xml:space="preserve"> International Journal of Management, Finance and Accounting, </w:t>
      </w:r>
      <w:r w:rsidR="2E5ABDB3" w:rsidRPr="003F2DB9">
        <w:rPr>
          <w:rFonts w:ascii="Times New Roman" w:eastAsia="Times New Roman" w:hAnsi="Times New Roman" w:cs="Times New Roman"/>
          <w:sz w:val="16"/>
          <w:szCs w:val="16"/>
        </w:rPr>
        <w:t xml:space="preserve">vol. </w:t>
      </w:r>
      <w:r w:rsidRPr="003F2DB9">
        <w:rPr>
          <w:rFonts w:ascii="Times New Roman" w:eastAsia="Times New Roman" w:hAnsi="Times New Roman" w:cs="Times New Roman"/>
          <w:sz w:val="16"/>
          <w:szCs w:val="16"/>
        </w:rPr>
        <w:t>3</w:t>
      </w:r>
      <w:r w:rsidR="2E5ABDB3" w:rsidRPr="003F2DB9">
        <w:rPr>
          <w:rFonts w:ascii="Times New Roman" w:eastAsia="Times New Roman" w:hAnsi="Times New Roman" w:cs="Times New Roman"/>
          <w:sz w:val="16"/>
          <w:szCs w:val="16"/>
        </w:rPr>
        <w:t xml:space="preserve">, no. </w:t>
      </w:r>
      <w:r w:rsidRPr="003F2DB9">
        <w:rPr>
          <w:rFonts w:ascii="Times New Roman" w:eastAsia="Times New Roman" w:hAnsi="Times New Roman" w:cs="Times New Roman"/>
          <w:sz w:val="16"/>
          <w:szCs w:val="16"/>
        </w:rPr>
        <w:t>1, pp. 22-37, 2022.</w:t>
      </w:r>
      <w:r w:rsidR="00A64785" w:rsidRPr="003F2DB9">
        <w:rPr>
          <w:rFonts w:ascii="Times New Roman" w:eastAsia="Times New Roman" w:hAnsi="Times New Roman" w:cs="Times New Roman"/>
          <w:sz w:val="16"/>
          <w:szCs w:val="16"/>
        </w:rPr>
        <w:t xml:space="preserve"> https://doi.org/10.33093/ijomfa.3.1.2</w:t>
      </w:r>
    </w:p>
    <w:p w14:paraId="44881B88" w14:textId="77777777" w:rsidR="00A64785" w:rsidRPr="003F2DB9" w:rsidRDefault="00A64785" w:rsidP="00A64785">
      <w:pPr>
        <w:pStyle w:val="ListParagraph"/>
        <w:shd w:val="clear" w:color="auto" w:fill="FFFFFF" w:themeFill="background1"/>
        <w:spacing w:after="150" w:line="240" w:lineRule="auto"/>
        <w:ind w:left="426"/>
        <w:jc w:val="both"/>
        <w:rPr>
          <w:rFonts w:ascii="Times New Roman" w:eastAsia="Times New Roman" w:hAnsi="Times New Roman" w:cs="Times New Roman"/>
          <w:sz w:val="16"/>
          <w:szCs w:val="16"/>
        </w:rPr>
      </w:pPr>
    </w:p>
    <w:p w14:paraId="58BEF4EF" w14:textId="59435A9B" w:rsidR="00285518" w:rsidRPr="003F2DB9" w:rsidRDefault="6B79E008" w:rsidP="005D7E33">
      <w:pPr>
        <w:pStyle w:val="ListParagraph"/>
        <w:numPr>
          <w:ilvl w:val="0"/>
          <w:numId w:val="10"/>
        </w:numPr>
        <w:spacing w:before="240" w:line="240" w:lineRule="auto"/>
        <w:ind w:left="426" w:hanging="426"/>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 xml:space="preserve">S. Y. C. Hong, C. C. Kang, J. D. Tan, &amp; M. </w:t>
      </w:r>
      <w:proofErr w:type="spellStart"/>
      <w:r w:rsidRPr="003F2DB9">
        <w:rPr>
          <w:rFonts w:ascii="Times New Roman" w:eastAsia="Times New Roman" w:hAnsi="Times New Roman" w:cs="Times New Roman"/>
          <w:sz w:val="16"/>
          <w:szCs w:val="16"/>
        </w:rPr>
        <w:t>Ariannejad</w:t>
      </w:r>
      <w:proofErr w:type="spellEnd"/>
      <w:r w:rsidRPr="003F2DB9">
        <w:rPr>
          <w:rFonts w:ascii="Times New Roman" w:eastAsia="Times New Roman" w:hAnsi="Times New Roman" w:cs="Times New Roman"/>
          <w:sz w:val="16"/>
          <w:szCs w:val="16"/>
        </w:rPr>
        <w:t>, “Smart Parking System Using IoT Sensors</w:t>
      </w:r>
      <w:r w:rsidR="00AA3F28" w:rsidRPr="003F2DB9">
        <w:rPr>
          <w:rFonts w:ascii="Times New Roman" w:eastAsia="Times New Roman" w:hAnsi="Times New Roman" w:cs="Times New Roman"/>
          <w:sz w:val="16"/>
          <w:szCs w:val="16"/>
        </w:rPr>
        <w:t>”,</w:t>
      </w:r>
      <w:r w:rsidRPr="003F2DB9">
        <w:rPr>
          <w:rFonts w:ascii="Times New Roman" w:eastAsia="Times New Roman" w:hAnsi="Times New Roman" w:cs="Times New Roman"/>
          <w:sz w:val="16"/>
          <w:szCs w:val="16"/>
        </w:rPr>
        <w:t xml:space="preserve"> Journal of Engineering Technology and Applied Physics, </w:t>
      </w:r>
      <w:r w:rsidR="198A22C6" w:rsidRPr="003F2DB9">
        <w:rPr>
          <w:rFonts w:ascii="Times New Roman" w:eastAsia="Times New Roman" w:hAnsi="Times New Roman" w:cs="Times New Roman"/>
          <w:sz w:val="16"/>
          <w:szCs w:val="16"/>
        </w:rPr>
        <w:t xml:space="preserve">vol. </w:t>
      </w:r>
      <w:r w:rsidRPr="003F2DB9">
        <w:rPr>
          <w:rFonts w:ascii="Times New Roman" w:eastAsia="Times New Roman" w:hAnsi="Times New Roman" w:cs="Times New Roman"/>
          <w:sz w:val="16"/>
          <w:szCs w:val="16"/>
        </w:rPr>
        <w:t>5</w:t>
      </w:r>
      <w:r w:rsidR="198A22C6" w:rsidRPr="003F2DB9">
        <w:rPr>
          <w:rFonts w:ascii="Times New Roman" w:eastAsia="Times New Roman" w:hAnsi="Times New Roman" w:cs="Times New Roman"/>
          <w:sz w:val="16"/>
          <w:szCs w:val="16"/>
        </w:rPr>
        <w:t xml:space="preserve">. no. </w:t>
      </w:r>
      <w:r w:rsidRPr="003F2DB9">
        <w:rPr>
          <w:rFonts w:ascii="Times New Roman" w:eastAsia="Times New Roman" w:hAnsi="Times New Roman" w:cs="Times New Roman"/>
          <w:sz w:val="16"/>
          <w:szCs w:val="16"/>
        </w:rPr>
        <w:t>1, pp. 63-69, 2023</w:t>
      </w:r>
      <w:r w:rsidR="198A22C6" w:rsidRPr="003F2DB9">
        <w:rPr>
          <w:rFonts w:ascii="Times New Roman" w:eastAsia="Times New Roman" w:hAnsi="Times New Roman" w:cs="Times New Roman"/>
          <w:sz w:val="16"/>
          <w:szCs w:val="16"/>
        </w:rPr>
        <w:t>.</w:t>
      </w:r>
      <w:r w:rsidR="0027538D" w:rsidRPr="003F2DB9">
        <w:rPr>
          <w:rFonts w:ascii="Times New Roman" w:eastAsia="Times New Roman" w:hAnsi="Times New Roman" w:cs="Times New Roman"/>
          <w:sz w:val="16"/>
          <w:szCs w:val="16"/>
        </w:rPr>
        <w:t xml:space="preserve"> https://doi.org/10.33093/jetap.2023.5.1.7</w:t>
      </w:r>
    </w:p>
    <w:p w14:paraId="30C75FAC" w14:textId="77777777" w:rsidR="00285518" w:rsidRPr="003F2DB9" w:rsidRDefault="00285518" w:rsidP="005D7E33">
      <w:pPr>
        <w:pStyle w:val="ListParagraph"/>
        <w:spacing w:before="240" w:line="240" w:lineRule="auto"/>
        <w:ind w:left="426"/>
        <w:jc w:val="both"/>
        <w:rPr>
          <w:rFonts w:ascii="Times New Roman" w:eastAsia="Times New Roman" w:hAnsi="Times New Roman" w:cs="Times New Roman"/>
          <w:sz w:val="16"/>
          <w:szCs w:val="16"/>
        </w:rPr>
      </w:pPr>
    </w:p>
    <w:p w14:paraId="6BAE2412" w14:textId="4154ABF5" w:rsidR="00285518" w:rsidRPr="003F2DB9" w:rsidRDefault="00285518" w:rsidP="005D7E33">
      <w:pPr>
        <w:pStyle w:val="ListParagraph"/>
        <w:numPr>
          <w:ilvl w:val="0"/>
          <w:numId w:val="10"/>
        </w:numPr>
        <w:shd w:val="clear" w:color="auto" w:fill="FFFFFF"/>
        <w:spacing w:before="240" w:after="150" w:line="240" w:lineRule="auto"/>
        <w:ind w:left="426" w:hanging="426"/>
        <w:contextualSpacing w:val="0"/>
        <w:jc w:val="both"/>
        <w:rPr>
          <w:rFonts w:ascii="Times New Roman" w:eastAsia="Times New Roman" w:hAnsi="Times New Roman" w:cs="Times New Roman"/>
          <w:sz w:val="16"/>
          <w:szCs w:val="16"/>
          <w:lang w:val="it-IT"/>
        </w:rPr>
      </w:pPr>
      <w:r w:rsidRPr="003F2DB9">
        <w:rPr>
          <w:rFonts w:ascii="Times New Roman" w:eastAsia="Times New Roman" w:hAnsi="Times New Roman" w:cs="Times New Roman"/>
          <w:sz w:val="16"/>
          <w:szCs w:val="16"/>
          <w:lang w:val="it-IT"/>
        </w:rPr>
        <w:t xml:space="preserve">UN climate change conference, </w:t>
      </w:r>
      <w:r w:rsidR="0027538D" w:rsidRPr="003F2DB9">
        <w:rPr>
          <w:rFonts w:ascii="Times New Roman" w:eastAsia="Times New Roman" w:hAnsi="Times New Roman" w:cs="Times New Roman"/>
          <w:sz w:val="16"/>
          <w:szCs w:val="16"/>
          <w:lang w:val="it-IT"/>
        </w:rPr>
        <w:t xml:space="preserve">https://www.aegee.org/un-climate-change-conference-2021-cop26/, </w:t>
      </w:r>
      <w:r w:rsidRPr="003F2DB9">
        <w:rPr>
          <w:rFonts w:ascii="Times New Roman" w:eastAsia="Times New Roman" w:hAnsi="Times New Roman" w:cs="Times New Roman"/>
          <w:sz w:val="16"/>
          <w:szCs w:val="16"/>
          <w:lang w:val="it-IT"/>
        </w:rPr>
        <w:t>2021.</w:t>
      </w:r>
    </w:p>
    <w:p w14:paraId="12AAB789" w14:textId="26C97A85" w:rsidR="00285518" w:rsidRPr="003F2DB9"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T. Ahmad</w:t>
      </w:r>
      <w:r w:rsidR="00532F16" w:rsidRPr="003F2DB9">
        <w:rPr>
          <w:rFonts w:ascii="Times New Roman" w:eastAsia="Times New Roman" w:hAnsi="Times New Roman" w:cs="Times New Roman"/>
          <w:sz w:val="16"/>
          <w:szCs w:val="16"/>
        </w:rPr>
        <w:t xml:space="preserve"> and</w:t>
      </w:r>
      <w:r w:rsidRPr="003F2DB9">
        <w:rPr>
          <w:rFonts w:ascii="Times New Roman" w:eastAsia="Times New Roman" w:hAnsi="Times New Roman" w:cs="Times New Roman"/>
          <w:sz w:val="16"/>
          <w:szCs w:val="16"/>
        </w:rPr>
        <w:t xml:space="preserve"> D. Zhang, “A critical review of comparative global historical energy consumption and future demand: The story told so far”, Energy Reports, </w:t>
      </w:r>
      <w:r w:rsidR="00532F16" w:rsidRPr="003F2DB9">
        <w:rPr>
          <w:rFonts w:ascii="Times New Roman" w:eastAsia="Times New Roman" w:hAnsi="Times New Roman" w:cs="Times New Roman"/>
          <w:sz w:val="16"/>
          <w:szCs w:val="16"/>
        </w:rPr>
        <w:t xml:space="preserve">vol. </w:t>
      </w:r>
      <w:r w:rsidRPr="003F2DB9">
        <w:rPr>
          <w:rFonts w:ascii="Times New Roman" w:eastAsia="Times New Roman" w:hAnsi="Times New Roman" w:cs="Times New Roman"/>
          <w:sz w:val="16"/>
          <w:szCs w:val="16"/>
        </w:rPr>
        <w:t>6,</w:t>
      </w:r>
      <w:r w:rsidR="00532F16" w:rsidRPr="003F2DB9">
        <w:rPr>
          <w:rFonts w:ascii="Times New Roman" w:eastAsia="Times New Roman" w:hAnsi="Times New Roman" w:cs="Times New Roman"/>
          <w:sz w:val="16"/>
          <w:szCs w:val="16"/>
        </w:rPr>
        <w:t xml:space="preserve"> no.</w:t>
      </w:r>
      <w:r w:rsidR="00A51ECA" w:rsidRPr="003F2DB9">
        <w:rPr>
          <w:rFonts w:ascii="Times New Roman" w:eastAsia="Times New Roman" w:hAnsi="Times New Roman" w:cs="Times New Roman"/>
          <w:sz w:val="16"/>
          <w:szCs w:val="16"/>
        </w:rPr>
        <w:t xml:space="preserve"> </w:t>
      </w:r>
      <w:r w:rsidR="00532F16" w:rsidRPr="003F2DB9">
        <w:rPr>
          <w:rFonts w:ascii="Times New Roman" w:eastAsia="Times New Roman" w:hAnsi="Times New Roman" w:cs="Times New Roman"/>
          <w:sz w:val="16"/>
          <w:szCs w:val="16"/>
        </w:rPr>
        <w:t xml:space="preserve">52, pp. </w:t>
      </w:r>
      <w:r w:rsidRPr="003F2DB9">
        <w:rPr>
          <w:rFonts w:ascii="Times New Roman" w:eastAsia="Times New Roman" w:hAnsi="Times New Roman" w:cs="Times New Roman"/>
          <w:sz w:val="16"/>
          <w:szCs w:val="16"/>
        </w:rPr>
        <w:t>1973-1991, 2020</w:t>
      </w:r>
      <w:r w:rsidR="00532F16" w:rsidRPr="003F2DB9">
        <w:rPr>
          <w:rFonts w:ascii="Times New Roman" w:eastAsia="Times New Roman" w:hAnsi="Times New Roman" w:cs="Times New Roman"/>
          <w:sz w:val="16"/>
          <w:szCs w:val="16"/>
        </w:rPr>
        <w:t>.</w:t>
      </w:r>
      <w:r w:rsidR="0027538D" w:rsidRPr="003F2DB9">
        <w:rPr>
          <w:rFonts w:ascii="Times New Roman" w:eastAsia="Times New Roman" w:hAnsi="Times New Roman" w:cs="Times New Roman"/>
          <w:sz w:val="16"/>
          <w:szCs w:val="16"/>
        </w:rPr>
        <w:t xml:space="preserve"> https://doi.org/10.1016/j.egyr.2020.07.020</w:t>
      </w:r>
    </w:p>
    <w:p w14:paraId="3A4FB2F3" w14:textId="647F04FF" w:rsidR="00285518" w:rsidRPr="003F2DB9"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X.</w:t>
      </w:r>
      <w:r w:rsidR="00863B08" w:rsidRPr="003F2DB9">
        <w:rPr>
          <w:rFonts w:ascii="Times New Roman" w:eastAsia="Times New Roman" w:hAnsi="Times New Roman" w:cs="Times New Roman"/>
          <w:sz w:val="16"/>
          <w:szCs w:val="16"/>
        </w:rPr>
        <w:t xml:space="preserve"> </w:t>
      </w:r>
      <w:r w:rsidRPr="003F2DB9">
        <w:rPr>
          <w:rFonts w:ascii="Times New Roman" w:eastAsia="Times New Roman" w:hAnsi="Times New Roman" w:cs="Times New Roman"/>
          <w:sz w:val="16"/>
          <w:szCs w:val="16"/>
        </w:rPr>
        <w:t>L.</w:t>
      </w:r>
      <w:r w:rsidR="00863B08" w:rsidRPr="003F2DB9">
        <w:rPr>
          <w:rFonts w:ascii="Times New Roman" w:eastAsia="Times New Roman" w:hAnsi="Times New Roman" w:cs="Times New Roman"/>
          <w:sz w:val="16"/>
          <w:szCs w:val="16"/>
        </w:rPr>
        <w:t xml:space="preserve"> </w:t>
      </w:r>
      <w:r w:rsidRPr="003F2DB9">
        <w:rPr>
          <w:rFonts w:ascii="Times New Roman" w:eastAsia="Times New Roman" w:hAnsi="Times New Roman" w:cs="Times New Roman"/>
          <w:sz w:val="16"/>
          <w:szCs w:val="16"/>
        </w:rPr>
        <w:t>Yuan, X.</w:t>
      </w:r>
      <w:r w:rsidR="00863B08" w:rsidRPr="003F2DB9">
        <w:rPr>
          <w:rFonts w:ascii="Times New Roman" w:eastAsia="Times New Roman" w:hAnsi="Times New Roman" w:cs="Times New Roman"/>
          <w:sz w:val="16"/>
          <w:szCs w:val="16"/>
        </w:rPr>
        <w:t xml:space="preserve"> </w:t>
      </w:r>
      <w:r w:rsidRPr="003F2DB9">
        <w:rPr>
          <w:rFonts w:ascii="Times New Roman" w:eastAsia="Times New Roman" w:hAnsi="Times New Roman" w:cs="Times New Roman"/>
          <w:sz w:val="16"/>
          <w:szCs w:val="16"/>
        </w:rPr>
        <w:t>J. Wang</w:t>
      </w:r>
      <w:r w:rsidR="0027538D" w:rsidRPr="003F2DB9">
        <w:rPr>
          <w:rFonts w:ascii="Times New Roman" w:eastAsia="Times New Roman" w:hAnsi="Times New Roman" w:cs="Times New Roman"/>
          <w:sz w:val="16"/>
          <w:szCs w:val="16"/>
        </w:rPr>
        <w:t xml:space="preserve">, </w:t>
      </w:r>
      <w:r w:rsidRPr="003F2DB9">
        <w:rPr>
          <w:rFonts w:ascii="Times New Roman" w:eastAsia="Times New Roman" w:hAnsi="Times New Roman" w:cs="Times New Roman"/>
          <w:sz w:val="16"/>
          <w:szCs w:val="16"/>
        </w:rPr>
        <w:t>J. Zuo, “Renewable energy in buildings in China-a review”, Renew</w:t>
      </w:r>
      <w:r w:rsidR="00863B08" w:rsidRPr="003F2DB9">
        <w:rPr>
          <w:rFonts w:ascii="Times New Roman" w:eastAsia="Times New Roman" w:hAnsi="Times New Roman" w:cs="Times New Roman"/>
          <w:sz w:val="16"/>
          <w:szCs w:val="16"/>
        </w:rPr>
        <w:t>able and</w:t>
      </w:r>
      <w:r w:rsidRPr="003F2DB9">
        <w:rPr>
          <w:rFonts w:ascii="Times New Roman" w:eastAsia="Times New Roman" w:hAnsi="Times New Roman" w:cs="Times New Roman"/>
          <w:sz w:val="16"/>
          <w:szCs w:val="16"/>
        </w:rPr>
        <w:t xml:space="preserve"> Sust</w:t>
      </w:r>
      <w:r w:rsidR="00863B08" w:rsidRPr="003F2DB9">
        <w:rPr>
          <w:rFonts w:ascii="Times New Roman" w:eastAsia="Times New Roman" w:hAnsi="Times New Roman" w:cs="Times New Roman"/>
          <w:sz w:val="16"/>
          <w:szCs w:val="16"/>
        </w:rPr>
        <w:t>ainable</w:t>
      </w:r>
      <w:r w:rsidRPr="003F2DB9">
        <w:rPr>
          <w:rFonts w:ascii="Times New Roman" w:eastAsia="Times New Roman" w:hAnsi="Times New Roman" w:cs="Times New Roman"/>
          <w:sz w:val="16"/>
          <w:szCs w:val="16"/>
        </w:rPr>
        <w:t xml:space="preserve"> Energ</w:t>
      </w:r>
      <w:r w:rsidR="00532F16" w:rsidRPr="003F2DB9">
        <w:rPr>
          <w:rFonts w:ascii="Times New Roman" w:eastAsia="Times New Roman" w:hAnsi="Times New Roman" w:cs="Times New Roman"/>
          <w:sz w:val="16"/>
          <w:szCs w:val="16"/>
        </w:rPr>
        <w:t>y</w:t>
      </w:r>
      <w:r w:rsidR="00863B08" w:rsidRPr="003F2DB9">
        <w:rPr>
          <w:rFonts w:ascii="Times New Roman" w:eastAsia="Times New Roman" w:hAnsi="Times New Roman" w:cs="Times New Roman"/>
          <w:sz w:val="16"/>
          <w:szCs w:val="16"/>
        </w:rPr>
        <w:t xml:space="preserve"> </w:t>
      </w:r>
      <w:r w:rsidRPr="003F2DB9">
        <w:rPr>
          <w:rFonts w:ascii="Times New Roman" w:eastAsia="Times New Roman" w:hAnsi="Times New Roman" w:cs="Times New Roman"/>
          <w:sz w:val="16"/>
          <w:szCs w:val="16"/>
        </w:rPr>
        <w:t>Rev</w:t>
      </w:r>
      <w:r w:rsidR="00532F16" w:rsidRPr="003F2DB9">
        <w:rPr>
          <w:rFonts w:ascii="Times New Roman" w:eastAsia="Times New Roman" w:hAnsi="Times New Roman" w:cs="Times New Roman"/>
          <w:sz w:val="16"/>
          <w:szCs w:val="16"/>
        </w:rPr>
        <w:t>iews, vol.</w:t>
      </w:r>
      <w:r w:rsidRPr="003F2DB9">
        <w:rPr>
          <w:rFonts w:ascii="Times New Roman" w:eastAsia="Times New Roman" w:hAnsi="Times New Roman" w:cs="Times New Roman"/>
          <w:sz w:val="16"/>
          <w:szCs w:val="16"/>
        </w:rPr>
        <w:t xml:space="preserve"> 24</w:t>
      </w:r>
      <w:r w:rsidR="00532F16" w:rsidRPr="003F2DB9">
        <w:rPr>
          <w:rFonts w:ascii="Times New Roman" w:eastAsia="Times New Roman" w:hAnsi="Times New Roman" w:cs="Times New Roman"/>
          <w:sz w:val="16"/>
          <w:szCs w:val="16"/>
        </w:rPr>
        <w:t xml:space="preserve">, pp. </w:t>
      </w:r>
      <w:r w:rsidRPr="003F2DB9">
        <w:rPr>
          <w:rFonts w:ascii="Times New Roman" w:eastAsia="Times New Roman" w:hAnsi="Times New Roman" w:cs="Times New Roman"/>
          <w:sz w:val="16"/>
          <w:szCs w:val="16"/>
        </w:rPr>
        <w:t>1–8, 2013.</w:t>
      </w:r>
      <w:r w:rsidR="0027538D" w:rsidRPr="003F2DB9">
        <w:rPr>
          <w:rFonts w:ascii="Times New Roman" w:eastAsia="Times New Roman" w:hAnsi="Times New Roman" w:cs="Times New Roman"/>
          <w:sz w:val="16"/>
          <w:szCs w:val="16"/>
        </w:rPr>
        <w:t xml:space="preserve"> https://doi.org/10.1016/j.rser.2013.03.022</w:t>
      </w:r>
    </w:p>
    <w:p w14:paraId="1E90E640" w14:textId="77A979E9" w:rsidR="00285518" w:rsidRPr="003F2DB9"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D.</w:t>
      </w:r>
      <w:r w:rsidR="003F744F" w:rsidRPr="003F2DB9">
        <w:rPr>
          <w:rFonts w:ascii="Times New Roman" w:eastAsia="Times New Roman" w:hAnsi="Times New Roman" w:cs="Times New Roman"/>
          <w:sz w:val="16"/>
          <w:szCs w:val="16"/>
        </w:rPr>
        <w:t xml:space="preserve"> </w:t>
      </w:r>
      <w:r w:rsidRPr="003F2DB9">
        <w:rPr>
          <w:rFonts w:ascii="Times New Roman" w:eastAsia="Times New Roman" w:hAnsi="Times New Roman" w:cs="Times New Roman"/>
          <w:sz w:val="16"/>
          <w:szCs w:val="16"/>
        </w:rPr>
        <w:t>W. Kim, Y.</w:t>
      </w:r>
      <w:r w:rsidR="003F744F" w:rsidRPr="003F2DB9">
        <w:rPr>
          <w:rFonts w:ascii="Times New Roman" w:eastAsia="Times New Roman" w:hAnsi="Times New Roman" w:cs="Times New Roman"/>
          <w:sz w:val="16"/>
          <w:szCs w:val="16"/>
        </w:rPr>
        <w:t xml:space="preserve"> </w:t>
      </w:r>
      <w:r w:rsidRPr="003F2DB9">
        <w:rPr>
          <w:rFonts w:ascii="Times New Roman" w:eastAsia="Times New Roman" w:hAnsi="Times New Roman" w:cs="Times New Roman"/>
          <w:sz w:val="16"/>
          <w:szCs w:val="16"/>
        </w:rPr>
        <w:t>M. Kim, S.</w:t>
      </w:r>
      <w:r w:rsidR="003F744F" w:rsidRPr="003F2DB9">
        <w:rPr>
          <w:rFonts w:ascii="Times New Roman" w:eastAsia="Times New Roman" w:hAnsi="Times New Roman" w:cs="Times New Roman"/>
          <w:sz w:val="16"/>
          <w:szCs w:val="16"/>
        </w:rPr>
        <w:t xml:space="preserve"> </w:t>
      </w:r>
      <w:r w:rsidRPr="003F2DB9">
        <w:rPr>
          <w:rFonts w:ascii="Times New Roman" w:eastAsia="Times New Roman" w:hAnsi="Times New Roman" w:cs="Times New Roman"/>
          <w:sz w:val="16"/>
          <w:szCs w:val="16"/>
        </w:rPr>
        <w:t>E. Lee, “Development of an energy benchmarking database based on cost-effective energy performance indicators: Case study on public buildings in South Korea”, Energy</w:t>
      </w:r>
      <w:r w:rsidR="003444F0" w:rsidRPr="003F2DB9">
        <w:rPr>
          <w:rFonts w:ascii="Times New Roman" w:eastAsia="Times New Roman" w:hAnsi="Times New Roman" w:cs="Times New Roman"/>
          <w:sz w:val="16"/>
          <w:szCs w:val="16"/>
        </w:rPr>
        <w:t xml:space="preserve"> and</w:t>
      </w:r>
      <w:r w:rsidRPr="003F2DB9">
        <w:rPr>
          <w:rFonts w:ascii="Times New Roman" w:eastAsia="Times New Roman" w:hAnsi="Times New Roman" w:cs="Times New Roman"/>
          <w:sz w:val="16"/>
          <w:szCs w:val="16"/>
        </w:rPr>
        <w:t xml:space="preserve"> Build</w:t>
      </w:r>
      <w:r w:rsidR="003444F0" w:rsidRPr="003F2DB9">
        <w:rPr>
          <w:rFonts w:ascii="Times New Roman" w:eastAsia="Times New Roman" w:hAnsi="Times New Roman" w:cs="Times New Roman"/>
          <w:sz w:val="16"/>
          <w:szCs w:val="16"/>
        </w:rPr>
        <w:t>ings</w:t>
      </w:r>
      <w:r w:rsidRPr="003F2DB9">
        <w:rPr>
          <w:rFonts w:ascii="Times New Roman" w:eastAsia="Times New Roman" w:hAnsi="Times New Roman" w:cs="Times New Roman"/>
          <w:sz w:val="16"/>
          <w:szCs w:val="16"/>
        </w:rPr>
        <w:t xml:space="preserve">, </w:t>
      </w:r>
      <w:r w:rsidR="003444F0" w:rsidRPr="003F2DB9">
        <w:rPr>
          <w:rFonts w:ascii="Times New Roman" w:eastAsia="Times New Roman" w:hAnsi="Times New Roman" w:cs="Times New Roman"/>
          <w:sz w:val="16"/>
          <w:szCs w:val="16"/>
        </w:rPr>
        <w:t xml:space="preserve">vol. </w:t>
      </w:r>
      <w:r w:rsidRPr="003F2DB9">
        <w:rPr>
          <w:rFonts w:ascii="Times New Roman" w:eastAsia="Times New Roman" w:hAnsi="Times New Roman" w:cs="Times New Roman"/>
          <w:sz w:val="16"/>
          <w:szCs w:val="16"/>
        </w:rPr>
        <w:t>191, pp. 104–116, 2019</w:t>
      </w:r>
      <w:r w:rsidR="003444F0" w:rsidRPr="003F2DB9">
        <w:rPr>
          <w:rFonts w:ascii="Times New Roman" w:eastAsia="Times New Roman" w:hAnsi="Times New Roman" w:cs="Times New Roman"/>
          <w:sz w:val="16"/>
          <w:szCs w:val="16"/>
        </w:rPr>
        <w:t>.</w:t>
      </w:r>
    </w:p>
    <w:p w14:paraId="37DDF426" w14:textId="5AAA5333" w:rsidR="00285518" w:rsidRPr="003F2DB9"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W. Tushar, N. Wijerathne, W. T. Li, C. Yuen, H. V. Poor, T.</w:t>
      </w:r>
      <w:r w:rsidR="00F35120" w:rsidRPr="003F2DB9">
        <w:rPr>
          <w:rFonts w:ascii="Times New Roman" w:eastAsia="Times New Roman" w:hAnsi="Times New Roman" w:cs="Times New Roman"/>
          <w:sz w:val="16"/>
          <w:szCs w:val="16"/>
        </w:rPr>
        <w:t xml:space="preserve"> </w:t>
      </w:r>
      <w:r w:rsidRPr="003F2DB9">
        <w:rPr>
          <w:rFonts w:ascii="Times New Roman" w:eastAsia="Times New Roman" w:hAnsi="Times New Roman" w:cs="Times New Roman"/>
          <w:sz w:val="16"/>
          <w:szCs w:val="16"/>
        </w:rPr>
        <w:t>K. Saha</w:t>
      </w:r>
      <w:r w:rsidR="0027538D" w:rsidRPr="003F2DB9">
        <w:rPr>
          <w:rFonts w:ascii="Times New Roman" w:eastAsia="Times New Roman" w:hAnsi="Times New Roman" w:cs="Times New Roman"/>
          <w:sz w:val="16"/>
          <w:szCs w:val="16"/>
        </w:rPr>
        <w:t xml:space="preserve">, </w:t>
      </w:r>
      <w:r w:rsidRPr="003F2DB9">
        <w:rPr>
          <w:rFonts w:ascii="Times New Roman" w:eastAsia="Times New Roman" w:hAnsi="Times New Roman" w:cs="Times New Roman"/>
          <w:sz w:val="16"/>
          <w:szCs w:val="16"/>
        </w:rPr>
        <w:t>K. L.</w:t>
      </w:r>
      <w:r w:rsidR="00F35120" w:rsidRPr="003F2DB9">
        <w:rPr>
          <w:rFonts w:ascii="Times New Roman" w:eastAsia="Times New Roman" w:hAnsi="Times New Roman" w:cs="Times New Roman"/>
          <w:sz w:val="16"/>
          <w:szCs w:val="16"/>
        </w:rPr>
        <w:t xml:space="preserve"> </w:t>
      </w:r>
      <w:r w:rsidRPr="003F2DB9">
        <w:rPr>
          <w:rFonts w:ascii="Times New Roman" w:eastAsia="Times New Roman" w:hAnsi="Times New Roman" w:cs="Times New Roman"/>
          <w:sz w:val="16"/>
          <w:szCs w:val="16"/>
        </w:rPr>
        <w:t>Wood, “</w:t>
      </w:r>
      <w:proofErr w:type="spellStart"/>
      <w:r w:rsidRPr="003F2DB9">
        <w:rPr>
          <w:rFonts w:ascii="Times New Roman" w:eastAsia="Times New Roman" w:hAnsi="Times New Roman" w:cs="Times New Roman"/>
          <w:sz w:val="16"/>
          <w:szCs w:val="16"/>
        </w:rPr>
        <w:t>Iot</w:t>
      </w:r>
      <w:proofErr w:type="spellEnd"/>
      <w:r w:rsidRPr="003F2DB9">
        <w:rPr>
          <w:rFonts w:ascii="Times New Roman" w:eastAsia="Times New Roman" w:hAnsi="Times New Roman" w:cs="Times New Roman"/>
          <w:sz w:val="16"/>
          <w:szCs w:val="16"/>
        </w:rPr>
        <w:t xml:space="preserve"> for green building management”, </w:t>
      </w:r>
      <w:proofErr w:type="spellStart"/>
      <w:r w:rsidRPr="003F2DB9">
        <w:rPr>
          <w:rFonts w:ascii="Times New Roman" w:eastAsia="Times New Roman" w:hAnsi="Times New Roman" w:cs="Times New Roman"/>
          <w:sz w:val="16"/>
          <w:szCs w:val="16"/>
        </w:rPr>
        <w:t>arXiv</w:t>
      </w:r>
      <w:proofErr w:type="spellEnd"/>
      <w:r w:rsidRPr="003F2DB9">
        <w:rPr>
          <w:rFonts w:ascii="Times New Roman" w:eastAsia="Times New Roman" w:hAnsi="Times New Roman" w:cs="Times New Roman"/>
          <w:sz w:val="16"/>
          <w:szCs w:val="16"/>
        </w:rPr>
        <w:t xml:space="preserve"> preprint arXiv:1805.10635, 2018.</w:t>
      </w:r>
    </w:p>
    <w:p w14:paraId="58EC39E8" w14:textId="483728F1" w:rsidR="00285518" w:rsidRPr="003F2DB9" w:rsidRDefault="6B79E008" w:rsidP="0027538D">
      <w:pPr>
        <w:pStyle w:val="ListParagraph"/>
        <w:numPr>
          <w:ilvl w:val="0"/>
          <w:numId w:val="10"/>
        </w:numPr>
        <w:shd w:val="clear" w:color="auto" w:fill="FFFFFF" w:themeFill="background1"/>
        <w:spacing w:after="150" w:line="240" w:lineRule="auto"/>
        <w:ind w:left="426" w:hanging="426"/>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M. Maksimovic, “The role of green internet of things (G-IoT) and big data in making cities smarter, safer and more sustainable</w:t>
      </w:r>
      <w:r w:rsidR="00AA3F28" w:rsidRPr="003F2DB9">
        <w:rPr>
          <w:rFonts w:ascii="Times New Roman" w:eastAsia="Times New Roman" w:hAnsi="Times New Roman" w:cs="Times New Roman"/>
          <w:sz w:val="16"/>
          <w:szCs w:val="16"/>
        </w:rPr>
        <w:t>”,</w:t>
      </w:r>
      <w:r w:rsidRPr="003F2DB9">
        <w:rPr>
          <w:rFonts w:ascii="Times New Roman" w:eastAsia="Times New Roman" w:hAnsi="Times New Roman" w:cs="Times New Roman"/>
          <w:sz w:val="16"/>
          <w:szCs w:val="16"/>
        </w:rPr>
        <w:t xml:space="preserve"> International Journal of Computing and Digital Systems, </w:t>
      </w:r>
      <w:r w:rsidR="4898BAB5" w:rsidRPr="003F2DB9">
        <w:rPr>
          <w:rFonts w:ascii="Times New Roman" w:eastAsia="Times New Roman" w:hAnsi="Times New Roman" w:cs="Times New Roman"/>
          <w:sz w:val="16"/>
          <w:szCs w:val="16"/>
        </w:rPr>
        <w:t xml:space="preserve">vol. </w:t>
      </w:r>
      <w:r w:rsidRPr="003F2DB9">
        <w:rPr>
          <w:rFonts w:ascii="Times New Roman" w:eastAsia="Times New Roman" w:hAnsi="Times New Roman" w:cs="Times New Roman"/>
          <w:sz w:val="16"/>
          <w:szCs w:val="16"/>
        </w:rPr>
        <w:t>6</w:t>
      </w:r>
      <w:r w:rsidR="4898BAB5" w:rsidRPr="003F2DB9">
        <w:rPr>
          <w:rFonts w:ascii="Times New Roman" w:eastAsia="Times New Roman" w:hAnsi="Times New Roman" w:cs="Times New Roman"/>
          <w:sz w:val="16"/>
          <w:szCs w:val="16"/>
        </w:rPr>
        <w:t xml:space="preserve">, no. </w:t>
      </w:r>
      <w:r w:rsidRPr="003F2DB9">
        <w:rPr>
          <w:rFonts w:ascii="Times New Roman" w:eastAsia="Times New Roman" w:hAnsi="Times New Roman" w:cs="Times New Roman"/>
          <w:sz w:val="16"/>
          <w:szCs w:val="16"/>
        </w:rPr>
        <w:t>4, pp. 175-184, 2017.</w:t>
      </w:r>
      <w:r w:rsidR="0027538D" w:rsidRPr="003F2DB9">
        <w:rPr>
          <w:rFonts w:ascii="Times New Roman" w:eastAsia="Times New Roman" w:hAnsi="Times New Roman" w:cs="Times New Roman"/>
          <w:sz w:val="16"/>
          <w:szCs w:val="16"/>
        </w:rPr>
        <w:br/>
      </w:r>
    </w:p>
    <w:p w14:paraId="79766CE4" w14:textId="7B5E72F5" w:rsidR="00285518" w:rsidRPr="003F2DB9"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S. Murugesan, “Harnessing green IT: Principles and practices”</w:t>
      </w:r>
      <w:r w:rsidR="00F35120" w:rsidRPr="003F2DB9">
        <w:rPr>
          <w:rFonts w:ascii="Times New Roman" w:eastAsia="Times New Roman" w:hAnsi="Times New Roman" w:cs="Times New Roman"/>
          <w:sz w:val="16"/>
          <w:szCs w:val="16"/>
        </w:rPr>
        <w:t>,</w:t>
      </w:r>
      <w:r w:rsidRPr="003F2DB9">
        <w:rPr>
          <w:rFonts w:ascii="Times New Roman" w:eastAsia="Times New Roman" w:hAnsi="Times New Roman" w:cs="Times New Roman"/>
          <w:sz w:val="16"/>
          <w:szCs w:val="16"/>
        </w:rPr>
        <w:t xml:space="preserve"> IT professional, </w:t>
      </w:r>
      <w:r w:rsidR="00F35120" w:rsidRPr="003F2DB9">
        <w:rPr>
          <w:rFonts w:ascii="Times New Roman" w:eastAsia="Times New Roman" w:hAnsi="Times New Roman" w:cs="Times New Roman"/>
          <w:sz w:val="16"/>
          <w:szCs w:val="16"/>
        </w:rPr>
        <w:t xml:space="preserve">vol. </w:t>
      </w:r>
      <w:r w:rsidRPr="003F2DB9">
        <w:rPr>
          <w:rFonts w:ascii="Times New Roman" w:eastAsia="Times New Roman" w:hAnsi="Times New Roman" w:cs="Times New Roman"/>
          <w:sz w:val="16"/>
          <w:szCs w:val="16"/>
        </w:rPr>
        <w:t>10</w:t>
      </w:r>
      <w:r w:rsidR="00F35120" w:rsidRPr="003F2DB9">
        <w:rPr>
          <w:rFonts w:ascii="Times New Roman" w:eastAsia="Times New Roman" w:hAnsi="Times New Roman" w:cs="Times New Roman"/>
          <w:sz w:val="16"/>
          <w:szCs w:val="16"/>
        </w:rPr>
        <w:t xml:space="preserve">, no. </w:t>
      </w:r>
      <w:r w:rsidRPr="003F2DB9">
        <w:rPr>
          <w:rFonts w:ascii="Times New Roman" w:eastAsia="Times New Roman" w:hAnsi="Times New Roman" w:cs="Times New Roman"/>
          <w:sz w:val="16"/>
          <w:szCs w:val="16"/>
        </w:rPr>
        <w:t>1, pp. 24-33, 2008.</w:t>
      </w:r>
    </w:p>
    <w:p w14:paraId="4F3C7172" w14:textId="400BA4BE" w:rsidR="00285518" w:rsidRPr="003F2DB9"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G. Kats, “Green building costs and financial benefits”, Boston, MA: Massachusetts technology collaborative,</w:t>
      </w:r>
      <w:r w:rsidR="00A51ECA" w:rsidRPr="003F2DB9">
        <w:rPr>
          <w:rFonts w:ascii="Times New Roman" w:eastAsia="Times New Roman" w:hAnsi="Times New Roman" w:cs="Times New Roman"/>
          <w:sz w:val="16"/>
          <w:szCs w:val="16"/>
        </w:rPr>
        <w:t xml:space="preserve"> 2003,</w:t>
      </w:r>
      <w:r w:rsidRPr="003F2DB9">
        <w:rPr>
          <w:rFonts w:ascii="Times New Roman" w:eastAsia="Times New Roman" w:hAnsi="Times New Roman" w:cs="Times New Roman"/>
          <w:sz w:val="16"/>
          <w:szCs w:val="16"/>
        </w:rPr>
        <w:t xml:space="preserve"> pp. 2-8.</w:t>
      </w:r>
    </w:p>
    <w:p w14:paraId="5CD8FDC0" w14:textId="18E99DD0" w:rsidR="00285518" w:rsidRPr="003F2DB9" w:rsidRDefault="00285518" w:rsidP="005D7E33">
      <w:pPr>
        <w:pStyle w:val="ListParagraph"/>
        <w:numPr>
          <w:ilvl w:val="0"/>
          <w:numId w:val="10"/>
        </w:numPr>
        <w:spacing w:before="240" w:line="360" w:lineRule="auto"/>
        <w:ind w:left="426" w:hanging="426"/>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 xml:space="preserve">P. Morris </w:t>
      </w:r>
      <w:r w:rsidR="00DB6E9D" w:rsidRPr="003F2DB9">
        <w:rPr>
          <w:rFonts w:ascii="Times New Roman" w:eastAsia="Times New Roman" w:hAnsi="Times New Roman" w:cs="Times New Roman"/>
          <w:sz w:val="16"/>
          <w:szCs w:val="16"/>
        </w:rPr>
        <w:t>and</w:t>
      </w:r>
      <w:r w:rsidRPr="003F2DB9">
        <w:rPr>
          <w:rFonts w:ascii="Times New Roman" w:eastAsia="Times New Roman" w:hAnsi="Times New Roman" w:cs="Times New Roman"/>
          <w:sz w:val="16"/>
          <w:szCs w:val="16"/>
        </w:rPr>
        <w:t xml:space="preserve"> D. Langdon, “What does green really cost?”, PREA quarterly, </w:t>
      </w:r>
      <w:r w:rsidR="00DB6E9D" w:rsidRPr="003F2DB9">
        <w:rPr>
          <w:rFonts w:ascii="Times New Roman" w:eastAsia="Times New Roman" w:hAnsi="Times New Roman" w:cs="Times New Roman"/>
          <w:sz w:val="16"/>
          <w:szCs w:val="16"/>
        </w:rPr>
        <w:t xml:space="preserve">vol. </w:t>
      </w:r>
      <w:r w:rsidRPr="003F2DB9">
        <w:rPr>
          <w:rFonts w:ascii="Times New Roman" w:eastAsia="Times New Roman" w:hAnsi="Times New Roman" w:cs="Times New Roman"/>
          <w:sz w:val="16"/>
          <w:szCs w:val="16"/>
        </w:rPr>
        <w:t>1</w:t>
      </w:r>
      <w:r w:rsidR="00DB6E9D" w:rsidRPr="003F2DB9">
        <w:rPr>
          <w:rFonts w:ascii="Times New Roman" w:eastAsia="Times New Roman" w:hAnsi="Times New Roman" w:cs="Times New Roman"/>
          <w:sz w:val="16"/>
          <w:szCs w:val="16"/>
        </w:rPr>
        <w:t xml:space="preserve">, no. </w:t>
      </w:r>
      <w:r w:rsidRPr="003F2DB9">
        <w:rPr>
          <w:rFonts w:ascii="Times New Roman" w:eastAsia="Times New Roman" w:hAnsi="Times New Roman" w:cs="Times New Roman"/>
          <w:sz w:val="16"/>
          <w:szCs w:val="16"/>
        </w:rPr>
        <w:t>3, pp. 55-60, 2007.</w:t>
      </w:r>
    </w:p>
    <w:p w14:paraId="0B8B98B4" w14:textId="1A6E148A" w:rsidR="00285518" w:rsidRPr="003F2DB9" w:rsidRDefault="6B79E008" w:rsidP="005D7E33">
      <w:pPr>
        <w:pStyle w:val="ListParagraph"/>
        <w:numPr>
          <w:ilvl w:val="0"/>
          <w:numId w:val="10"/>
        </w:numPr>
        <w:spacing w:before="240" w:line="360" w:lineRule="auto"/>
        <w:ind w:left="426" w:hanging="426"/>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T.</w:t>
      </w:r>
      <w:r w:rsidR="657C52E2" w:rsidRPr="003F2DB9">
        <w:rPr>
          <w:rFonts w:ascii="Times New Roman" w:eastAsia="Times New Roman" w:hAnsi="Times New Roman" w:cs="Times New Roman"/>
          <w:sz w:val="16"/>
          <w:szCs w:val="16"/>
        </w:rPr>
        <w:t xml:space="preserve"> B. </w:t>
      </w:r>
      <w:proofErr w:type="spellStart"/>
      <w:r w:rsidRPr="003F2DB9">
        <w:rPr>
          <w:rFonts w:ascii="Times New Roman" w:eastAsia="Times New Roman" w:hAnsi="Times New Roman" w:cs="Times New Roman"/>
          <w:sz w:val="16"/>
          <w:szCs w:val="16"/>
        </w:rPr>
        <w:t>Oyedokun</w:t>
      </w:r>
      <w:proofErr w:type="spellEnd"/>
      <w:r w:rsidRPr="003F2DB9">
        <w:rPr>
          <w:rFonts w:ascii="Times New Roman" w:eastAsia="Times New Roman" w:hAnsi="Times New Roman" w:cs="Times New Roman"/>
          <w:sz w:val="16"/>
          <w:szCs w:val="16"/>
        </w:rPr>
        <w:t>, C. Jones</w:t>
      </w:r>
      <w:r w:rsidR="0027538D" w:rsidRPr="003F2DB9">
        <w:rPr>
          <w:rFonts w:ascii="Times New Roman" w:eastAsia="Times New Roman" w:hAnsi="Times New Roman" w:cs="Times New Roman"/>
          <w:sz w:val="16"/>
          <w:szCs w:val="16"/>
        </w:rPr>
        <w:t xml:space="preserve">, </w:t>
      </w:r>
      <w:r w:rsidRPr="003F2DB9">
        <w:rPr>
          <w:rFonts w:ascii="Times New Roman" w:eastAsia="Times New Roman" w:hAnsi="Times New Roman" w:cs="Times New Roman"/>
          <w:sz w:val="16"/>
          <w:szCs w:val="16"/>
        </w:rPr>
        <w:t>N. Dunse, “The growth of the green office market in the UK</w:t>
      </w:r>
      <w:r w:rsidR="00AA3F28" w:rsidRPr="003F2DB9">
        <w:rPr>
          <w:rFonts w:ascii="Times New Roman" w:eastAsia="Times New Roman" w:hAnsi="Times New Roman" w:cs="Times New Roman"/>
          <w:sz w:val="16"/>
          <w:szCs w:val="16"/>
        </w:rPr>
        <w:t>”,</w:t>
      </w:r>
      <w:r w:rsidRPr="003F2DB9">
        <w:rPr>
          <w:rFonts w:ascii="Times New Roman" w:eastAsia="Times New Roman" w:hAnsi="Times New Roman" w:cs="Times New Roman"/>
          <w:sz w:val="16"/>
          <w:szCs w:val="16"/>
        </w:rPr>
        <w:t xml:space="preserve"> Journal of European Real Estate Research,</w:t>
      </w:r>
      <w:r w:rsidR="657C52E2" w:rsidRPr="003F2DB9">
        <w:rPr>
          <w:rFonts w:ascii="Times New Roman" w:eastAsia="Times New Roman" w:hAnsi="Times New Roman" w:cs="Times New Roman"/>
          <w:sz w:val="16"/>
          <w:szCs w:val="16"/>
        </w:rPr>
        <w:t xml:space="preserve"> vol.</w:t>
      </w:r>
      <w:r w:rsidR="198A22C6" w:rsidRPr="003F2DB9">
        <w:rPr>
          <w:rFonts w:ascii="Times New Roman" w:eastAsia="Times New Roman" w:hAnsi="Times New Roman" w:cs="Times New Roman"/>
          <w:sz w:val="16"/>
          <w:szCs w:val="16"/>
        </w:rPr>
        <w:t xml:space="preserve"> </w:t>
      </w:r>
      <w:r w:rsidR="657C52E2" w:rsidRPr="003F2DB9">
        <w:rPr>
          <w:rFonts w:ascii="Times New Roman" w:eastAsia="Times New Roman" w:hAnsi="Times New Roman" w:cs="Times New Roman"/>
          <w:sz w:val="16"/>
          <w:szCs w:val="16"/>
        </w:rPr>
        <w:t>8, no. 3, pp. 267-284,</w:t>
      </w:r>
      <w:r w:rsidRPr="003F2DB9">
        <w:rPr>
          <w:rFonts w:ascii="Times New Roman" w:eastAsia="Times New Roman" w:hAnsi="Times New Roman" w:cs="Times New Roman"/>
          <w:sz w:val="16"/>
          <w:szCs w:val="16"/>
        </w:rPr>
        <w:t xml:space="preserve"> 2015.</w:t>
      </w:r>
    </w:p>
    <w:p w14:paraId="70EFDE88" w14:textId="33761A1A" w:rsidR="009440A6" w:rsidRPr="003F2DB9" w:rsidRDefault="00285518" w:rsidP="005D7E33">
      <w:pPr>
        <w:pStyle w:val="ListParagraph"/>
        <w:numPr>
          <w:ilvl w:val="0"/>
          <w:numId w:val="10"/>
        </w:numPr>
        <w:spacing w:line="240" w:lineRule="auto"/>
        <w:ind w:left="426" w:hanging="426"/>
        <w:jc w:val="both"/>
        <w:rPr>
          <w:rStyle w:val="Hyperlink"/>
          <w:rFonts w:ascii="Times New Roman" w:eastAsia="Times New Roman" w:hAnsi="Times New Roman" w:cs="Times New Roman"/>
          <w:color w:val="auto"/>
          <w:sz w:val="16"/>
          <w:szCs w:val="16"/>
          <w:u w:val="none"/>
        </w:rPr>
      </w:pPr>
      <w:r w:rsidRPr="003F2DB9">
        <w:rPr>
          <w:rFonts w:ascii="Times New Roman" w:eastAsia="Times New Roman" w:hAnsi="Times New Roman" w:cs="Times New Roman"/>
          <w:sz w:val="16"/>
          <w:szCs w:val="16"/>
        </w:rPr>
        <w:t xml:space="preserve">World Green Building Council, “Green Building Incentives: A Global Review”, </w:t>
      </w:r>
      <w:r w:rsidR="0027538D" w:rsidRPr="003F2DB9">
        <w:rPr>
          <w:rFonts w:ascii="Times New Roman" w:eastAsia="Times New Roman" w:hAnsi="Times New Roman" w:cs="Times New Roman"/>
          <w:sz w:val="16"/>
          <w:szCs w:val="16"/>
        </w:rPr>
        <w:t xml:space="preserve">2013. </w:t>
      </w:r>
      <w:r w:rsidRPr="003F2DB9">
        <w:rPr>
          <w:sz w:val="16"/>
          <w:szCs w:val="16"/>
        </w:rPr>
        <w:t>https://www.worldgbc.org/sites/default/files/Green%20Building%20Incentives_0.pdf</w:t>
      </w:r>
      <w:r w:rsidRPr="003F2DB9">
        <w:rPr>
          <w:rStyle w:val="Hyperlink"/>
          <w:color w:val="auto"/>
          <w:sz w:val="16"/>
          <w:szCs w:val="16"/>
          <w:u w:val="none"/>
        </w:rPr>
        <w:t>.</w:t>
      </w:r>
    </w:p>
    <w:p w14:paraId="7209349D" w14:textId="77777777" w:rsidR="009440A6" w:rsidRPr="003F2DB9" w:rsidRDefault="009440A6" w:rsidP="005D7E33">
      <w:pPr>
        <w:pStyle w:val="ListParagraph"/>
        <w:spacing w:line="240" w:lineRule="auto"/>
        <w:ind w:left="426"/>
        <w:jc w:val="both"/>
        <w:rPr>
          <w:rFonts w:ascii="Times New Roman" w:eastAsia="Times New Roman" w:hAnsi="Times New Roman" w:cs="Times New Roman"/>
          <w:sz w:val="4"/>
          <w:szCs w:val="4"/>
        </w:rPr>
      </w:pPr>
    </w:p>
    <w:p w14:paraId="0162332C" w14:textId="698D8B5C" w:rsidR="009440A6" w:rsidRPr="003F2DB9" w:rsidRDefault="00285518" w:rsidP="005D7E33">
      <w:pPr>
        <w:pStyle w:val="ListParagraph"/>
        <w:numPr>
          <w:ilvl w:val="0"/>
          <w:numId w:val="10"/>
        </w:numPr>
        <w:spacing w:before="240" w:line="240" w:lineRule="auto"/>
        <w:ind w:left="426" w:hanging="426"/>
        <w:jc w:val="both"/>
        <w:rPr>
          <w:rStyle w:val="Hyperlink"/>
          <w:rFonts w:ascii="Times New Roman" w:eastAsia="Times New Roman" w:hAnsi="Times New Roman" w:cs="Times New Roman"/>
          <w:color w:val="auto"/>
          <w:sz w:val="16"/>
          <w:szCs w:val="16"/>
          <w:u w:val="none"/>
        </w:rPr>
      </w:pPr>
      <w:r w:rsidRPr="003F2DB9">
        <w:rPr>
          <w:rFonts w:ascii="Times New Roman" w:eastAsia="Times New Roman" w:hAnsi="Times New Roman" w:cs="Times New Roman"/>
          <w:sz w:val="16"/>
          <w:szCs w:val="16"/>
        </w:rPr>
        <w:t>International Energy Agency, “IoT in sustainable buildings: An overview”</w:t>
      </w:r>
      <w:r w:rsidR="0027538D" w:rsidRPr="003F2DB9">
        <w:rPr>
          <w:rFonts w:ascii="Times New Roman" w:eastAsia="Times New Roman" w:hAnsi="Times New Roman" w:cs="Times New Roman"/>
          <w:sz w:val="16"/>
          <w:szCs w:val="16"/>
        </w:rPr>
        <w:t xml:space="preserve">, 2017. </w:t>
      </w:r>
      <w:r w:rsidRPr="003F2DB9">
        <w:rPr>
          <w:sz w:val="16"/>
          <w:szCs w:val="16"/>
        </w:rPr>
        <w:t>https://www.iea.org/reports/iot-in-sustainable-buildings-an-overview</w:t>
      </w:r>
      <w:r w:rsidR="001D531E" w:rsidRPr="003F2DB9">
        <w:rPr>
          <w:rStyle w:val="Hyperlink"/>
          <w:color w:val="auto"/>
          <w:sz w:val="16"/>
          <w:szCs w:val="16"/>
          <w:u w:val="none"/>
        </w:rPr>
        <w:t xml:space="preserve">, </w:t>
      </w:r>
      <w:r w:rsidRPr="003F2DB9">
        <w:rPr>
          <w:rStyle w:val="Hyperlink"/>
          <w:color w:val="auto"/>
          <w:sz w:val="16"/>
          <w:szCs w:val="16"/>
          <w:u w:val="none"/>
        </w:rPr>
        <w:t>2017</w:t>
      </w:r>
      <w:r w:rsidR="001D531E" w:rsidRPr="003F2DB9">
        <w:rPr>
          <w:rStyle w:val="Hyperlink"/>
          <w:color w:val="auto"/>
          <w:sz w:val="16"/>
          <w:szCs w:val="16"/>
          <w:u w:val="none"/>
        </w:rPr>
        <w:t>.</w:t>
      </w:r>
    </w:p>
    <w:p w14:paraId="50FDD062" w14:textId="77777777" w:rsidR="0027538D" w:rsidRPr="003F2DB9" w:rsidRDefault="0027538D" w:rsidP="0027538D">
      <w:pPr>
        <w:pStyle w:val="ListParagraph"/>
        <w:rPr>
          <w:rStyle w:val="Hyperlink"/>
          <w:rFonts w:ascii="Times New Roman" w:eastAsia="Times New Roman" w:hAnsi="Times New Roman" w:cs="Times New Roman"/>
          <w:color w:val="auto"/>
          <w:sz w:val="16"/>
          <w:szCs w:val="16"/>
          <w:u w:val="none"/>
        </w:rPr>
      </w:pPr>
    </w:p>
    <w:p w14:paraId="205F0384" w14:textId="77777777" w:rsidR="009440A6" w:rsidRPr="003F2DB9" w:rsidRDefault="009440A6" w:rsidP="005D7E33">
      <w:pPr>
        <w:pStyle w:val="ListParagraph"/>
        <w:spacing w:before="240" w:line="240" w:lineRule="auto"/>
        <w:ind w:left="426"/>
        <w:jc w:val="both"/>
        <w:rPr>
          <w:rFonts w:ascii="Times New Roman" w:eastAsia="Times New Roman" w:hAnsi="Times New Roman" w:cs="Times New Roman"/>
          <w:sz w:val="4"/>
          <w:szCs w:val="4"/>
        </w:rPr>
      </w:pPr>
    </w:p>
    <w:p w14:paraId="00293A26" w14:textId="5F5201F6" w:rsidR="00285518" w:rsidRPr="003F2DB9"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O. A. Olubunmi, P. B. Xia</w:t>
      </w:r>
      <w:r w:rsidR="0027538D" w:rsidRPr="003F2DB9">
        <w:rPr>
          <w:rFonts w:ascii="Times New Roman" w:eastAsia="Times New Roman" w:hAnsi="Times New Roman" w:cs="Times New Roman"/>
          <w:sz w:val="16"/>
          <w:szCs w:val="16"/>
        </w:rPr>
        <w:t xml:space="preserve">, </w:t>
      </w:r>
      <w:r w:rsidRPr="003F2DB9">
        <w:rPr>
          <w:rFonts w:ascii="Times New Roman" w:eastAsia="Times New Roman" w:hAnsi="Times New Roman" w:cs="Times New Roman"/>
          <w:sz w:val="16"/>
          <w:szCs w:val="16"/>
        </w:rPr>
        <w:t xml:space="preserve">M. </w:t>
      </w:r>
      <w:proofErr w:type="spellStart"/>
      <w:r w:rsidRPr="003F2DB9">
        <w:rPr>
          <w:rFonts w:ascii="Times New Roman" w:eastAsia="Times New Roman" w:hAnsi="Times New Roman" w:cs="Times New Roman"/>
          <w:sz w:val="16"/>
          <w:szCs w:val="16"/>
        </w:rPr>
        <w:t>Skitmore</w:t>
      </w:r>
      <w:proofErr w:type="spellEnd"/>
      <w:r w:rsidRPr="003F2DB9">
        <w:rPr>
          <w:rFonts w:ascii="Times New Roman" w:eastAsia="Times New Roman" w:hAnsi="Times New Roman" w:cs="Times New Roman"/>
          <w:sz w:val="16"/>
          <w:szCs w:val="16"/>
        </w:rPr>
        <w:t xml:space="preserve">, “Green building incentives: A review. Renewable and Sustainable Energy Reviews”, </w:t>
      </w:r>
      <w:r w:rsidR="00DB6E9D" w:rsidRPr="003F2DB9">
        <w:rPr>
          <w:rFonts w:ascii="Times New Roman" w:eastAsia="Times New Roman" w:hAnsi="Times New Roman" w:cs="Times New Roman"/>
          <w:sz w:val="16"/>
          <w:szCs w:val="16"/>
        </w:rPr>
        <w:t xml:space="preserve">vol. </w:t>
      </w:r>
      <w:r w:rsidRPr="003F2DB9">
        <w:rPr>
          <w:rFonts w:ascii="Times New Roman" w:eastAsia="Times New Roman" w:hAnsi="Times New Roman" w:cs="Times New Roman"/>
          <w:sz w:val="16"/>
          <w:szCs w:val="16"/>
        </w:rPr>
        <w:t xml:space="preserve">59, </w:t>
      </w:r>
      <w:r w:rsidR="003F744F" w:rsidRPr="003F2DB9">
        <w:rPr>
          <w:rFonts w:ascii="Times New Roman" w:eastAsia="Times New Roman" w:hAnsi="Times New Roman" w:cs="Times New Roman"/>
          <w:sz w:val="16"/>
          <w:szCs w:val="16"/>
        </w:rPr>
        <w:t xml:space="preserve">pp. </w:t>
      </w:r>
      <w:r w:rsidRPr="003F2DB9">
        <w:rPr>
          <w:rFonts w:ascii="Times New Roman" w:eastAsia="Times New Roman" w:hAnsi="Times New Roman" w:cs="Times New Roman"/>
          <w:sz w:val="16"/>
          <w:szCs w:val="16"/>
        </w:rPr>
        <w:t>1611-1621, 2016.</w:t>
      </w:r>
    </w:p>
    <w:p w14:paraId="48A8734F" w14:textId="4394F13F" w:rsidR="00285518" w:rsidRPr="003F2DB9"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 xml:space="preserve">N. Leskinen, J. </w:t>
      </w:r>
      <w:proofErr w:type="spellStart"/>
      <w:r w:rsidRPr="003F2DB9">
        <w:rPr>
          <w:rFonts w:ascii="Times New Roman" w:eastAsia="Times New Roman" w:hAnsi="Times New Roman" w:cs="Times New Roman"/>
          <w:sz w:val="16"/>
          <w:szCs w:val="16"/>
        </w:rPr>
        <w:t>Vimpari</w:t>
      </w:r>
      <w:proofErr w:type="spellEnd"/>
      <w:r w:rsidR="0027538D" w:rsidRPr="003F2DB9">
        <w:rPr>
          <w:rFonts w:ascii="Times New Roman" w:eastAsia="Times New Roman" w:hAnsi="Times New Roman" w:cs="Times New Roman"/>
          <w:sz w:val="16"/>
          <w:szCs w:val="16"/>
        </w:rPr>
        <w:t xml:space="preserve">, </w:t>
      </w:r>
      <w:r w:rsidRPr="003F2DB9">
        <w:rPr>
          <w:rFonts w:ascii="Times New Roman" w:eastAsia="Times New Roman" w:hAnsi="Times New Roman" w:cs="Times New Roman"/>
          <w:sz w:val="16"/>
          <w:szCs w:val="16"/>
        </w:rPr>
        <w:t>S. Junnila, “A review of the impact of green building certification on the cash flows and values of commercial properties”, Sustainability, </w:t>
      </w:r>
      <w:r w:rsidR="00AA012B" w:rsidRPr="003F2DB9">
        <w:rPr>
          <w:rFonts w:ascii="Times New Roman" w:eastAsia="Times New Roman" w:hAnsi="Times New Roman" w:cs="Times New Roman"/>
          <w:sz w:val="16"/>
          <w:szCs w:val="16"/>
        </w:rPr>
        <w:t xml:space="preserve">vol. </w:t>
      </w:r>
      <w:r w:rsidRPr="003F2DB9">
        <w:rPr>
          <w:rFonts w:ascii="Times New Roman" w:eastAsia="Times New Roman" w:hAnsi="Times New Roman" w:cs="Times New Roman"/>
          <w:sz w:val="16"/>
          <w:szCs w:val="16"/>
        </w:rPr>
        <w:t>12</w:t>
      </w:r>
      <w:r w:rsidR="00AA012B" w:rsidRPr="003F2DB9">
        <w:rPr>
          <w:rFonts w:ascii="Times New Roman" w:eastAsia="Times New Roman" w:hAnsi="Times New Roman" w:cs="Times New Roman"/>
          <w:sz w:val="16"/>
          <w:szCs w:val="16"/>
        </w:rPr>
        <w:t xml:space="preserve">, no. </w:t>
      </w:r>
      <w:r w:rsidRPr="003F2DB9">
        <w:rPr>
          <w:rFonts w:ascii="Times New Roman" w:eastAsia="Times New Roman" w:hAnsi="Times New Roman" w:cs="Times New Roman"/>
          <w:sz w:val="16"/>
          <w:szCs w:val="16"/>
        </w:rPr>
        <w:t xml:space="preserve">7, </w:t>
      </w:r>
      <w:r w:rsidR="00AA012B" w:rsidRPr="003F2DB9">
        <w:rPr>
          <w:rFonts w:ascii="Times New Roman" w:eastAsia="Times New Roman" w:hAnsi="Times New Roman" w:cs="Times New Roman"/>
          <w:sz w:val="16"/>
          <w:szCs w:val="16"/>
        </w:rPr>
        <w:t xml:space="preserve">pp. </w:t>
      </w:r>
      <w:r w:rsidRPr="003F2DB9">
        <w:rPr>
          <w:rFonts w:ascii="Times New Roman" w:eastAsia="Times New Roman" w:hAnsi="Times New Roman" w:cs="Times New Roman"/>
          <w:sz w:val="16"/>
          <w:szCs w:val="16"/>
        </w:rPr>
        <w:t>2729, 2020.</w:t>
      </w:r>
    </w:p>
    <w:p w14:paraId="015C7DB0" w14:textId="223A6027" w:rsidR="00285518" w:rsidRPr="003F2DB9"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P. Eichholtz, N. Kok</w:t>
      </w:r>
      <w:r w:rsidR="0027538D" w:rsidRPr="003F2DB9">
        <w:rPr>
          <w:rFonts w:ascii="Times New Roman" w:eastAsia="Times New Roman" w:hAnsi="Times New Roman" w:cs="Times New Roman"/>
          <w:sz w:val="16"/>
          <w:szCs w:val="16"/>
        </w:rPr>
        <w:t xml:space="preserve">, </w:t>
      </w:r>
      <w:r w:rsidRPr="003F2DB9">
        <w:rPr>
          <w:rFonts w:ascii="Times New Roman" w:eastAsia="Times New Roman" w:hAnsi="Times New Roman" w:cs="Times New Roman"/>
          <w:sz w:val="16"/>
          <w:szCs w:val="16"/>
        </w:rPr>
        <w:t xml:space="preserve">J. M. Quigley, “Doing well by doing good? Green office buildings”, American Economic Review, </w:t>
      </w:r>
      <w:r w:rsidR="0038310A" w:rsidRPr="003F2DB9">
        <w:rPr>
          <w:rFonts w:ascii="Times New Roman" w:eastAsia="Times New Roman" w:hAnsi="Times New Roman" w:cs="Times New Roman"/>
          <w:sz w:val="16"/>
          <w:szCs w:val="16"/>
        </w:rPr>
        <w:t xml:space="preserve">vol. </w:t>
      </w:r>
      <w:r w:rsidRPr="003F2DB9">
        <w:rPr>
          <w:rFonts w:ascii="Times New Roman" w:eastAsia="Times New Roman" w:hAnsi="Times New Roman" w:cs="Times New Roman"/>
          <w:sz w:val="16"/>
          <w:szCs w:val="16"/>
        </w:rPr>
        <w:t>100</w:t>
      </w:r>
      <w:r w:rsidR="0038310A" w:rsidRPr="003F2DB9">
        <w:rPr>
          <w:rFonts w:ascii="Times New Roman" w:eastAsia="Times New Roman" w:hAnsi="Times New Roman" w:cs="Times New Roman"/>
          <w:sz w:val="16"/>
          <w:szCs w:val="16"/>
        </w:rPr>
        <w:t xml:space="preserve">, no. </w:t>
      </w:r>
      <w:r w:rsidRPr="003F2DB9">
        <w:rPr>
          <w:rFonts w:ascii="Times New Roman" w:eastAsia="Times New Roman" w:hAnsi="Times New Roman" w:cs="Times New Roman"/>
          <w:sz w:val="16"/>
          <w:szCs w:val="16"/>
        </w:rPr>
        <w:t>5,</w:t>
      </w:r>
      <w:r w:rsidR="0038310A" w:rsidRPr="003F2DB9">
        <w:rPr>
          <w:rFonts w:ascii="Times New Roman" w:eastAsia="Times New Roman" w:hAnsi="Times New Roman" w:cs="Times New Roman"/>
          <w:sz w:val="16"/>
          <w:szCs w:val="16"/>
        </w:rPr>
        <w:t xml:space="preserve"> pp.</w:t>
      </w:r>
      <w:r w:rsidRPr="003F2DB9">
        <w:rPr>
          <w:rFonts w:ascii="Times New Roman" w:eastAsia="Times New Roman" w:hAnsi="Times New Roman" w:cs="Times New Roman"/>
          <w:sz w:val="16"/>
          <w:szCs w:val="16"/>
        </w:rPr>
        <w:t xml:space="preserve"> 2492-2509, 2010.</w:t>
      </w:r>
    </w:p>
    <w:p w14:paraId="544E7E96" w14:textId="633A2AA7" w:rsidR="00285518" w:rsidRPr="003F2DB9"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lastRenderedPageBreak/>
        <w:t xml:space="preserve">F. Fuerst </w:t>
      </w:r>
      <w:r w:rsidR="0038310A" w:rsidRPr="003F2DB9">
        <w:rPr>
          <w:rFonts w:ascii="Times New Roman" w:eastAsia="Times New Roman" w:hAnsi="Times New Roman" w:cs="Times New Roman"/>
          <w:sz w:val="16"/>
          <w:szCs w:val="16"/>
        </w:rPr>
        <w:t>and</w:t>
      </w:r>
      <w:r w:rsidRPr="003F2DB9">
        <w:rPr>
          <w:rFonts w:ascii="Times New Roman" w:eastAsia="Times New Roman" w:hAnsi="Times New Roman" w:cs="Times New Roman"/>
          <w:sz w:val="16"/>
          <w:szCs w:val="16"/>
        </w:rPr>
        <w:t xml:space="preserve"> P. McAllister, “Eco-labeling in commercial office markets: Do LEED and Energy Star offices obtain multiple premiums?”, Ecological Economics, </w:t>
      </w:r>
      <w:r w:rsidR="0038310A" w:rsidRPr="003F2DB9">
        <w:rPr>
          <w:rFonts w:ascii="Times New Roman" w:eastAsia="Times New Roman" w:hAnsi="Times New Roman" w:cs="Times New Roman"/>
          <w:sz w:val="16"/>
          <w:szCs w:val="16"/>
        </w:rPr>
        <w:t xml:space="preserve">vol. </w:t>
      </w:r>
      <w:r w:rsidRPr="003F2DB9">
        <w:rPr>
          <w:rFonts w:ascii="Times New Roman" w:eastAsia="Times New Roman" w:hAnsi="Times New Roman" w:cs="Times New Roman"/>
          <w:sz w:val="16"/>
          <w:szCs w:val="16"/>
        </w:rPr>
        <w:t>70</w:t>
      </w:r>
      <w:r w:rsidR="0038310A" w:rsidRPr="003F2DB9">
        <w:rPr>
          <w:rFonts w:ascii="Times New Roman" w:eastAsia="Times New Roman" w:hAnsi="Times New Roman" w:cs="Times New Roman"/>
          <w:sz w:val="16"/>
          <w:szCs w:val="16"/>
        </w:rPr>
        <w:t xml:space="preserve">, no. </w:t>
      </w:r>
      <w:r w:rsidRPr="003F2DB9">
        <w:rPr>
          <w:rFonts w:ascii="Times New Roman" w:eastAsia="Times New Roman" w:hAnsi="Times New Roman" w:cs="Times New Roman"/>
          <w:sz w:val="16"/>
          <w:szCs w:val="16"/>
        </w:rPr>
        <w:t xml:space="preserve">6, </w:t>
      </w:r>
      <w:r w:rsidR="0038310A" w:rsidRPr="003F2DB9">
        <w:rPr>
          <w:rFonts w:ascii="Times New Roman" w:eastAsia="Times New Roman" w:hAnsi="Times New Roman" w:cs="Times New Roman"/>
          <w:sz w:val="16"/>
          <w:szCs w:val="16"/>
        </w:rPr>
        <w:t xml:space="preserve">pp. </w:t>
      </w:r>
      <w:r w:rsidRPr="003F2DB9">
        <w:rPr>
          <w:rFonts w:ascii="Times New Roman" w:eastAsia="Times New Roman" w:hAnsi="Times New Roman" w:cs="Times New Roman"/>
          <w:sz w:val="16"/>
          <w:szCs w:val="16"/>
        </w:rPr>
        <w:t>1220-1230, 2011.</w:t>
      </w:r>
    </w:p>
    <w:p w14:paraId="625B1C6E" w14:textId="38E1FD8C" w:rsidR="00285518" w:rsidRPr="003F2DB9" w:rsidRDefault="6B79E008" w:rsidP="62723891">
      <w:pPr>
        <w:pStyle w:val="ListParagraph"/>
        <w:numPr>
          <w:ilvl w:val="0"/>
          <w:numId w:val="10"/>
        </w:numPr>
        <w:shd w:val="clear" w:color="auto" w:fill="FFFFFF" w:themeFill="background1"/>
        <w:spacing w:after="150" w:line="240" w:lineRule="auto"/>
        <w:ind w:left="426" w:hanging="426"/>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 xml:space="preserve">A. Reichardt, F. Fuerst, N. </w:t>
      </w:r>
      <w:proofErr w:type="spellStart"/>
      <w:r w:rsidRPr="003F2DB9">
        <w:rPr>
          <w:rFonts w:ascii="Times New Roman" w:eastAsia="Times New Roman" w:hAnsi="Times New Roman" w:cs="Times New Roman"/>
          <w:sz w:val="16"/>
          <w:szCs w:val="16"/>
        </w:rPr>
        <w:t>Rottke</w:t>
      </w:r>
      <w:proofErr w:type="spellEnd"/>
      <w:r w:rsidR="128F1C9E" w:rsidRPr="003F2DB9">
        <w:rPr>
          <w:rFonts w:ascii="Times New Roman" w:eastAsia="Times New Roman" w:hAnsi="Times New Roman" w:cs="Times New Roman"/>
          <w:sz w:val="16"/>
          <w:szCs w:val="16"/>
        </w:rPr>
        <w:t xml:space="preserve"> and</w:t>
      </w:r>
      <w:r w:rsidRPr="003F2DB9">
        <w:rPr>
          <w:rFonts w:ascii="Times New Roman" w:eastAsia="Times New Roman" w:hAnsi="Times New Roman" w:cs="Times New Roman"/>
          <w:sz w:val="16"/>
          <w:szCs w:val="16"/>
        </w:rPr>
        <w:t xml:space="preserve"> J. Zietz, “Sustainable building certification and the rent premium: a panel data approach</w:t>
      </w:r>
      <w:r w:rsidR="00AA3F28" w:rsidRPr="003F2DB9">
        <w:rPr>
          <w:rFonts w:ascii="Times New Roman" w:eastAsia="Times New Roman" w:hAnsi="Times New Roman" w:cs="Times New Roman"/>
          <w:sz w:val="16"/>
          <w:szCs w:val="16"/>
        </w:rPr>
        <w:t>”,</w:t>
      </w:r>
      <w:r w:rsidRPr="003F2DB9">
        <w:rPr>
          <w:rFonts w:ascii="Times New Roman" w:eastAsia="Times New Roman" w:hAnsi="Times New Roman" w:cs="Times New Roman"/>
          <w:sz w:val="16"/>
          <w:szCs w:val="16"/>
        </w:rPr>
        <w:t xml:space="preserve"> Journal of Real Estate Research, </w:t>
      </w:r>
      <w:r w:rsidR="128F1C9E" w:rsidRPr="003F2DB9">
        <w:rPr>
          <w:rFonts w:ascii="Times New Roman" w:eastAsia="Times New Roman" w:hAnsi="Times New Roman" w:cs="Times New Roman"/>
          <w:sz w:val="16"/>
          <w:szCs w:val="16"/>
        </w:rPr>
        <w:t xml:space="preserve">vol. </w:t>
      </w:r>
      <w:r w:rsidRPr="003F2DB9">
        <w:rPr>
          <w:rFonts w:ascii="Times New Roman" w:eastAsia="Times New Roman" w:hAnsi="Times New Roman" w:cs="Times New Roman"/>
          <w:sz w:val="16"/>
          <w:szCs w:val="16"/>
        </w:rPr>
        <w:t>34</w:t>
      </w:r>
      <w:r w:rsidR="128F1C9E" w:rsidRPr="003F2DB9">
        <w:rPr>
          <w:rFonts w:ascii="Times New Roman" w:eastAsia="Times New Roman" w:hAnsi="Times New Roman" w:cs="Times New Roman"/>
          <w:sz w:val="16"/>
          <w:szCs w:val="16"/>
        </w:rPr>
        <w:t xml:space="preserve">, no. </w:t>
      </w:r>
      <w:r w:rsidRPr="003F2DB9">
        <w:rPr>
          <w:rFonts w:ascii="Times New Roman" w:eastAsia="Times New Roman" w:hAnsi="Times New Roman" w:cs="Times New Roman"/>
          <w:sz w:val="16"/>
          <w:szCs w:val="16"/>
        </w:rPr>
        <w:t>1, pp. 99-126, 2012.</w:t>
      </w:r>
    </w:p>
    <w:p w14:paraId="4BFCB64F" w14:textId="77777777" w:rsidR="0027538D" w:rsidRPr="003F2DB9" w:rsidRDefault="0027538D" w:rsidP="0027538D">
      <w:pPr>
        <w:pStyle w:val="ListParagraph"/>
        <w:shd w:val="clear" w:color="auto" w:fill="FFFFFF" w:themeFill="background1"/>
        <w:spacing w:after="150" w:line="240" w:lineRule="auto"/>
        <w:ind w:left="426"/>
        <w:jc w:val="both"/>
        <w:rPr>
          <w:rFonts w:ascii="Times New Roman" w:eastAsia="Times New Roman" w:hAnsi="Times New Roman" w:cs="Times New Roman"/>
          <w:sz w:val="16"/>
          <w:szCs w:val="16"/>
        </w:rPr>
      </w:pPr>
    </w:p>
    <w:p w14:paraId="5C5E8864" w14:textId="52F01BF0" w:rsidR="00285518" w:rsidRPr="003F2DB9"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 xml:space="preserve">P. Eichholtz, N. Kok </w:t>
      </w:r>
      <w:r w:rsidR="0038310A" w:rsidRPr="003F2DB9">
        <w:rPr>
          <w:rFonts w:ascii="Times New Roman" w:eastAsia="Times New Roman" w:hAnsi="Times New Roman" w:cs="Times New Roman"/>
          <w:sz w:val="16"/>
          <w:szCs w:val="16"/>
        </w:rPr>
        <w:t>and</w:t>
      </w:r>
      <w:r w:rsidRPr="003F2DB9">
        <w:rPr>
          <w:rFonts w:ascii="Times New Roman" w:eastAsia="Times New Roman" w:hAnsi="Times New Roman" w:cs="Times New Roman"/>
          <w:sz w:val="16"/>
          <w:szCs w:val="16"/>
        </w:rPr>
        <w:t xml:space="preserve"> J. M. Quigley, “The economics of green building”, Review of Economics and Statistics, </w:t>
      </w:r>
      <w:r w:rsidR="0038310A" w:rsidRPr="003F2DB9">
        <w:rPr>
          <w:rFonts w:ascii="Times New Roman" w:eastAsia="Times New Roman" w:hAnsi="Times New Roman" w:cs="Times New Roman"/>
          <w:sz w:val="16"/>
          <w:szCs w:val="16"/>
        </w:rPr>
        <w:t xml:space="preserve">vol. </w:t>
      </w:r>
      <w:r w:rsidRPr="003F2DB9">
        <w:rPr>
          <w:rFonts w:ascii="Times New Roman" w:eastAsia="Times New Roman" w:hAnsi="Times New Roman" w:cs="Times New Roman"/>
          <w:sz w:val="16"/>
          <w:szCs w:val="16"/>
        </w:rPr>
        <w:t>95</w:t>
      </w:r>
      <w:r w:rsidR="0038310A" w:rsidRPr="003F2DB9">
        <w:rPr>
          <w:rFonts w:ascii="Times New Roman" w:eastAsia="Times New Roman" w:hAnsi="Times New Roman" w:cs="Times New Roman"/>
          <w:sz w:val="16"/>
          <w:szCs w:val="16"/>
        </w:rPr>
        <w:t xml:space="preserve">, no. </w:t>
      </w:r>
      <w:r w:rsidRPr="003F2DB9">
        <w:rPr>
          <w:rFonts w:ascii="Times New Roman" w:eastAsia="Times New Roman" w:hAnsi="Times New Roman" w:cs="Times New Roman"/>
          <w:sz w:val="16"/>
          <w:szCs w:val="16"/>
        </w:rPr>
        <w:t>1, pp. 50-63, 2013.</w:t>
      </w:r>
    </w:p>
    <w:p w14:paraId="31A35BC4" w14:textId="3E61E1E0" w:rsidR="00285518" w:rsidRPr="003F2DB9" w:rsidRDefault="6B79E008" w:rsidP="62723891">
      <w:pPr>
        <w:pStyle w:val="ListParagraph"/>
        <w:numPr>
          <w:ilvl w:val="0"/>
          <w:numId w:val="10"/>
        </w:numPr>
        <w:shd w:val="clear" w:color="auto" w:fill="FFFFFF" w:themeFill="background1"/>
        <w:spacing w:after="150" w:line="240" w:lineRule="auto"/>
        <w:ind w:left="426" w:hanging="426"/>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J. A. Wiley, J. D. Benefield</w:t>
      </w:r>
      <w:r w:rsidR="128F1C9E" w:rsidRPr="003F2DB9">
        <w:rPr>
          <w:rFonts w:ascii="Times New Roman" w:eastAsia="Times New Roman" w:hAnsi="Times New Roman" w:cs="Times New Roman"/>
          <w:sz w:val="16"/>
          <w:szCs w:val="16"/>
        </w:rPr>
        <w:t xml:space="preserve"> and</w:t>
      </w:r>
      <w:r w:rsidRPr="003F2DB9">
        <w:rPr>
          <w:rFonts w:ascii="Times New Roman" w:eastAsia="Times New Roman" w:hAnsi="Times New Roman" w:cs="Times New Roman"/>
          <w:sz w:val="16"/>
          <w:szCs w:val="16"/>
        </w:rPr>
        <w:t xml:space="preserve"> K. H. Johnson, “Green design and the market for commercial office space</w:t>
      </w:r>
      <w:r w:rsidR="00AA3F28" w:rsidRPr="003F2DB9">
        <w:rPr>
          <w:rFonts w:ascii="Times New Roman" w:eastAsia="Times New Roman" w:hAnsi="Times New Roman" w:cs="Times New Roman"/>
          <w:sz w:val="16"/>
          <w:szCs w:val="16"/>
        </w:rPr>
        <w:t>”,</w:t>
      </w:r>
      <w:r w:rsidRPr="003F2DB9">
        <w:rPr>
          <w:rFonts w:ascii="Times New Roman" w:eastAsia="Times New Roman" w:hAnsi="Times New Roman" w:cs="Times New Roman"/>
          <w:sz w:val="16"/>
          <w:szCs w:val="16"/>
        </w:rPr>
        <w:t xml:space="preserve"> The Journal of Real Estate Finance and Economics, </w:t>
      </w:r>
      <w:r w:rsidR="128F1C9E" w:rsidRPr="003F2DB9">
        <w:rPr>
          <w:rFonts w:ascii="Times New Roman" w:eastAsia="Times New Roman" w:hAnsi="Times New Roman" w:cs="Times New Roman"/>
          <w:sz w:val="16"/>
          <w:szCs w:val="16"/>
        </w:rPr>
        <w:t xml:space="preserve">vol. </w:t>
      </w:r>
      <w:r w:rsidRPr="003F2DB9">
        <w:rPr>
          <w:rFonts w:ascii="Times New Roman" w:eastAsia="Times New Roman" w:hAnsi="Times New Roman" w:cs="Times New Roman"/>
          <w:sz w:val="16"/>
          <w:szCs w:val="16"/>
        </w:rPr>
        <w:t>41</w:t>
      </w:r>
      <w:r w:rsidR="128F1C9E" w:rsidRPr="003F2DB9">
        <w:rPr>
          <w:rFonts w:ascii="Times New Roman" w:eastAsia="Times New Roman" w:hAnsi="Times New Roman" w:cs="Times New Roman"/>
          <w:sz w:val="16"/>
          <w:szCs w:val="16"/>
        </w:rPr>
        <w:t xml:space="preserve">, no. </w:t>
      </w:r>
      <w:r w:rsidRPr="003F2DB9">
        <w:rPr>
          <w:rFonts w:ascii="Times New Roman" w:eastAsia="Times New Roman" w:hAnsi="Times New Roman" w:cs="Times New Roman"/>
          <w:sz w:val="16"/>
          <w:szCs w:val="16"/>
        </w:rPr>
        <w:t>2, pp. 228-243, 2010.</w:t>
      </w:r>
    </w:p>
    <w:p w14:paraId="23B76DA9" w14:textId="77777777" w:rsidR="0027538D" w:rsidRPr="003F2DB9" w:rsidRDefault="0027538D" w:rsidP="0027538D">
      <w:pPr>
        <w:pStyle w:val="ListParagraph"/>
        <w:shd w:val="clear" w:color="auto" w:fill="FFFFFF" w:themeFill="background1"/>
        <w:spacing w:after="150" w:line="240" w:lineRule="auto"/>
        <w:ind w:left="426"/>
        <w:jc w:val="both"/>
        <w:rPr>
          <w:rFonts w:ascii="Times New Roman" w:eastAsia="Times New Roman" w:hAnsi="Times New Roman" w:cs="Times New Roman"/>
          <w:sz w:val="16"/>
          <w:szCs w:val="16"/>
        </w:rPr>
      </w:pPr>
    </w:p>
    <w:p w14:paraId="63043635" w14:textId="0EF45C5C" w:rsidR="00285518" w:rsidRPr="003F2DB9"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 xml:space="preserve">R. </w:t>
      </w:r>
      <w:proofErr w:type="spellStart"/>
      <w:r w:rsidRPr="003F2DB9">
        <w:rPr>
          <w:rFonts w:ascii="Times New Roman" w:eastAsia="Times New Roman" w:hAnsi="Times New Roman" w:cs="Times New Roman"/>
          <w:sz w:val="16"/>
          <w:szCs w:val="16"/>
        </w:rPr>
        <w:t>Holtermans</w:t>
      </w:r>
      <w:proofErr w:type="spellEnd"/>
      <w:r w:rsidRPr="003F2DB9">
        <w:rPr>
          <w:rFonts w:ascii="Times New Roman" w:eastAsia="Times New Roman" w:hAnsi="Times New Roman" w:cs="Times New Roman"/>
          <w:sz w:val="16"/>
          <w:szCs w:val="16"/>
        </w:rPr>
        <w:t xml:space="preserve"> </w:t>
      </w:r>
      <w:r w:rsidR="0038310A" w:rsidRPr="003F2DB9">
        <w:rPr>
          <w:rFonts w:ascii="Times New Roman" w:eastAsia="Times New Roman" w:hAnsi="Times New Roman" w:cs="Times New Roman"/>
          <w:sz w:val="16"/>
          <w:szCs w:val="16"/>
        </w:rPr>
        <w:t>and</w:t>
      </w:r>
      <w:r w:rsidRPr="003F2DB9">
        <w:rPr>
          <w:rFonts w:ascii="Times New Roman" w:eastAsia="Times New Roman" w:hAnsi="Times New Roman" w:cs="Times New Roman"/>
          <w:sz w:val="16"/>
          <w:szCs w:val="16"/>
        </w:rPr>
        <w:t xml:space="preserve"> N. Kok, “On the value of environmental certification in the commercial real estate market”, Real Estate Economics, </w:t>
      </w:r>
      <w:r w:rsidR="0038310A" w:rsidRPr="003F2DB9">
        <w:rPr>
          <w:rFonts w:ascii="Times New Roman" w:eastAsia="Times New Roman" w:hAnsi="Times New Roman" w:cs="Times New Roman"/>
          <w:sz w:val="16"/>
          <w:szCs w:val="16"/>
        </w:rPr>
        <w:t xml:space="preserve">vol. </w:t>
      </w:r>
      <w:r w:rsidRPr="003F2DB9">
        <w:rPr>
          <w:rFonts w:ascii="Times New Roman" w:eastAsia="Times New Roman" w:hAnsi="Times New Roman" w:cs="Times New Roman"/>
          <w:sz w:val="16"/>
          <w:szCs w:val="16"/>
        </w:rPr>
        <w:t>47</w:t>
      </w:r>
      <w:r w:rsidR="0038310A" w:rsidRPr="003F2DB9">
        <w:rPr>
          <w:rFonts w:ascii="Times New Roman" w:eastAsia="Times New Roman" w:hAnsi="Times New Roman" w:cs="Times New Roman"/>
          <w:sz w:val="16"/>
          <w:szCs w:val="16"/>
        </w:rPr>
        <w:t xml:space="preserve">, no. </w:t>
      </w:r>
      <w:r w:rsidRPr="003F2DB9">
        <w:rPr>
          <w:rFonts w:ascii="Times New Roman" w:eastAsia="Times New Roman" w:hAnsi="Times New Roman" w:cs="Times New Roman"/>
          <w:sz w:val="16"/>
          <w:szCs w:val="16"/>
        </w:rPr>
        <w:t>3, pp. 685-722, 2019.</w:t>
      </w:r>
    </w:p>
    <w:p w14:paraId="33A07E73" w14:textId="6C510E48" w:rsidR="00285518" w:rsidRPr="003F2DB9"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J. Liang, Y. Qiu</w:t>
      </w:r>
      <w:r w:rsidR="0027538D" w:rsidRPr="003F2DB9">
        <w:rPr>
          <w:rFonts w:ascii="Times New Roman" w:eastAsia="Times New Roman" w:hAnsi="Times New Roman" w:cs="Times New Roman"/>
          <w:sz w:val="16"/>
          <w:szCs w:val="16"/>
        </w:rPr>
        <w:t xml:space="preserve">, </w:t>
      </w:r>
      <w:r w:rsidRPr="003F2DB9">
        <w:rPr>
          <w:rFonts w:ascii="Times New Roman" w:eastAsia="Times New Roman" w:hAnsi="Times New Roman" w:cs="Times New Roman"/>
          <w:sz w:val="16"/>
          <w:szCs w:val="16"/>
        </w:rPr>
        <w:t>M. Hu, “Mind the energy performance gap: Evidence from green commercial buildings”, Resources</w:t>
      </w:r>
      <w:r w:rsidR="00244639" w:rsidRPr="003F2DB9">
        <w:rPr>
          <w:rFonts w:ascii="Times New Roman" w:eastAsia="Times New Roman" w:hAnsi="Times New Roman" w:cs="Times New Roman"/>
          <w:sz w:val="16"/>
          <w:szCs w:val="16"/>
        </w:rPr>
        <w:t>,</w:t>
      </w:r>
      <w:r w:rsidRPr="003F2DB9">
        <w:rPr>
          <w:rFonts w:ascii="Times New Roman" w:eastAsia="Times New Roman" w:hAnsi="Times New Roman" w:cs="Times New Roman"/>
          <w:sz w:val="16"/>
          <w:szCs w:val="16"/>
        </w:rPr>
        <w:t xml:space="preserve"> Conservation and Recycling, </w:t>
      </w:r>
      <w:r w:rsidR="00244639" w:rsidRPr="003F2DB9">
        <w:rPr>
          <w:rFonts w:ascii="Times New Roman" w:eastAsia="Times New Roman" w:hAnsi="Times New Roman" w:cs="Times New Roman"/>
          <w:sz w:val="16"/>
          <w:szCs w:val="16"/>
        </w:rPr>
        <w:t xml:space="preserve">vol. </w:t>
      </w:r>
      <w:r w:rsidRPr="003F2DB9">
        <w:rPr>
          <w:rFonts w:ascii="Times New Roman" w:eastAsia="Times New Roman" w:hAnsi="Times New Roman" w:cs="Times New Roman"/>
          <w:sz w:val="16"/>
          <w:szCs w:val="16"/>
        </w:rPr>
        <w:t>141,</w:t>
      </w:r>
      <w:r w:rsidR="00244639" w:rsidRPr="003F2DB9">
        <w:rPr>
          <w:rFonts w:ascii="Times New Roman" w:eastAsia="Times New Roman" w:hAnsi="Times New Roman" w:cs="Times New Roman"/>
          <w:sz w:val="16"/>
          <w:szCs w:val="16"/>
        </w:rPr>
        <w:t xml:space="preserve"> no. 78,</w:t>
      </w:r>
      <w:r w:rsidRPr="003F2DB9">
        <w:rPr>
          <w:rFonts w:ascii="Times New Roman" w:eastAsia="Times New Roman" w:hAnsi="Times New Roman" w:cs="Times New Roman"/>
          <w:sz w:val="16"/>
          <w:szCs w:val="16"/>
        </w:rPr>
        <w:t xml:space="preserve"> pp. 364-377, 2019.</w:t>
      </w:r>
      <w:r w:rsidR="0027538D" w:rsidRPr="003F2DB9">
        <w:rPr>
          <w:rFonts w:ascii="Times New Roman" w:eastAsia="Times New Roman" w:hAnsi="Times New Roman" w:cs="Times New Roman"/>
          <w:sz w:val="16"/>
          <w:szCs w:val="16"/>
        </w:rPr>
        <w:t xml:space="preserve"> https://doi.org/10.1016/j.resconrec.2018.10.021</w:t>
      </w:r>
    </w:p>
    <w:p w14:paraId="2F1FCA89" w14:textId="56DC4263" w:rsidR="00285518" w:rsidRPr="003F2DB9" w:rsidRDefault="6B79E008" w:rsidP="62723891">
      <w:pPr>
        <w:pStyle w:val="ListParagraph"/>
        <w:numPr>
          <w:ilvl w:val="0"/>
          <w:numId w:val="10"/>
        </w:numPr>
        <w:shd w:val="clear" w:color="auto" w:fill="FFFFFF" w:themeFill="background1"/>
        <w:spacing w:after="150" w:line="240" w:lineRule="auto"/>
        <w:ind w:left="426" w:hanging="426"/>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P. Das, A. Tidwell</w:t>
      </w:r>
      <w:r w:rsidR="00843443" w:rsidRPr="003F2DB9">
        <w:rPr>
          <w:rFonts w:ascii="Times New Roman" w:eastAsia="Times New Roman" w:hAnsi="Times New Roman" w:cs="Times New Roman"/>
          <w:sz w:val="16"/>
          <w:szCs w:val="16"/>
        </w:rPr>
        <w:t xml:space="preserve">, </w:t>
      </w:r>
      <w:r w:rsidRPr="003F2DB9">
        <w:rPr>
          <w:rFonts w:ascii="Times New Roman" w:eastAsia="Times New Roman" w:hAnsi="Times New Roman" w:cs="Times New Roman"/>
          <w:sz w:val="16"/>
          <w:szCs w:val="16"/>
        </w:rPr>
        <w:t>A. Ziobrowski, “Dynamics of green rentals over market cycles: evidence from commercial office properties in San Francisco and Washington DC</w:t>
      </w:r>
      <w:r w:rsidR="00AA3F28" w:rsidRPr="003F2DB9">
        <w:rPr>
          <w:rFonts w:ascii="Times New Roman" w:eastAsia="Times New Roman" w:hAnsi="Times New Roman" w:cs="Times New Roman"/>
          <w:sz w:val="16"/>
          <w:szCs w:val="16"/>
        </w:rPr>
        <w:t>”,</w:t>
      </w:r>
      <w:r w:rsidRPr="003F2DB9">
        <w:rPr>
          <w:rFonts w:ascii="Times New Roman" w:eastAsia="Times New Roman" w:hAnsi="Times New Roman" w:cs="Times New Roman"/>
          <w:sz w:val="16"/>
          <w:szCs w:val="16"/>
        </w:rPr>
        <w:t xml:space="preserve"> Journal of Sustainable Real Estate, </w:t>
      </w:r>
      <w:r w:rsidR="33B3DCBE" w:rsidRPr="003F2DB9">
        <w:rPr>
          <w:rFonts w:ascii="Times New Roman" w:eastAsia="Times New Roman" w:hAnsi="Times New Roman" w:cs="Times New Roman"/>
          <w:sz w:val="16"/>
          <w:szCs w:val="16"/>
        </w:rPr>
        <w:t xml:space="preserve">vol. </w:t>
      </w:r>
      <w:r w:rsidRPr="003F2DB9">
        <w:rPr>
          <w:rFonts w:ascii="Times New Roman" w:eastAsia="Times New Roman" w:hAnsi="Times New Roman" w:cs="Times New Roman"/>
          <w:sz w:val="16"/>
          <w:szCs w:val="16"/>
        </w:rPr>
        <w:t>3</w:t>
      </w:r>
      <w:r w:rsidR="33B3DCBE" w:rsidRPr="003F2DB9">
        <w:rPr>
          <w:rFonts w:ascii="Times New Roman" w:eastAsia="Times New Roman" w:hAnsi="Times New Roman" w:cs="Times New Roman"/>
          <w:sz w:val="16"/>
          <w:szCs w:val="16"/>
        </w:rPr>
        <w:t xml:space="preserve">, no. </w:t>
      </w:r>
      <w:r w:rsidRPr="003F2DB9">
        <w:rPr>
          <w:rFonts w:ascii="Times New Roman" w:eastAsia="Times New Roman" w:hAnsi="Times New Roman" w:cs="Times New Roman"/>
          <w:sz w:val="16"/>
          <w:szCs w:val="16"/>
        </w:rPr>
        <w:t>1, pp. 1-22, 2011.</w:t>
      </w:r>
    </w:p>
    <w:p w14:paraId="4DDAB095" w14:textId="77777777" w:rsidR="0027538D" w:rsidRPr="003F2DB9" w:rsidRDefault="0027538D" w:rsidP="0027538D">
      <w:pPr>
        <w:pStyle w:val="ListParagraph"/>
        <w:shd w:val="clear" w:color="auto" w:fill="FFFFFF" w:themeFill="background1"/>
        <w:spacing w:after="150" w:line="240" w:lineRule="auto"/>
        <w:ind w:left="426"/>
        <w:jc w:val="both"/>
        <w:rPr>
          <w:rFonts w:ascii="Times New Roman" w:eastAsia="Times New Roman" w:hAnsi="Times New Roman" w:cs="Times New Roman"/>
          <w:sz w:val="16"/>
          <w:szCs w:val="16"/>
        </w:rPr>
      </w:pPr>
    </w:p>
    <w:p w14:paraId="71A9AB8E" w14:textId="7A54E876" w:rsidR="00285518" w:rsidRPr="003F2DB9" w:rsidRDefault="6B79E008" w:rsidP="62723891">
      <w:pPr>
        <w:pStyle w:val="ListParagraph"/>
        <w:numPr>
          <w:ilvl w:val="0"/>
          <w:numId w:val="10"/>
        </w:numPr>
        <w:shd w:val="clear" w:color="auto" w:fill="FFFFFF" w:themeFill="background1"/>
        <w:spacing w:after="150" w:line="240" w:lineRule="auto"/>
        <w:ind w:left="426" w:hanging="426"/>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 xml:space="preserve">P. Das </w:t>
      </w:r>
      <w:r w:rsidR="33B3DCBE" w:rsidRPr="003F2DB9">
        <w:rPr>
          <w:rFonts w:ascii="Times New Roman" w:eastAsia="Times New Roman" w:hAnsi="Times New Roman" w:cs="Times New Roman"/>
          <w:sz w:val="16"/>
          <w:szCs w:val="16"/>
        </w:rPr>
        <w:t>and</w:t>
      </w:r>
      <w:r w:rsidRPr="003F2DB9">
        <w:rPr>
          <w:rFonts w:ascii="Times New Roman" w:eastAsia="Times New Roman" w:hAnsi="Times New Roman" w:cs="Times New Roman"/>
          <w:sz w:val="16"/>
          <w:szCs w:val="16"/>
        </w:rPr>
        <w:t xml:space="preserve"> J. A. Wiley, </w:t>
      </w:r>
      <w:r w:rsidR="33B3DCBE" w:rsidRPr="003F2DB9">
        <w:rPr>
          <w:rFonts w:ascii="Times New Roman" w:eastAsia="Times New Roman" w:hAnsi="Times New Roman" w:cs="Times New Roman"/>
          <w:sz w:val="16"/>
          <w:szCs w:val="16"/>
        </w:rPr>
        <w:t>“</w:t>
      </w:r>
      <w:r w:rsidRPr="003F2DB9">
        <w:rPr>
          <w:rFonts w:ascii="Times New Roman" w:eastAsia="Times New Roman" w:hAnsi="Times New Roman" w:cs="Times New Roman"/>
          <w:sz w:val="16"/>
          <w:szCs w:val="16"/>
        </w:rPr>
        <w:t>Determinants of premia for energy-efficient design in the office market</w:t>
      </w:r>
      <w:r w:rsidR="00AA3F28" w:rsidRPr="003F2DB9">
        <w:rPr>
          <w:rFonts w:ascii="Times New Roman" w:eastAsia="Times New Roman" w:hAnsi="Times New Roman" w:cs="Times New Roman"/>
          <w:sz w:val="16"/>
          <w:szCs w:val="16"/>
        </w:rPr>
        <w:t>”,</w:t>
      </w:r>
      <w:r w:rsidRPr="003F2DB9">
        <w:rPr>
          <w:rFonts w:ascii="Times New Roman" w:eastAsia="Times New Roman" w:hAnsi="Times New Roman" w:cs="Times New Roman"/>
          <w:sz w:val="16"/>
          <w:szCs w:val="16"/>
        </w:rPr>
        <w:t xml:space="preserve"> Journal of Property Research, </w:t>
      </w:r>
      <w:r w:rsidR="33B3DCBE" w:rsidRPr="003F2DB9">
        <w:rPr>
          <w:rFonts w:ascii="Times New Roman" w:eastAsia="Times New Roman" w:hAnsi="Times New Roman" w:cs="Times New Roman"/>
          <w:sz w:val="16"/>
          <w:szCs w:val="16"/>
        </w:rPr>
        <w:t xml:space="preserve">vol. </w:t>
      </w:r>
      <w:r w:rsidRPr="003F2DB9">
        <w:rPr>
          <w:rFonts w:ascii="Times New Roman" w:eastAsia="Times New Roman" w:hAnsi="Times New Roman" w:cs="Times New Roman"/>
          <w:sz w:val="16"/>
          <w:szCs w:val="16"/>
        </w:rPr>
        <w:t>31</w:t>
      </w:r>
      <w:r w:rsidR="33B3DCBE" w:rsidRPr="003F2DB9">
        <w:rPr>
          <w:rFonts w:ascii="Times New Roman" w:eastAsia="Times New Roman" w:hAnsi="Times New Roman" w:cs="Times New Roman"/>
          <w:sz w:val="16"/>
          <w:szCs w:val="16"/>
        </w:rPr>
        <w:t xml:space="preserve">, no. </w:t>
      </w:r>
      <w:r w:rsidRPr="003F2DB9">
        <w:rPr>
          <w:rFonts w:ascii="Times New Roman" w:eastAsia="Times New Roman" w:hAnsi="Times New Roman" w:cs="Times New Roman"/>
          <w:sz w:val="16"/>
          <w:szCs w:val="16"/>
        </w:rPr>
        <w:t>1, pp. 64-86, 2014.</w:t>
      </w:r>
    </w:p>
    <w:p w14:paraId="6B31B837" w14:textId="77777777" w:rsidR="0027538D" w:rsidRPr="003F2DB9" w:rsidRDefault="0027538D" w:rsidP="0027538D">
      <w:pPr>
        <w:pStyle w:val="ListParagraph"/>
        <w:rPr>
          <w:rFonts w:ascii="Times New Roman" w:eastAsia="Times New Roman" w:hAnsi="Times New Roman" w:cs="Times New Roman"/>
          <w:sz w:val="16"/>
          <w:szCs w:val="16"/>
        </w:rPr>
      </w:pPr>
    </w:p>
    <w:p w14:paraId="152752DC" w14:textId="076E0835" w:rsidR="00285518" w:rsidRPr="003F2DB9" w:rsidRDefault="003029DE" w:rsidP="62723891">
      <w:pPr>
        <w:pStyle w:val="ListParagraph"/>
        <w:numPr>
          <w:ilvl w:val="0"/>
          <w:numId w:val="10"/>
        </w:numPr>
        <w:shd w:val="clear" w:color="auto" w:fill="FFFFFF" w:themeFill="background1"/>
        <w:spacing w:after="150" w:line="240" w:lineRule="auto"/>
        <w:ind w:left="426" w:hanging="426"/>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S. Robinson, R. Simons, E. Lee, A. Kern, “</w:t>
      </w:r>
      <w:r w:rsidR="6B79E008" w:rsidRPr="003F2DB9">
        <w:rPr>
          <w:rFonts w:ascii="Times New Roman" w:eastAsia="Times New Roman" w:hAnsi="Times New Roman" w:cs="Times New Roman"/>
          <w:sz w:val="16"/>
          <w:szCs w:val="16"/>
        </w:rPr>
        <w:t>Demand for green buildings: Office tenants’ stated willingness-to-pay for green features</w:t>
      </w:r>
      <w:r w:rsidR="00AA3F28" w:rsidRPr="003F2DB9">
        <w:rPr>
          <w:rFonts w:ascii="Times New Roman" w:eastAsia="Times New Roman" w:hAnsi="Times New Roman" w:cs="Times New Roman"/>
          <w:sz w:val="16"/>
          <w:szCs w:val="16"/>
        </w:rPr>
        <w:t xml:space="preserve">”, </w:t>
      </w:r>
      <w:r w:rsidR="6B79E008" w:rsidRPr="003F2DB9">
        <w:rPr>
          <w:rFonts w:ascii="Times New Roman" w:eastAsia="Times New Roman" w:hAnsi="Times New Roman" w:cs="Times New Roman"/>
          <w:sz w:val="16"/>
          <w:szCs w:val="16"/>
        </w:rPr>
        <w:t>Journal of Real Estate Research, 38(3), pp. 423-452, 2016.</w:t>
      </w:r>
    </w:p>
    <w:p w14:paraId="0F0B28C9" w14:textId="77777777" w:rsidR="0027538D" w:rsidRPr="003F2DB9" w:rsidRDefault="0027538D" w:rsidP="0027538D">
      <w:pPr>
        <w:pStyle w:val="ListParagraph"/>
        <w:rPr>
          <w:rFonts w:ascii="Times New Roman" w:eastAsia="Times New Roman" w:hAnsi="Times New Roman" w:cs="Times New Roman"/>
          <w:sz w:val="16"/>
          <w:szCs w:val="16"/>
        </w:rPr>
      </w:pPr>
    </w:p>
    <w:p w14:paraId="20A28788" w14:textId="5A3EBAF9" w:rsidR="00285518" w:rsidRPr="003F2DB9"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 xml:space="preserve">I. Turan, A. </w:t>
      </w:r>
      <w:proofErr w:type="spellStart"/>
      <w:r w:rsidRPr="003F2DB9">
        <w:rPr>
          <w:rFonts w:ascii="Times New Roman" w:eastAsia="Times New Roman" w:hAnsi="Times New Roman" w:cs="Times New Roman"/>
          <w:sz w:val="16"/>
          <w:szCs w:val="16"/>
        </w:rPr>
        <w:t>Chegut</w:t>
      </w:r>
      <w:proofErr w:type="spellEnd"/>
      <w:r w:rsidRPr="003F2DB9">
        <w:rPr>
          <w:rFonts w:ascii="Times New Roman" w:eastAsia="Times New Roman" w:hAnsi="Times New Roman" w:cs="Times New Roman"/>
          <w:sz w:val="16"/>
          <w:szCs w:val="16"/>
        </w:rPr>
        <w:t>, D. Fink</w:t>
      </w:r>
      <w:r w:rsidR="00843443" w:rsidRPr="003F2DB9">
        <w:rPr>
          <w:rFonts w:ascii="Times New Roman" w:eastAsia="Times New Roman" w:hAnsi="Times New Roman" w:cs="Times New Roman"/>
          <w:sz w:val="16"/>
          <w:szCs w:val="16"/>
        </w:rPr>
        <w:t xml:space="preserve">, </w:t>
      </w:r>
      <w:r w:rsidRPr="003F2DB9">
        <w:rPr>
          <w:rFonts w:ascii="Times New Roman" w:eastAsia="Times New Roman" w:hAnsi="Times New Roman" w:cs="Times New Roman"/>
          <w:sz w:val="16"/>
          <w:szCs w:val="16"/>
        </w:rPr>
        <w:t xml:space="preserve">C. Reinhart, “The value of daylight in office spaces”, Building and Environment, </w:t>
      </w:r>
      <w:r w:rsidR="00244639" w:rsidRPr="003F2DB9">
        <w:rPr>
          <w:rFonts w:ascii="Times New Roman" w:eastAsia="Times New Roman" w:hAnsi="Times New Roman" w:cs="Times New Roman"/>
          <w:sz w:val="16"/>
          <w:szCs w:val="16"/>
        </w:rPr>
        <w:t xml:space="preserve">vol. </w:t>
      </w:r>
      <w:r w:rsidRPr="003F2DB9">
        <w:rPr>
          <w:rFonts w:ascii="Times New Roman" w:eastAsia="Times New Roman" w:hAnsi="Times New Roman" w:cs="Times New Roman"/>
          <w:sz w:val="16"/>
          <w:szCs w:val="16"/>
        </w:rPr>
        <w:t>168, 2020.</w:t>
      </w:r>
    </w:p>
    <w:p w14:paraId="16363C6F" w14:textId="45667A48" w:rsidR="00285518" w:rsidRPr="003F2DB9" w:rsidRDefault="6B79E008" w:rsidP="62723891">
      <w:pPr>
        <w:pStyle w:val="ListParagraph"/>
        <w:numPr>
          <w:ilvl w:val="0"/>
          <w:numId w:val="10"/>
        </w:numPr>
        <w:shd w:val="clear" w:color="auto" w:fill="FFFFFF" w:themeFill="background1"/>
        <w:spacing w:after="150" w:line="240" w:lineRule="auto"/>
        <w:ind w:left="426" w:hanging="426"/>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S. Robinson, R. Simons</w:t>
      </w:r>
      <w:r w:rsidR="00843443" w:rsidRPr="003F2DB9">
        <w:rPr>
          <w:rFonts w:ascii="Times New Roman" w:eastAsia="Times New Roman" w:hAnsi="Times New Roman" w:cs="Times New Roman"/>
          <w:sz w:val="16"/>
          <w:szCs w:val="16"/>
        </w:rPr>
        <w:t xml:space="preserve">, </w:t>
      </w:r>
      <w:r w:rsidRPr="003F2DB9">
        <w:rPr>
          <w:rFonts w:ascii="Times New Roman" w:eastAsia="Times New Roman" w:hAnsi="Times New Roman" w:cs="Times New Roman"/>
          <w:sz w:val="16"/>
          <w:szCs w:val="16"/>
        </w:rPr>
        <w:t>E. Lee, “Which green office building features do tenants pay for? A study of observed rental effects</w:t>
      </w:r>
      <w:r w:rsidR="00AA3F28" w:rsidRPr="003F2DB9">
        <w:rPr>
          <w:rFonts w:ascii="Times New Roman" w:eastAsia="Times New Roman" w:hAnsi="Times New Roman" w:cs="Times New Roman"/>
          <w:sz w:val="16"/>
          <w:szCs w:val="16"/>
        </w:rPr>
        <w:t>”,</w:t>
      </w:r>
      <w:r w:rsidRPr="003F2DB9">
        <w:rPr>
          <w:rFonts w:ascii="Times New Roman" w:eastAsia="Times New Roman" w:hAnsi="Times New Roman" w:cs="Times New Roman"/>
          <w:sz w:val="16"/>
          <w:szCs w:val="16"/>
        </w:rPr>
        <w:t xml:space="preserve"> Journal of Real Estate Research, </w:t>
      </w:r>
      <w:r w:rsidR="2507780E" w:rsidRPr="003F2DB9">
        <w:rPr>
          <w:rFonts w:ascii="Times New Roman" w:eastAsia="Times New Roman" w:hAnsi="Times New Roman" w:cs="Times New Roman"/>
          <w:sz w:val="16"/>
          <w:szCs w:val="16"/>
        </w:rPr>
        <w:t xml:space="preserve">vol. </w:t>
      </w:r>
      <w:r w:rsidRPr="003F2DB9">
        <w:rPr>
          <w:rFonts w:ascii="Times New Roman" w:eastAsia="Times New Roman" w:hAnsi="Times New Roman" w:cs="Times New Roman"/>
          <w:sz w:val="16"/>
          <w:szCs w:val="16"/>
        </w:rPr>
        <w:t>39</w:t>
      </w:r>
      <w:r w:rsidR="2507780E" w:rsidRPr="003F2DB9">
        <w:rPr>
          <w:rFonts w:ascii="Times New Roman" w:eastAsia="Times New Roman" w:hAnsi="Times New Roman" w:cs="Times New Roman"/>
          <w:sz w:val="16"/>
          <w:szCs w:val="16"/>
        </w:rPr>
        <w:t xml:space="preserve">, no. </w:t>
      </w:r>
      <w:r w:rsidRPr="003F2DB9">
        <w:rPr>
          <w:rFonts w:ascii="Times New Roman" w:eastAsia="Times New Roman" w:hAnsi="Times New Roman" w:cs="Times New Roman"/>
          <w:sz w:val="16"/>
          <w:szCs w:val="16"/>
        </w:rPr>
        <w:t xml:space="preserve">4, </w:t>
      </w:r>
      <w:r w:rsidR="2507780E" w:rsidRPr="003F2DB9">
        <w:rPr>
          <w:rFonts w:ascii="Times New Roman" w:eastAsia="Times New Roman" w:hAnsi="Times New Roman" w:cs="Times New Roman"/>
          <w:sz w:val="16"/>
          <w:szCs w:val="16"/>
        </w:rPr>
        <w:t xml:space="preserve">pp. </w:t>
      </w:r>
      <w:r w:rsidRPr="003F2DB9">
        <w:rPr>
          <w:rFonts w:ascii="Times New Roman" w:eastAsia="Times New Roman" w:hAnsi="Times New Roman" w:cs="Times New Roman"/>
          <w:sz w:val="16"/>
          <w:szCs w:val="16"/>
        </w:rPr>
        <w:t>467-492, 2017.</w:t>
      </w:r>
    </w:p>
    <w:p w14:paraId="36600CEE" w14:textId="77777777" w:rsidR="00843443" w:rsidRPr="003F2DB9" w:rsidRDefault="00843443" w:rsidP="00843443">
      <w:pPr>
        <w:pStyle w:val="ListParagraph"/>
        <w:shd w:val="clear" w:color="auto" w:fill="FFFFFF" w:themeFill="background1"/>
        <w:spacing w:after="150" w:line="240" w:lineRule="auto"/>
        <w:ind w:left="426"/>
        <w:jc w:val="both"/>
        <w:rPr>
          <w:rFonts w:ascii="Times New Roman" w:eastAsia="Times New Roman" w:hAnsi="Times New Roman" w:cs="Times New Roman"/>
          <w:sz w:val="16"/>
          <w:szCs w:val="16"/>
        </w:rPr>
      </w:pPr>
    </w:p>
    <w:p w14:paraId="39B92180" w14:textId="0ADF7886" w:rsidR="00285518" w:rsidRPr="003F2DB9" w:rsidRDefault="6B79E008" w:rsidP="62723891">
      <w:pPr>
        <w:pStyle w:val="ListParagraph"/>
        <w:numPr>
          <w:ilvl w:val="0"/>
          <w:numId w:val="10"/>
        </w:numPr>
        <w:shd w:val="clear" w:color="auto" w:fill="FFFFFF" w:themeFill="background1"/>
        <w:spacing w:after="150" w:line="240" w:lineRule="auto"/>
        <w:ind w:left="426" w:hanging="426"/>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 xml:space="preserve">S. Robinson </w:t>
      </w:r>
      <w:r w:rsidR="2507780E" w:rsidRPr="003F2DB9">
        <w:rPr>
          <w:rFonts w:ascii="Times New Roman" w:eastAsia="Times New Roman" w:hAnsi="Times New Roman" w:cs="Times New Roman"/>
          <w:sz w:val="16"/>
          <w:szCs w:val="16"/>
        </w:rPr>
        <w:t>and</w:t>
      </w:r>
      <w:r w:rsidRPr="003F2DB9">
        <w:rPr>
          <w:rFonts w:ascii="Times New Roman" w:eastAsia="Times New Roman" w:hAnsi="Times New Roman" w:cs="Times New Roman"/>
          <w:sz w:val="16"/>
          <w:szCs w:val="16"/>
        </w:rPr>
        <w:t xml:space="preserve"> P. McAllister, “Heterogeneous price premiums in sustainable real estate? An investigation of the relation between value and price premiums</w:t>
      </w:r>
      <w:r w:rsidR="00AA3F28" w:rsidRPr="003F2DB9">
        <w:rPr>
          <w:rFonts w:ascii="Times New Roman" w:eastAsia="Times New Roman" w:hAnsi="Times New Roman" w:cs="Times New Roman"/>
          <w:sz w:val="16"/>
          <w:szCs w:val="16"/>
        </w:rPr>
        <w:t>”,</w:t>
      </w:r>
      <w:r w:rsidRPr="003F2DB9">
        <w:rPr>
          <w:rFonts w:ascii="Times New Roman" w:eastAsia="Times New Roman" w:hAnsi="Times New Roman" w:cs="Times New Roman"/>
          <w:sz w:val="16"/>
          <w:szCs w:val="16"/>
        </w:rPr>
        <w:t xml:space="preserve"> Journal of Sustainable Real Estate, </w:t>
      </w:r>
      <w:r w:rsidR="2507780E" w:rsidRPr="003F2DB9">
        <w:rPr>
          <w:rFonts w:ascii="Times New Roman" w:eastAsia="Times New Roman" w:hAnsi="Times New Roman" w:cs="Times New Roman"/>
          <w:sz w:val="16"/>
          <w:szCs w:val="16"/>
        </w:rPr>
        <w:t xml:space="preserve">vol. </w:t>
      </w:r>
      <w:r w:rsidRPr="003F2DB9">
        <w:rPr>
          <w:rFonts w:ascii="Times New Roman" w:eastAsia="Times New Roman" w:hAnsi="Times New Roman" w:cs="Times New Roman"/>
          <w:sz w:val="16"/>
          <w:szCs w:val="16"/>
        </w:rPr>
        <w:t>7</w:t>
      </w:r>
      <w:r w:rsidR="2507780E" w:rsidRPr="003F2DB9">
        <w:rPr>
          <w:rFonts w:ascii="Times New Roman" w:eastAsia="Times New Roman" w:hAnsi="Times New Roman" w:cs="Times New Roman"/>
          <w:sz w:val="16"/>
          <w:szCs w:val="16"/>
        </w:rPr>
        <w:t xml:space="preserve">, no. </w:t>
      </w:r>
      <w:r w:rsidRPr="003F2DB9">
        <w:rPr>
          <w:rFonts w:ascii="Times New Roman" w:eastAsia="Times New Roman" w:hAnsi="Times New Roman" w:cs="Times New Roman"/>
          <w:sz w:val="16"/>
          <w:szCs w:val="16"/>
        </w:rPr>
        <w:t xml:space="preserve">1, </w:t>
      </w:r>
      <w:r w:rsidR="2507780E" w:rsidRPr="003F2DB9">
        <w:rPr>
          <w:rFonts w:ascii="Times New Roman" w:eastAsia="Times New Roman" w:hAnsi="Times New Roman" w:cs="Times New Roman"/>
          <w:sz w:val="16"/>
          <w:szCs w:val="16"/>
        </w:rPr>
        <w:t xml:space="preserve">pp. </w:t>
      </w:r>
      <w:r w:rsidRPr="003F2DB9">
        <w:rPr>
          <w:rFonts w:ascii="Times New Roman" w:eastAsia="Times New Roman" w:hAnsi="Times New Roman" w:cs="Times New Roman"/>
          <w:sz w:val="16"/>
          <w:szCs w:val="16"/>
        </w:rPr>
        <w:t>1-20, 2015.</w:t>
      </w:r>
    </w:p>
    <w:p w14:paraId="665FF002" w14:textId="77777777" w:rsidR="00843443" w:rsidRPr="003F2DB9" w:rsidRDefault="00843443" w:rsidP="00843443">
      <w:pPr>
        <w:pStyle w:val="ListParagraph"/>
        <w:rPr>
          <w:rFonts w:ascii="Times New Roman" w:eastAsia="Times New Roman" w:hAnsi="Times New Roman" w:cs="Times New Roman"/>
          <w:sz w:val="16"/>
          <w:szCs w:val="16"/>
        </w:rPr>
      </w:pPr>
    </w:p>
    <w:p w14:paraId="0E4707AA" w14:textId="61202B8C" w:rsidR="00285518" w:rsidRPr="003F2DB9" w:rsidRDefault="6B79E008" w:rsidP="62723891">
      <w:pPr>
        <w:pStyle w:val="ListParagraph"/>
        <w:numPr>
          <w:ilvl w:val="0"/>
          <w:numId w:val="10"/>
        </w:numPr>
        <w:shd w:val="clear" w:color="auto" w:fill="FFFFFF" w:themeFill="background1"/>
        <w:spacing w:after="150" w:line="240" w:lineRule="auto"/>
        <w:ind w:left="426" w:hanging="426"/>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 xml:space="preserve">D. Harrison </w:t>
      </w:r>
      <w:r w:rsidR="2507780E" w:rsidRPr="003F2DB9">
        <w:rPr>
          <w:rFonts w:ascii="Times New Roman" w:eastAsia="Times New Roman" w:hAnsi="Times New Roman" w:cs="Times New Roman"/>
          <w:sz w:val="16"/>
          <w:szCs w:val="16"/>
        </w:rPr>
        <w:t>and</w:t>
      </w:r>
      <w:r w:rsidRPr="003F2DB9">
        <w:rPr>
          <w:rFonts w:ascii="Times New Roman" w:eastAsia="Times New Roman" w:hAnsi="Times New Roman" w:cs="Times New Roman"/>
          <w:sz w:val="16"/>
          <w:szCs w:val="16"/>
        </w:rPr>
        <w:t xml:space="preserve"> M. Seiler, “The political economy of green office buildings</w:t>
      </w:r>
      <w:r w:rsidR="00AA3F28" w:rsidRPr="003F2DB9">
        <w:rPr>
          <w:rFonts w:ascii="Times New Roman" w:eastAsia="Times New Roman" w:hAnsi="Times New Roman" w:cs="Times New Roman"/>
          <w:sz w:val="16"/>
          <w:szCs w:val="16"/>
        </w:rPr>
        <w:t>”,</w:t>
      </w:r>
      <w:r w:rsidRPr="003F2DB9">
        <w:rPr>
          <w:rFonts w:ascii="Times New Roman" w:eastAsia="Times New Roman" w:hAnsi="Times New Roman" w:cs="Times New Roman"/>
          <w:sz w:val="16"/>
          <w:szCs w:val="16"/>
        </w:rPr>
        <w:t xml:space="preserve"> Journal of Property Investment &amp; Finance, 2011.</w:t>
      </w:r>
    </w:p>
    <w:p w14:paraId="65EDC1F9" w14:textId="77777777" w:rsidR="00843443" w:rsidRPr="003F2DB9" w:rsidRDefault="00843443" w:rsidP="00843443">
      <w:pPr>
        <w:pStyle w:val="ListParagraph"/>
        <w:rPr>
          <w:rFonts w:ascii="Times New Roman" w:eastAsia="Times New Roman" w:hAnsi="Times New Roman" w:cs="Times New Roman"/>
          <w:sz w:val="16"/>
          <w:szCs w:val="16"/>
        </w:rPr>
      </w:pPr>
    </w:p>
    <w:p w14:paraId="55FDC844" w14:textId="77BA6F91" w:rsidR="00285518" w:rsidRPr="003F2DB9"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C. Zhu, A. White, P. Mathew, J. Deason</w:t>
      </w:r>
      <w:r w:rsidR="00843443" w:rsidRPr="003F2DB9">
        <w:rPr>
          <w:rFonts w:ascii="Times New Roman" w:eastAsia="Times New Roman" w:hAnsi="Times New Roman" w:cs="Times New Roman"/>
          <w:sz w:val="16"/>
          <w:szCs w:val="16"/>
        </w:rPr>
        <w:t xml:space="preserve">, </w:t>
      </w:r>
      <w:r w:rsidRPr="003F2DB9">
        <w:rPr>
          <w:rFonts w:ascii="Times New Roman" w:eastAsia="Times New Roman" w:hAnsi="Times New Roman" w:cs="Times New Roman"/>
          <w:sz w:val="16"/>
          <w:szCs w:val="16"/>
        </w:rPr>
        <w:t xml:space="preserve">P. Coleman, “Raising the rent premium: Moving green building research beyond certifications and rent”, </w:t>
      </w:r>
      <w:r w:rsidR="00795D79" w:rsidRPr="003F2DB9">
        <w:rPr>
          <w:rFonts w:ascii="Times New Roman" w:eastAsia="Times New Roman" w:hAnsi="Times New Roman" w:cs="Times New Roman"/>
          <w:sz w:val="16"/>
          <w:szCs w:val="16"/>
        </w:rPr>
        <w:t>Summer Study on Energy Efficiency in Buildings</w:t>
      </w:r>
      <w:r w:rsidRPr="003F2DB9">
        <w:rPr>
          <w:rFonts w:ascii="Times New Roman" w:eastAsia="Times New Roman" w:hAnsi="Times New Roman" w:cs="Times New Roman"/>
          <w:sz w:val="16"/>
          <w:szCs w:val="16"/>
        </w:rPr>
        <w:t xml:space="preserve">, </w:t>
      </w:r>
      <w:r w:rsidR="00795D79" w:rsidRPr="003F2DB9">
        <w:rPr>
          <w:rFonts w:ascii="Times New Roman" w:eastAsia="Times New Roman" w:hAnsi="Times New Roman" w:cs="Times New Roman"/>
          <w:sz w:val="16"/>
          <w:szCs w:val="16"/>
        </w:rPr>
        <w:t>2018</w:t>
      </w:r>
      <w:r w:rsidRPr="003F2DB9">
        <w:rPr>
          <w:rFonts w:ascii="Times New Roman" w:eastAsia="Times New Roman" w:hAnsi="Times New Roman" w:cs="Times New Roman"/>
          <w:sz w:val="16"/>
          <w:szCs w:val="16"/>
        </w:rPr>
        <w:t>.</w:t>
      </w:r>
    </w:p>
    <w:p w14:paraId="03F8CBCC" w14:textId="777F0EAD" w:rsidR="00285518" w:rsidRPr="003F2DB9"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 xml:space="preserve">A. </w:t>
      </w:r>
      <w:proofErr w:type="spellStart"/>
      <w:r w:rsidRPr="003F2DB9">
        <w:rPr>
          <w:rFonts w:ascii="Times New Roman" w:eastAsia="Times New Roman" w:hAnsi="Times New Roman" w:cs="Times New Roman"/>
          <w:sz w:val="16"/>
          <w:szCs w:val="16"/>
        </w:rPr>
        <w:t>Chegut</w:t>
      </w:r>
      <w:proofErr w:type="spellEnd"/>
      <w:r w:rsidRPr="003F2DB9">
        <w:rPr>
          <w:rFonts w:ascii="Times New Roman" w:eastAsia="Times New Roman" w:hAnsi="Times New Roman" w:cs="Times New Roman"/>
          <w:sz w:val="16"/>
          <w:szCs w:val="16"/>
        </w:rPr>
        <w:t xml:space="preserve">, P. Eichholtz, N. Kok </w:t>
      </w:r>
      <w:r w:rsidR="00795D79" w:rsidRPr="003F2DB9">
        <w:rPr>
          <w:rFonts w:ascii="Times New Roman" w:eastAsia="Times New Roman" w:hAnsi="Times New Roman" w:cs="Times New Roman"/>
          <w:sz w:val="16"/>
          <w:szCs w:val="16"/>
        </w:rPr>
        <w:t>and</w:t>
      </w:r>
      <w:r w:rsidRPr="003F2DB9">
        <w:rPr>
          <w:rFonts w:ascii="Times New Roman" w:eastAsia="Times New Roman" w:hAnsi="Times New Roman" w:cs="Times New Roman"/>
          <w:sz w:val="16"/>
          <w:szCs w:val="16"/>
        </w:rPr>
        <w:t xml:space="preserve"> J. M. Quigley, “The value of green buildings: new evidence from the United Kingdom”, ERES 2010 proceedings, 2011.</w:t>
      </w:r>
    </w:p>
    <w:p w14:paraId="7AAF0495" w14:textId="7E107389" w:rsidR="00285518" w:rsidRPr="003F2DB9"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 xml:space="preserve">N. Kok </w:t>
      </w:r>
      <w:r w:rsidR="00795D79" w:rsidRPr="003F2DB9">
        <w:rPr>
          <w:rFonts w:ascii="Times New Roman" w:eastAsia="Times New Roman" w:hAnsi="Times New Roman" w:cs="Times New Roman"/>
          <w:sz w:val="16"/>
          <w:szCs w:val="16"/>
        </w:rPr>
        <w:t>and</w:t>
      </w:r>
      <w:r w:rsidRPr="003F2DB9">
        <w:rPr>
          <w:rFonts w:ascii="Times New Roman" w:eastAsia="Times New Roman" w:hAnsi="Times New Roman" w:cs="Times New Roman"/>
          <w:sz w:val="16"/>
          <w:szCs w:val="16"/>
        </w:rPr>
        <w:t xml:space="preserve"> M. Jennen, “The impact of energy labels and accessibility on office rents”, Energy Policy, </w:t>
      </w:r>
      <w:r w:rsidR="00795D79" w:rsidRPr="003F2DB9">
        <w:rPr>
          <w:rFonts w:ascii="Times New Roman" w:eastAsia="Times New Roman" w:hAnsi="Times New Roman" w:cs="Times New Roman"/>
          <w:sz w:val="16"/>
          <w:szCs w:val="16"/>
        </w:rPr>
        <w:t xml:space="preserve">vol. </w:t>
      </w:r>
      <w:r w:rsidRPr="003F2DB9">
        <w:rPr>
          <w:rFonts w:ascii="Times New Roman" w:eastAsia="Times New Roman" w:hAnsi="Times New Roman" w:cs="Times New Roman"/>
          <w:sz w:val="16"/>
          <w:szCs w:val="16"/>
        </w:rPr>
        <w:t>46, pp. 489-497, 2012.</w:t>
      </w:r>
    </w:p>
    <w:p w14:paraId="274FC02A" w14:textId="5891922D" w:rsidR="00285518" w:rsidRPr="003F2DB9"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 xml:space="preserve">M. Zieba, S. </w:t>
      </w:r>
      <w:proofErr w:type="spellStart"/>
      <w:r w:rsidRPr="003F2DB9">
        <w:rPr>
          <w:rFonts w:ascii="Times New Roman" w:eastAsia="Times New Roman" w:hAnsi="Times New Roman" w:cs="Times New Roman"/>
          <w:sz w:val="16"/>
          <w:szCs w:val="16"/>
        </w:rPr>
        <w:t>Belniak</w:t>
      </w:r>
      <w:proofErr w:type="spellEnd"/>
      <w:r w:rsidR="00843443" w:rsidRPr="003F2DB9">
        <w:rPr>
          <w:rFonts w:ascii="Times New Roman" w:eastAsia="Times New Roman" w:hAnsi="Times New Roman" w:cs="Times New Roman"/>
          <w:sz w:val="16"/>
          <w:szCs w:val="16"/>
        </w:rPr>
        <w:t xml:space="preserve">, </w:t>
      </w:r>
      <w:r w:rsidRPr="003F2DB9">
        <w:rPr>
          <w:rFonts w:ascii="Times New Roman" w:eastAsia="Times New Roman" w:hAnsi="Times New Roman" w:cs="Times New Roman"/>
          <w:sz w:val="16"/>
          <w:szCs w:val="16"/>
        </w:rPr>
        <w:t>M. Gluszak, “Demand for sustainable office space in Poland: the results from a conjoint experiment in Krakow”, Property management,</w:t>
      </w:r>
      <w:r w:rsidR="00E3177D" w:rsidRPr="003F2DB9">
        <w:rPr>
          <w:rFonts w:ascii="Times New Roman" w:eastAsia="Times New Roman" w:hAnsi="Times New Roman" w:cs="Times New Roman"/>
          <w:sz w:val="16"/>
          <w:szCs w:val="16"/>
        </w:rPr>
        <w:t xml:space="preserve"> vol. 31, no. 5, pp. 404-419,</w:t>
      </w:r>
      <w:r w:rsidRPr="003F2DB9">
        <w:rPr>
          <w:rFonts w:ascii="Times New Roman" w:eastAsia="Times New Roman" w:hAnsi="Times New Roman" w:cs="Times New Roman"/>
          <w:sz w:val="16"/>
          <w:szCs w:val="16"/>
        </w:rPr>
        <w:t xml:space="preserve"> 2013.</w:t>
      </w:r>
    </w:p>
    <w:p w14:paraId="398BE4CC" w14:textId="2F540965" w:rsidR="00285518" w:rsidRPr="003F2DB9"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 xml:space="preserve">E. </w:t>
      </w:r>
      <w:proofErr w:type="spellStart"/>
      <w:r w:rsidRPr="003F2DB9">
        <w:rPr>
          <w:rFonts w:ascii="Times New Roman" w:eastAsia="Times New Roman" w:hAnsi="Times New Roman" w:cs="Times New Roman"/>
          <w:sz w:val="16"/>
          <w:szCs w:val="16"/>
        </w:rPr>
        <w:t>Plebankiewicz</w:t>
      </w:r>
      <w:proofErr w:type="spellEnd"/>
      <w:r w:rsidRPr="003F2DB9">
        <w:rPr>
          <w:rFonts w:ascii="Times New Roman" w:eastAsia="Times New Roman" w:hAnsi="Times New Roman" w:cs="Times New Roman"/>
          <w:sz w:val="16"/>
          <w:szCs w:val="16"/>
        </w:rPr>
        <w:t>, M. Juszczyk</w:t>
      </w:r>
      <w:r w:rsidR="00843443" w:rsidRPr="003F2DB9">
        <w:rPr>
          <w:rFonts w:ascii="Times New Roman" w:eastAsia="Times New Roman" w:hAnsi="Times New Roman" w:cs="Times New Roman"/>
          <w:sz w:val="16"/>
          <w:szCs w:val="16"/>
        </w:rPr>
        <w:t xml:space="preserve">, </w:t>
      </w:r>
      <w:r w:rsidRPr="003F2DB9">
        <w:rPr>
          <w:rFonts w:ascii="Times New Roman" w:eastAsia="Times New Roman" w:hAnsi="Times New Roman" w:cs="Times New Roman"/>
          <w:sz w:val="16"/>
          <w:szCs w:val="16"/>
        </w:rPr>
        <w:t>R. Kozik, “Trends, costs, and benefits of green certification of office buildings: a Polish perspective</w:t>
      </w:r>
      <w:r w:rsidR="001D52E4" w:rsidRPr="003F2DB9">
        <w:rPr>
          <w:rFonts w:ascii="Times New Roman" w:eastAsia="Times New Roman" w:hAnsi="Times New Roman" w:cs="Times New Roman"/>
          <w:sz w:val="16"/>
          <w:szCs w:val="16"/>
        </w:rPr>
        <w:t>”, Sustainability</w:t>
      </w:r>
      <w:r w:rsidRPr="003F2DB9">
        <w:rPr>
          <w:rFonts w:ascii="Times New Roman" w:eastAsia="Times New Roman" w:hAnsi="Times New Roman" w:cs="Times New Roman"/>
          <w:sz w:val="16"/>
          <w:szCs w:val="16"/>
        </w:rPr>
        <w:t>, </w:t>
      </w:r>
      <w:r w:rsidR="00E3177D" w:rsidRPr="003F2DB9">
        <w:rPr>
          <w:rFonts w:ascii="Times New Roman" w:eastAsia="Times New Roman" w:hAnsi="Times New Roman" w:cs="Times New Roman"/>
          <w:sz w:val="16"/>
          <w:szCs w:val="16"/>
        </w:rPr>
        <w:t xml:space="preserve">vol. </w:t>
      </w:r>
      <w:r w:rsidRPr="003F2DB9">
        <w:rPr>
          <w:rFonts w:ascii="Times New Roman" w:eastAsia="Times New Roman" w:hAnsi="Times New Roman" w:cs="Times New Roman"/>
          <w:sz w:val="16"/>
          <w:szCs w:val="16"/>
        </w:rPr>
        <w:t>11</w:t>
      </w:r>
      <w:r w:rsidR="00E3177D" w:rsidRPr="003F2DB9">
        <w:rPr>
          <w:rFonts w:ascii="Times New Roman" w:eastAsia="Times New Roman" w:hAnsi="Times New Roman" w:cs="Times New Roman"/>
          <w:sz w:val="16"/>
          <w:szCs w:val="16"/>
        </w:rPr>
        <w:t xml:space="preserve">, no. </w:t>
      </w:r>
      <w:r w:rsidRPr="003F2DB9">
        <w:rPr>
          <w:rFonts w:ascii="Times New Roman" w:eastAsia="Times New Roman" w:hAnsi="Times New Roman" w:cs="Times New Roman"/>
          <w:sz w:val="16"/>
          <w:szCs w:val="16"/>
        </w:rPr>
        <w:t xml:space="preserve">8, </w:t>
      </w:r>
      <w:r w:rsidR="00E3177D" w:rsidRPr="003F2DB9">
        <w:rPr>
          <w:rFonts w:ascii="Times New Roman" w:eastAsia="Times New Roman" w:hAnsi="Times New Roman" w:cs="Times New Roman"/>
          <w:sz w:val="16"/>
          <w:szCs w:val="16"/>
        </w:rPr>
        <w:t xml:space="preserve">pp. </w:t>
      </w:r>
      <w:r w:rsidRPr="003F2DB9">
        <w:rPr>
          <w:rFonts w:ascii="Times New Roman" w:eastAsia="Times New Roman" w:hAnsi="Times New Roman" w:cs="Times New Roman"/>
          <w:sz w:val="16"/>
          <w:szCs w:val="16"/>
        </w:rPr>
        <w:t>2359, 2019.</w:t>
      </w:r>
    </w:p>
    <w:p w14:paraId="46D54245" w14:textId="73F11D30" w:rsidR="00285518" w:rsidRPr="003F2DB9"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 xml:space="preserve">A. </w:t>
      </w:r>
      <w:proofErr w:type="spellStart"/>
      <w:r w:rsidRPr="003F2DB9">
        <w:rPr>
          <w:rFonts w:ascii="Times New Roman" w:eastAsia="Times New Roman" w:hAnsi="Times New Roman" w:cs="Times New Roman"/>
          <w:sz w:val="16"/>
          <w:szCs w:val="16"/>
        </w:rPr>
        <w:t>Chegut</w:t>
      </w:r>
      <w:proofErr w:type="spellEnd"/>
      <w:r w:rsidRPr="003F2DB9">
        <w:rPr>
          <w:rFonts w:ascii="Times New Roman" w:eastAsia="Times New Roman" w:hAnsi="Times New Roman" w:cs="Times New Roman"/>
          <w:sz w:val="16"/>
          <w:szCs w:val="16"/>
        </w:rPr>
        <w:t>, P. Eichholtz</w:t>
      </w:r>
      <w:r w:rsidR="00843443" w:rsidRPr="003F2DB9">
        <w:rPr>
          <w:rFonts w:ascii="Times New Roman" w:eastAsia="Times New Roman" w:hAnsi="Times New Roman" w:cs="Times New Roman"/>
          <w:sz w:val="16"/>
          <w:szCs w:val="16"/>
        </w:rPr>
        <w:t xml:space="preserve">, </w:t>
      </w:r>
      <w:r w:rsidRPr="003F2DB9">
        <w:rPr>
          <w:rFonts w:ascii="Times New Roman" w:eastAsia="Times New Roman" w:hAnsi="Times New Roman" w:cs="Times New Roman"/>
          <w:sz w:val="16"/>
          <w:szCs w:val="16"/>
        </w:rPr>
        <w:t xml:space="preserve">N. Kok, “Supply, demand and the value of green buildings”, Urban studies, </w:t>
      </w:r>
      <w:r w:rsidR="00E3177D" w:rsidRPr="003F2DB9">
        <w:rPr>
          <w:rFonts w:ascii="Times New Roman" w:eastAsia="Times New Roman" w:hAnsi="Times New Roman" w:cs="Times New Roman"/>
          <w:sz w:val="16"/>
          <w:szCs w:val="16"/>
        </w:rPr>
        <w:t xml:space="preserve">vol. </w:t>
      </w:r>
      <w:r w:rsidRPr="003F2DB9">
        <w:rPr>
          <w:rFonts w:ascii="Times New Roman" w:eastAsia="Times New Roman" w:hAnsi="Times New Roman" w:cs="Times New Roman"/>
          <w:sz w:val="16"/>
          <w:szCs w:val="16"/>
        </w:rPr>
        <w:t>51</w:t>
      </w:r>
      <w:r w:rsidR="00E3177D" w:rsidRPr="003F2DB9">
        <w:rPr>
          <w:rFonts w:ascii="Times New Roman" w:eastAsia="Times New Roman" w:hAnsi="Times New Roman" w:cs="Times New Roman"/>
          <w:sz w:val="16"/>
          <w:szCs w:val="16"/>
        </w:rPr>
        <w:t xml:space="preserve">, no. </w:t>
      </w:r>
      <w:r w:rsidRPr="003F2DB9">
        <w:rPr>
          <w:rFonts w:ascii="Times New Roman" w:eastAsia="Times New Roman" w:hAnsi="Times New Roman" w:cs="Times New Roman"/>
          <w:sz w:val="16"/>
          <w:szCs w:val="16"/>
        </w:rPr>
        <w:t>1, pp. 22-43, 2014.</w:t>
      </w:r>
    </w:p>
    <w:p w14:paraId="7E5C3AF0" w14:textId="5E2E58E3" w:rsidR="00285518" w:rsidRPr="003F2DB9"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 xml:space="preserve">A. </w:t>
      </w:r>
      <w:proofErr w:type="spellStart"/>
      <w:r w:rsidRPr="003F2DB9">
        <w:rPr>
          <w:rFonts w:ascii="Times New Roman" w:eastAsia="Times New Roman" w:hAnsi="Times New Roman" w:cs="Times New Roman"/>
          <w:sz w:val="16"/>
          <w:szCs w:val="16"/>
        </w:rPr>
        <w:t>Mangialardo</w:t>
      </w:r>
      <w:proofErr w:type="spellEnd"/>
      <w:r w:rsidRPr="003F2DB9">
        <w:rPr>
          <w:rFonts w:ascii="Times New Roman" w:eastAsia="Times New Roman" w:hAnsi="Times New Roman" w:cs="Times New Roman"/>
          <w:sz w:val="16"/>
          <w:szCs w:val="16"/>
        </w:rPr>
        <w:t>, E. Micelli</w:t>
      </w:r>
      <w:r w:rsidR="00843443" w:rsidRPr="003F2DB9">
        <w:rPr>
          <w:rFonts w:ascii="Times New Roman" w:eastAsia="Times New Roman" w:hAnsi="Times New Roman" w:cs="Times New Roman"/>
          <w:sz w:val="16"/>
          <w:szCs w:val="16"/>
        </w:rPr>
        <w:t xml:space="preserve">, </w:t>
      </w:r>
      <w:r w:rsidRPr="003F2DB9">
        <w:rPr>
          <w:rFonts w:ascii="Times New Roman" w:eastAsia="Times New Roman" w:hAnsi="Times New Roman" w:cs="Times New Roman"/>
          <w:sz w:val="16"/>
          <w:szCs w:val="16"/>
        </w:rPr>
        <w:t xml:space="preserve">F. </w:t>
      </w:r>
      <w:proofErr w:type="spellStart"/>
      <w:r w:rsidRPr="003F2DB9">
        <w:rPr>
          <w:rFonts w:ascii="Times New Roman" w:eastAsia="Times New Roman" w:hAnsi="Times New Roman" w:cs="Times New Roman"/>
          <w:sz w:val="16"/>
          <w:szCs w:val="16"/>
        </w:rPr>
        <w:t>Saccani</w:t>
      </w:r>
      <w:proofErr w:type="spellEnd"/>
      <w:r w:rsidRPr="003F2DB9">
        <w:rPr>
          <w:rFonts w:ascii="Times New Roman" w:eastAsia="Times New Roman" w:hAnsi="Times New Roman" w:cs="Times New Roman"/>
          <w:sz w:val="16"/>
          <w:szCs w:val="16"/>
        </w:rPr>
        <w:t xml:space="preserve">, “Does sustainability affect real estate market values? Empirical evidence from the office buildings market in Milan (Italy)”, Sustainability, </w:t>
      </w:r>
      <w:r w:rsidR="00384623" w:rsidRPr="003F2DB9">
        <w:rPr>
          <w:rFonts w:ascii="Times New Roman" w:eastAsia="Times New Roman" w:hAnsi="Times New Roman" w:cs="Times New Roman"/>
          <w:sz w:val="16"/>
          <w:szCs w:val="16"/>
        </w:rPr>
        <w:t xml:space="preserve">vol. </w:t>
      </w:r>
      <w:r w:rsidRPr="003F2DB9">
        <w:rPr>
          <w:rFonts w:ascii="Times New Roman" w:eastAsia="Times New Roman" w:hAnsi="Times New Roman" w:cs="Times New Roman"/>
          <w:sz w:val="16"/>
          <w:szCs w:val="16"/>
        </w:rPr>
        <w:t>11</w:t>
      </w:r>
      <w:r w:rsidR="00384623" w:rsidRPr="003F2DB9">
        <w:rPr>
          <w:rFonts w:ascii="Times New Roman" w:eastAsia="Times New Roman" w:hAnsi="Times New Roman" w:cs="Times New Roman"/>
          <w:sz w:val="16"/>
          <w:szCs w:val="16"/>
        </w:rPr>
        <w:t xml:space="preserve">, no. </w:t>
      </w:r>
      <w:r w:rsidRPr="003F2DB9">
        <w:rPr>
          <w:rFonts w:ascii="Times New Roman" w:eastAsia="Times New Roman" w:hAnsi="Times New Roman" w:cs="Times New Roman"/>
          <w:sz w:val="16"/>
          <w:szCs w:val="16"/>
        </w:rPr>
        <w:t>1, pp. 12, 2019.</w:t>
      </w:r>
    </w:p>
    <w:p w14:paraId="334DFC47" w14:textId="6896C2AA" w:rsidR="00285518" w:rsidRPr="003F2DB9" w:rsidRDefault="6B79E008" w:rsidP="62723891">
      <w:pPr>
        <w:pStyle w:val="ListParagraph"/>
        <w:numPr>
          <w:ilvl w:val="0"/>
          <w:numId w:val="10"/>
        </w:numPr>
        <w:shd w:val="clear" w:color="auto" w:fill="FFFFFF" w:themeFill="background1"/>
        <w:spacing w:after="150" w:line="240" w:lineRule="auto"/>
        <w:ind w:left="426" w:hanging="426"/>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 xml:space="preserve">F. Fuerst </w:t>
      </w:r>
      <w:r w:rsidR="5C66CEF4" w:rsidRPr="003F2DB9">
        <w:rPr>
          <w:rFonts w:ascii="Times New Roman" w:eastAsia="Times New Roman" w:hAnsi="Times New Roman" w:cs="Times New Roman"/>
          <w:sz w:val="16"/>
          <w:szCs w:val="16"/>
        </w:rPr>
        <w:t>and</w:t>
      </w:r>
      <w:r w:rsidRPr="003F2DB9">
        <w:rPr>
          <w:rFonts w:ascii="Times New Roman" w:eastAsia="Times New Roman" w:hAnsi="Times New Roman" w:cs="Times New Roman"/>
          <w:sz w:val="16"/>
          <w:szCs w:val="16"/>
        </w:rPr>
        <w:t xml:space="preserve"> J. Van de Wetering, </w:t>
      </w:r>
      <w:r w:rsidR="0CFBE012" w:rsidRPr="003F2DB9">
        <w:rPr>
          <w:rFonts w:ascii="Times New Roman" w:eastAsia="Times New Roman" w:hAnsi="Times New Roman" w:cs="Times New Roman"/>
          <w:sz w:val="16"/>
          <w:szCs w:val="16"/>
        </w:rPr>
        <w:t>“</w:t>
      </w:r>
      <w:r w:rsidRPr="003F2DB9">
        <w:rPr>
          <w:rFonts w:ascii="Times New Roman" w:eastAsia="Times New Roman" w:hAnsi="Times New Roman" w:cs="Times New Roman"/>
          <w:sz w:val="16"/>
          <w:szCs w:val="16"/>
        </w:rPr>
        <w:t>How does environmental efficiency impact on the rents of commercial offices in the UK?</w:t>
      </w:r>
      <w:r w:rsidR="00AA3F28" w:rsidRPr="003F2DB9">
        <w:rPr>
          <w:rFonts w:ascii="Times New Roman" w:eastAsia="Times New Roman" w:hAnsi="Times New Roman" w:cs="Times New Roman"/>
          <w:sz w:val="16"/>
          <w:szCs w:val="16"/>
        </w:rPr>
        <w:t>”,</w:t>
      </w:r>
      <w:r w:rsidRPr="003F2DB9">
        <w:rPr>
          <w:rFonts w:ascii="Times New Roman" w:eastAsia="Times New Roman" w:hAnsi="Times New Roman" w:cs="Times New Roman"/>
          <w:sz w:val="16"/>
          <w:szCs w:val="16"/>
        </w:rPr>
        <w:t xml:space="preserve"> Journal of Property Research, </w:t>
      </w:r>
      <w:r w:rsidR="5C66CEF4" w:rsidRPr="003F2DB9">
        <w:rPr>
          <w:rFonts w:ascii="Times New Roman" w:eastAsia="Times New Roman" w:hAnsi="Times New Roman" w:cs="Times New Roman"/>
          <w:sz w:val="16"/>
          <w:szCs w:val="16"/>
        </w:rPr>
        <w:t xml:space="preserve">vol. </w:t>
      </w:r>
      <w:r w:rsidRPr="003F2DB9">
        <w:rPr>
          <w:rFonts w:ascii="Times New Roman" w:eastAsia="Times New Roman" w:hAnsi="Times New Roman" w:cs="Times New Roman"/>
          <w:sz w:val="16"/>
          <w:szCs w:val="16"/>
        </w:rPr>
        <w:t>32</w:t>
      </w:r>
      <w:r w:rsidR="5C66CEF4" w:rsidRPr="003F2DB9">
        <w:rPr>
          <w:rFonts w:ascii="Times New Roman" w:eastAsia="Times New Roman" w:hAnsi="Times New Roman" w:cs="Times New Roman"/>
          <w:sz w:val="16"/>
          <w:szCs w:val="16"/>
        </w:rPr>
        <w:t xml:space="preserve">, no. </w:t>
      </w:r>
      <w:r w:rsidRPr="003F2DB9">
        <w:rPr>
          <w:rFonts w:ascii="Times New Roman" w:eastAsia="Times New Roman" w:hAnsi="Times New Roman" w:cs="Times New Roman"/>
          <w:sz w:val="16"/>
          <w:szCs w:val="16"/>
        </w:rPr>
        <w:t>3, pp. 193-216, 2015.</w:t>
      </w:r>
    </w:p>
    <w:p w14:paraId="42B03186" w14:textId="77777777" w:rsidR="00843443" w:rsidRPr="003F2DB9" w:rsidRDefault="00843443" w:rsidP="00843443">
      <w:pPr>
        <w:pStyle w:val="ListParagraph"/>
        <w:shd w:val="clear" w:color="auto" w:fill="FFFFFF" w:themeFill="background1"/>
        <w:spacing w:after="150" w:line="240" w:lineRule="auto"/>
        <w:ind w:left="426"/>
        <w:jc w:val="both"/>
        <w:rPr>
          <w:rFonts w:ascii="Times New Roman" w:eastAsia="Times New Roman" w:hAnsi="Times New Roman" w:cs="Times New Roman"/>
          <w:sz w:val="16"/>
          <w:szCs w:val="16"/>
        </w:rPr>
      </w:pPr>
    </w:p>
    <w:p w14:paraId="51D409A2" w14:textId="576979A9" w:rsidR="00285518" w:rsidRPr="003F2DB9" w:rsidRDefault="6B79E008" w:rsidP="62723891">
      <w:pPr>
        <w:pStyle w:val="ListParagraph"/>
        <w:numPr>
          <w:ilvl w:val="0"/>
          <w:numId w:val="10"/>
        </w:numPr>
        <w:shd w:val="clear" w:color="auto" w:fill="FFFFFF" w:themeFill="background1"/>
        <w:spacing w:after="150" w:line="240" w:lineRule="auto"/>
        <w:ind w:left="426" w:hanging="426"/>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 xml:space="preserve">C. Ott </w:t>
      </w:r>
      <w:r w:rsidR="5C66CEF4" w:rsidRPr="003F2DB9">
        <w:rPr>
          <w:rFonts w:ascii="Times New Roman" w:eastAsia="Times New Roman" w:hAnsi="Times New Roman" w:cs="Times New Roman"/>
          <w:sz w:val="16"/>
          <w:szCs w:val="16"/>
        </w:rPr>
        <w:t>and</w:t>
      </w:r>
      <w:r w:rsidRPr="003F2DB9">
        <w:rPr>
          <w:rFonts w:ascii="Times New Roman" w:eastAsia="Times New Roman" w:hAnsi="Times New Roman" w:cs="Times New Roman"/>
          <w:sz w:val="16"/>
          <w:szCs w:val="16"/>
        </w:rPr>
        <w:t xml:space="preserve"> J. Hahn</w:t>
      </w:r>
      <w:r w:rsidR="0CFBE012" w:rsidRPr="003F2DB9">
        <w:rPr>
          <w:rFonts w:ascii="Times New Roman" w:eastAsia="Times New Roman" w:hAnsi="Times New Roman" w:cs="Times New Roman"/>
          <w:sz w:val="16"/>
          <w:szCs w:val="16"/>
        </w:rPr>
        <w:t xml:space="preserve">, </w:t>
      </w:r>
      <w:r w:rsidR="5C66CEF4" w:rsidRPr="003F2DB9">
        <w:rPr>
          <w:rFonts w:ascii="Times New Roman" w:eastAsia="Times New Roman" w:hAnsi="Times New Roman" w:cs="Times New Roman"/>
          <w:sz w:val="16"/>
          <w:szCs w:val="16"/>
        </w:rPr>
        <w:t>“</w:t>
      </w:r>
      <w:r w:rsidR="0CFBE012" w:rsidRPr="003F2DB9">
        <w:rPr>
          <w:rFonts w:ascii="Times New Roman" w:eastAsia="Times New Roman" w:hAnsi="Times New Roman" w:cs="Times New Roman"/>
          <w:sz w:val="16"/>
          <w:szCs w:val="16"/>
        </w:rPr>
        <w:t>Green</w:t>
      </w:r>
      <w:r w:rsidRPr="003F2DB9">
        <w:rPr>
          <w:rFonts w:ascii="Times New Roman" w:eastAsia="Times New Roman" w:hAnsi="Times New Roman" w:cs="Times New Roman"/>
          <w:sz w:val="16"/>
          <w:szCs w:val="16"/>
        </w:rPr>
        <w:t xml:space="preserve"> pay off in commercial real estate in Germany: assessing the role of Super Trophy status</w:t>
      </w:r>
      <w:r w:rsidR="00AA3F28" w:rsidRPr="003F2DB9">
        <w:rPr>
          <w:rFonts w:ascii="Times New Roman" w:eastAsia="Times New Roman" w:hAnsi="Times New Roman" w:cs="Times New Roman"/>
          <w:sz w:val="16"/>
          <w:szCs w:val="16"/>
        </w:rPr>
        <w:t>”,</w:t>
      </w:r>
      <w:r w:rsidRPr="003F2DB9">
        <w:rPr>
          <w:rFonts w:ascii="Times New Roman" w:eastAsia="Times New Roman" w:hAnsi="Times New Roman" w:cs="Times New Roman"/>
          <w:sz w:val="16"/>
          <w:szCs w:val="16"/>
        </w:rPr>
        <w:t xml:space="preserve"> Journal of Property Investment &amp; Finance,</w:t>
      </w:r>
      <w:r w:rsidR="5C66CEF4" w:rsidRPr="003F2DB9">
        <w:rPr>
          <w:rFonts w:ascii="Times New Roman" w:eastAsia="Times New Roman" w:hAnsi="Times New Roman" w:cs="Times New Roman"/>
          <w:sz w:val="16"/>
          <w:szCs w:val="16"/>
        </w:rPr>
        <w:t xml:space="preserve"> vol. 36, no. 1, </w:t>
      </w:r>
      <w:r w:rsidRPr="003F2DB9">
        <w:rPr>
          <w:rFonts w:ascii="Times New Roman" w:eastAsia="Times New Roman" w:hAnsi="Times New Roman" w:cs="Times New Roman"/>
          <w:sz w:val="16"/>
          <w:szCs w:val="16"/>
        </w:rPr>
        <w:t>2018.</w:t>
      </w:r>
    </w:p>
    <w:p w14:paraId="6E956729" w14:textId="77777777" w:rsidR="00843443" w:rsidRPr="003F2DB9" w:rsidRDefault="00843443" w:rsidP="00843443">
      <w:pPr>
        <w:pStyle w:val="ListParagraph"/>
        <w:rPr>
          <w:rFonts w:ascii="Times New Roman" w:eastAsia="Times New Roman" w:hAnsi="Times New Roman" w:cs="Times New Roman"/>
          <w:sz w:val="16"/>
          <w:szCs w:val="16"/>
        </w:rPr>
      </w:pPr>
    </w:p>
    <w:p w14:paraId="4E825D86" w14:textId="3681C6C6" w:rsidR="00285518" w:rsidRPr="003F2DB9" w:rsidRDefault="6B79E008" w:rsidP="62723891">
      <w:pPr>
        <w:pStyle w:val="ListParagraph"/>
        <w:numPr>
          <w:ilvl w:val="0"/>
          <w:numId w:val="10"/>
        </w:numPr>
        <w:shd w:val="clear" w:color="auto" w:fill="FFFFFF" w:themeFill="background1"/>
        <w:spacing w:after="150" w:line="240" w:lineRule="auto"/>
        <w:ind w:left="426" w:hanging="426"/>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 xml:space="preserve">T. Dixon, G. Ennis‐Reynolds, C. Roberts </w:t>
      </w:r>
      <w:r w:rsidR="5C66CEF4" w:rsidRPr="003F2DB9">
        <w:rPr>
          <w:rFonts w:ascii="Times New Roman" w:eastAsia="Times New Roman" w:hAnsi="Times New Roman" w:cs="Times New Roman"/>
          <w:sz w:val="16"/>
          <w:szCs w:val="16"/>
        </w:rPr>
        <w:t>and</w:t>
      </w:r>
      <w:r w:rsidRPr="003F2DB9">
        <w:rPr>
          <w:rFonts w:ascii="Times New Roman" w:eastAsia="Times New Roman" w:hAnsi="Times New Roman" w:cs="Times New Roman"/>
          <w:sz w:val="16"/>
          <w:szCs w:val="16"/>
        </w:rPr>
        <w:t xml:space="preserve"> S. Sims, “Is there a demand for sustainable offices? An analysis of UK business occupier moves (2006–2008)</w:t>
      </w:r>
      <w:r w:rsidR="00AA3F28" w:rsidRPr="003F2DB9">
        <w:rPr>
          <w:rFonts w:ascii="Times New Roman" w:eastAsia="Times New Roman" w:hAnsi="Times New Roman" w:cs="Times New Roman"/>
          <w:sz w:val="16"/>
          <w:szCs w:val="16"/>
        </w:rPr>
        <w:t>”,</w:t>
      </w:r>
      <w:r w:rsidRPr="003F2DB9">
        <w:rPr>
          <w:rFonts w:ascii="Times New Roman" w:eastAsia="Times New Roman" w:hAnsi="Times New Roman" w:cs="Times New Roman"/>
          <w:sz w:val="16"/>
          <w:szCs w:val="16"/>
        </w:rPr>
        <w:t xml:space="preserve"> Journal of Property Research, </w:t>
      </w:r>
      <w:r w:rsidR="5C66CEF4" w:rsidRPr="003F2DB9">
        <w:rPr>
          <w:rFonts w:ascii="Times New Roman" w:eastAsia="Times New Roman" w:hAnsi="Times New Roman" w:cs="Times New Roman"/>
          <w:sz w:val="16"/>
          <w:szCs w:val="16"/>
        </w:rPr>
        <w:t xml:space="preserve">vol. </w:t>
      </w:r>
      <w:r w:rsidRPr="003F2DB9">
        <w:rPr>
          <w:rFonts w:ascii="Times New Roman" w:eastAsia="Times New Roman" w:hAnsi="Times New Roman" w:cs="Times New Roman"/>
          <w:sz w:val="16"/>
          <w:szCs w:val="16"/>
        </w:rPr>
        <w:t>26</w:t>
      </w:r>
      <w:r w:rsidR="5C66CEF4" w:rsidRPr="003F2DB9">
        <w:rPr>
          <w:rFonts w:ascii="Times New Roman" w:eastAsia="Times New Roman" w:hAnsi="Times New Roman" w:cs="Times New Roman"/>
          <w:sz w:val="16"/>
          <w:szCs w:val="16"/>
        </w:rPr>
        <w:t xml:space="preserve">, no. </w:t>
      </w:r>
      <w:r w:rsidRPr="003F2DB9">
        <w:rPr>
          <w:rFonts w:ascii="Times New Roman" w:eastAsia="Times New Roman" w:hAnsi="Times New Roman" w:cs="Times New Roman"/>
          <w:sz w:val="16"/>
          <w:szCs w:val="16"/>
        </w:rPr>
        <w:t>1, pp. 61-85, 2009.</w:t>
      </w:r>
    </w:p>
    <w:p w14:paraId="733C2438" w14:textId="77777777" w:rsidR="00843443" w:rsidRPr="003F2DB9" w:rsidRDefault="00843443" w:rsidP="00843443">
      <w:pPr>
        <w:pStyle w:val="ListParagraph"/>
        <w:rPr>
          <w:rFonts w:ascii="Times New Roman" w:eastAsia="Times New Roman" w:hAnsi="Times New Roman" w:cs="Times New Roman"/>
          <w:sz w:val="16"/>
          <w:szCs w:val="16"/>
        </w:rPr>
      </w:pPr>
    </w:p>
    <w:p w14:paraId="7A4AB711" w14:textId="49DD458C" w:rsidR="00285518" w:rsidRPr="003F2DB9"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M. Halim, “Economic issues on green office buildings in Malaysia”</w:t>
      </w:r>
      <w:r w:rsidR="00820060" w:rsidRPr="003F2DB9">
        <w:rPr>
          <w:rFonts w:ascii="Times New Roman" w:eastAsia="Times New Roman" w:hAnsi="Times New Roman" w:cs="Times New Roman"/>
          <w:sz w:val="16"/>
          <w:szCs w:val="16"/>
        </w:rPr>
        <w:t>,</w:t>
      </w:r>
      <w:r w:rsidRPr="003F2DB9">
        <w:rPr>
          <w:rFonts w:ascii="Times New Roman" w:eastAsia="Times New Roman" w:hAnsi="Times New Roman" w:cs="Times New Roman"/>
          <w:sz w:val="16"/>
          <w:szCs w:val="16"/>
        </w:rPr>
        <w:t xml:space="preserve"> International Real Estate Research Symposium</w:t>
      </w:r>
      <w:r w:rsidR="00A51ECA" w:rsidRPr="003F2DB9">
        <w:rPr>
          <w:rFonts w:ascii="Times New Roman" w:eastAsia="Times New Roman" w:hAnsi="Times New Roman" w:cs="Times New Roman"/>
          <w:sz w:val="16"/>
          <w:szCs w:val="16"/>
        </w:rPr>
        <w:t>, 2012</w:t>
      </w:r>
      <w:r w:rsidRPr="003F2DB9">
        <w:rPr>
          <w:rFonts w:ascii="Times New Roman" w:eastAsia="Times New Roman" w:hAnsi="Times New Roman" w:cs="Times New Roman"/>
          <w:sz w:val="16"/>
          <w:szCs w:val="16"/>
        </w:rPr>
        <w:t>, pp. 1-13.</w:t>
      </w:r>
    </w:p>
    <w:p w14:paraId="1F5DFBC4" w14:textId="1C50B68E" w:rsidR="00285518" w:rsidRPr="003F2DB9" w:rsidRDefault="6B79E008" w:rsidP="62723891">
      <w:pPr>
        <w:pStyle w:val="ListParagraph"/>
        <w:numPr>
          <w:ilvl w:val="0"/>
          <w:numId w:val="10"/>
        </w:numPr>
        <w:shd w:val="clear" w:color="auto" w:fill="FFFFFF" w:themeFill="background1"/>
        <w:spacing w:after="150" w:line="240" w:lineRule="auto"/>
        <w:ind w:left="426" w:hanging="426"/>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E.C.M. Hui, E.W.</w:t>
      </w:r>
      <w:r w:rsidR="7D6505F8" w:rsidRPr="003F2DB9">
        <w:rPr>
          <w:rFonts w:ascii="Times New Roman" w:eastAsia="Times New Roman" w:hAnsi="Times New Roman" w:cs="Times New Roman"/>
          <w:sz w:val="16"/>
          <w:szCs w:val="16"/>
        </w:rPr>
        <w:t xml:space="preserve">H. </w:t>
      </w:r>
      <w:r w:rsidRPr="003F2DB9">
        <w:rPr>
          <w:rFonts w:ascii="Times New Roman" w:eastAsia="Times New Roman" w:hAnsi="Times New Roman" w:cs="Times New Roman"/>
          <w:sz w:val="16"/>
          <w:szCs w:val="16"/>
        </w:rPr>
        <w:t>Chan</w:t>
      </w:r>
      <w:r w:rsidR="00843443" w:rsidRPr="003F2DB9">
        <w:rPr>
          <w:rFonts w:ascii="Times New Roman" w:eastAsia="Times New Roman" w:hAnsi="Times New Roman" w:cs="Times New Roman"/>
          <w:sz w:val="16"/>
          <w:szCs w:val="16"/>
        </w:rPr>
        <w:t xml:space="preserve">, </w:t>
      </w:r>
      <w:r w:rsidRPr="003F2DB9">
        <w:rPr>
          <w:rFonts w:ascii="Times New Roman" w:eastAsia="Times New Roman" w:hAnsi="Times New Roman" w:cs="Times New Roman"/>
          <w:sz w:val="16"/>
          <w:szCs w:val="16"/>
        </w:rPr>
        <w:t xml:space="preserve">K. H. Yu, </w:t>
      </w:r>
      <w:r w:rsidR="7D6505F8" w:rsidRPr="003F2DB9">
        <w:rPr>
          <w:rFonts w:ascii="Times New Roman" w:eastAsia="Times New Roman" w:hAnsi="Times New Roman" w:cs="Times New Roman"/>
          <w:sz w:val="16"/>
          <w:szCs w:val="16"/>
        </w:rPr>
        <w:t>“</w:t>
      </w:r>
      <w:r w:rsidRPr="003F2DB9">
        <w:rPr>
          <w:rFonts w:ascii="Times New Roman" w:eastAsia="Times New Roman" w:hAnsi="Times New Roman" w:cs="Times New Roman"/>
          <w:sz w:val="16"/>
          <w:szCs w:val="16"/>
        </w:rPr>
        <w:t>The effect of LEED certification on Shanghai’s prime office rental value</w:t>
      </w:r>
      <w:r w:rsidR="00AA3F28" w:rsidRPr="003F2DB9">
        <w:rPr>
          <w:rFonts w:ascii="Times New Roman" w:eastAsia="Times New Roman" w:hAnsi="Times New Roman" w:cs="Times New Roman"/>
          <w:sz w:val="16"/>
          <w:szCs w:val="16"/>
        </w:rPr>
        <w:t>”,</w:t>
      </w:r>
      <w:r w:rsidRPr="003F2DB9">
        <w:rPr>
          <w:rFonts w:ascii="Times New Roman" w:eastAsia="Times New Roman" w:hAnsi="Times New Roman" w:cs="Times New Roman"/>
          <w:sz w:val="16"/>
          <w:szCs w:val="16"/>
        </w:rPr>
        <w:t xml:space="preserve"> Journal of Facilities Management, </w:t>
      </w:r>
      <w:r w:rsidR="7D6505F8" w:rsidRPr="003F2DB9">
        <w:rPr>
          <w:rFonts w:ascii="Times New Roman" w:eastAsia="Times New Roman" w:hAnsi="Times New Roman" w:cs="Times New Roman"/>
          <w:sz w:val="16"/>
          <w:szCs w:val="16"/>
        </w:rPr>
        <w:t xml:space="preserve">vol. 13, no. 3, pp. 297-310, </w:t>
      </w:r>
      <w:r w:rsidRPr="003F2DB9">
        <w:rPr>
          <w:rFonts w:ascii="Times New Roman" w:eastAsia="Times New Roman" w:hAnsi="Times New Roman" w:cs="Times New Roman"/>
          <w:sz w:val="16"/>
          <w:szCs w:val="16"/>
        </w:rPr>
        <w:t>2015.</w:t>
      </w:r>
    </w:p>
    <w:p w14:paraId="2ED14B41" w14:textId="77777777" w:rsidR="00843443" w:rsidRPr="003F2DB9" w:rsidRDefault="00843443" w:rsidP="00843443">
      <w:pPr>
        <w:pStyle w:val="ListParagraph"/>
        <w:shd w:val="clear" w:color="auto" w:fill="FFFFFF" w:themeFill="background1"/>
        <w:spacing w:after="150" w:line="240" w:lineRule="auto"/>
        <w:ind w:left="426"/>
        <w:jc w:val="both"/>
        <w:rPr>
          <w:rFonts w:ascii="Times New Roman" w:eastAsia="Times New Roman" w:hAnsi="Times New Roman" w:cs="Times New Roman"/>
          <w:sz w:val="16"/>
          <w:szCs w:val="16"/>
        </w:rPr>
      </w:pPr>
    </w:p>
    <w:p w14:paraId="739059F4" w14:textId="254FABFA" w:rsidR="00285518" w:rsidRPr="003F2DB9" w:rsidRDefault="6B79E008" w:rsidP="62723891">
      <w:pPr>
        <w:pStyle w:val="ListParagraph"/>
        <w:numPr>
          <w:ilvl w:val="0"/>
          <w:numId w:val="10"/>
        </w:numPr>
        <w:shd w:val="clear" w:color="auto" w:fill="FFFFFF" w:themeFill="background1"/>
        <w:spacing w:after="150" w:line="240" w:lineRule="auto"/>
        <w:ind w:left="426" w:hanging="426"/>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lastRenderedPageBreak/>
        <w:t xml:space="preserve">J. H. Cheah, S. I. Ng, K. G Teoh </w:t>
      </w:r>
      <w:r w:rsidR="0D2571E0" w:rsidRPr="003F2DB9">
        <w:rPr>
          <w:rFonts w:ascii="Times New Roman" w:eastAsia="Times New Roman" w:hAnsi="Times New Roman" w:cs="Times New Roman"/>
          <w:sz w:val="16"/>
          <w:szCs w:val="16"/>
        </w:rPr>
        <w:t>and</w:t>
      </w:r>
      <w:r w:rsidRPr="003F2DB9">
        <w:rPr>
          <w:rFonts w:ascii="Times New Roman" w:eastAsia="Times New Roman" w:hAnsi="Times New Roman" w:cs="Times New Roman"/>
          <w:sz w:val="16"/>
          <w:szCs w:val="16"/>
        </w:rPr>
        <w:t xml:space="preserve"> C. Lee, “Factors Affecting Office Rent in Kuala Lumpur (KL)</w:t>
      </w:r>
      <w:r w:rsidR="00AA3F28" w:rsidRPr="003F2DB9">
        <w:rPr>
          <w:rFonts w:ascii="Times New Roman" w:eastAsia="Times New Roman" w:hAnsi="Times New Roman" w:cs="Times New Roman"/>
          <w:sz w:val="16"/>
          <w:szCs w:val="16"/>
        </w:rPr>
        <w:t>”,</w:t>
      </w:r>
      <w:r w:rsidRPr="003F2DB9">
        <w:rPr>
          <w:rFonts w:ascii="Times New Roman" w:eastAsia="Times New Roman" w:hAnsi="Times New Roman" w:cs="Times New Roman"/>
          <w:sz w:val="16"/>
          <w:szCs w:val="16"/>
        </w:rPr>
        <w:t xml:space="preserve"> International Journal of Economics &amp; Management, </w:t>
      </w:r>
      <w:r w:rsidR="0D2571E0" w:rsidRPr="003F2DB9">
        <w:rPr>
          <w:rFonts w:ascii="Times New Roman" w:eastAsia="Times New Roman" w:hAnsi="Times New Roman" w:cs="Times New Roman"/>
          <w:sz w:val="16"/>
          <w:szCs w:val="16"/>
        </w:rPr>
        <w:t xml:space="preserve">vol. </w:t>
      </w:r>
      <w:r w:rsidRPr="003F2DB9">
        <w:rPr>
          <w:rFonts w:ascii="Times New Roman" w:eastAsia="Times New Roman" w:hAnsi="Times New Roman" w:cs="Times New Roman"/>
          <w:sz w:val="16"/>
          <w:szCs w:val="16"/>
        </w:rPr>
        <w:t>9,</w:t>
      </w:r>
      <w:r w:rsidR="0D2571E0" w:rsidRPr="003F2DB9">
        <w:rPr>
          <w:rFonts w:ascii="Times New Roman" w:eastAsia="Times New Roman" w:hAnsi="Times New Roman" w:cs="Times New Roman"/>
          <w:sz w:val="16"/>
          <w:szCs w:val="16"/>
        </w:rPr>
        <w:t xml:space="preserve"> pp. 115-134,</w:t>
      </w:r>
      <w:r w:rsidRPr="003F2DB9">
        <w:rPr>
          <w:rFonts w:ascii="Times New Roman" w:eastAsia="Times New Roman" w:hAnsi="Times New Roman" w:cs="Times New Roman"/>
          <w:sz w:val="16"/>
          <w:szCs w:val="16"/>
        </w:rPr>
        <w:t xml:space="preserve"> 2015.</w:t>
      </w:r>
    </w:p>
    <w:p w14:paraId="3A657171" w14:textId="77777777" w:rsidR="00843443" w:rsidRPr="003F2DB9" w:rsidRDefault="00843443" w:rsidP="00843443">
      <w:pPr>
        <w:pStyle w:val="ListParagraph"/>
        <w:rPr>
          <w:rFonts w:ascii="Times New Roman" w:eastAsia="Times New Roman" w:hAnsi="Times New Roman" w:cs="Times New Roman"/>
          <w:sz w:val="16"/>
          <w:szCs w:val="16"/>
        </w:rPr>
      </w:pPr>
    </w:p>
    <w:p w14:paraId="03D7D7FC" w14:textId="2FCF480A" w:rsidR="00285518" w:rsidRPr="003F2DB9" w:rsidRDefault="6B79E008" w:rsidP="62723891">
      <w:pPr>
        <w:pStyle w:val="ListParagraph"/>
        <w:numPr>
          <w:ilvl w:val="0"/>
          <w:numId w:val="10"/>
        </w:numPr>
        <w:shd w:val="clear" w:color="auto" w:fill="FFFFFF" w:themeFill="background1"/>
        <w:spacing w:after="150" w:line="240" w:lineRule="auto"/>
        <w:ind w:left="426" w:hanging="426"/>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O. Costa, F. Fuerst, S. J. Robinson</w:t>
      </w:r>
      <w:r w:rsidR="00843443" w:rsidRPr="003F2DB9">
        <w:rPr>
          <w:rFonts w:ascii="Times New Roman" w:eastAsia="Times New Roman" w:hAnsi="Times New Roman" w:cs="Times New Roman"/>
          <w:sz w:val="16"/>
          <w:szCs w:val="16"/>
        </w:rPr>
        <w:t xml:space="preserve">, </w:t>
      </w:r>
      <w:r w:rsidRPr="003F2DB9">
        <w:rPr>
          <w:rFonts w:ascii="Times New Roman" w:eastAsia="Times New Roman" w:hAnsi="Times New Roman" w:cs="Times New Roman"/>
          <w:sz w:val="16"/>
          <w:szCs w:val="16"/>
        </w:rPr>
        <w:t>W. Mendes-Da-Silva, “Green label signals in an emerging real estate market. A case study of Sao Paulo, Brazil</w:t>
      </w:r>
      <w:r w:rsidR="00AA3F28" w:rsidRPr="003F2DB9">
        <w:rPr>
          <w:rFonts w:ascii="Times New Roman" w:eastAsia="Times New Roman" w:hAnsi="Times New Roman" w:cs="Times New Roman"/>
          <w:sz w:val="16"/>
          <w:szCs w:val="16"/>
        </w:rPr>
        <w:t>”,</w:t>
      </w:r>
      <w:r w:rsidRPr="003F2DB9">
        <w:rPr>
          <w:rFonts w:ascii="Times New Roman" w:eastAsia="Times New Roman" w:hAnsi="Times New Roman" w:cs="Times New Roman"/>
          <w:sz w:val="16"/>
          <w:szCs w:val="16"/>
        </w:rPr>
        <w:t xml:space="preserve"> Journal of Cleaner Production, </w:t>
      </w:r>
      <w:r w:rsidR="0D2571E0" w:rsidRPr="003F2DB9">
        <w:rPr>
          <w:rFonts w:ascii="Times New Roman" w:eastAsia="Times New Roman" w:hAnsi="Times New Roman" w:cs="Times New Roman"/>
          <w:sz w:val="16"/>
          <w:szCs w:val="16"/>
        </w:rPr>
        <w:t xml:space="preserve">vol. </w:t>
      </w:r>
      <w:r w:rsidRPr="003F2DB9">
        <w:rPr>
          <w:rFonts w:ascii="Times New Roman" w:eastAsia="Times New Roman" w:hAnsi="Times New Roman" w:cs="Times New Roman"/>
          <w:sz w:val="16"/>
          <w:szCs w:val="16"/>
        </w:rPr>
        <w:t xml:space="preserve">184, </w:t>
      </w:r>
      <w:r w:rsidR="0D2571E0" w:rsidRPr="003F2DB9">
        <w:rPr>
          <w:rFonts w:ascii="Times New Roman" w:eastAsia="Times New Roman" w:hAnsi="Times New Roman" w:cs="Times New Roman"/>
          <w:sz w:val="16"/>
          <w:szCs w:val="16"/>
        </w:rPr>
        <w:t xml:space="preserve">pp. </w:t>
      </w:r>
      <w:r w:rsidRPr="003F2DB9">
        <w:rPr>
          <w:rFonts w:ascii="Times New Roman" w:eastAsia="Times New Roman" w:hAnsi="Times New Roman" w:cs="Times New Roman"/>
          <w:sz w:val="16"/>
          <w:szCs w:val="16"/>
        </w:rPr>
        <w:t>660-670, 2018.</w:t>
      </w:r>
    </w:p>
    <w:p w14:paraId="0A859938" w14:textId="77777777" w:rsidR="00285518" w:rsidRPr="003F2DB9"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J. Bruni, “The Economics of Green Building: The Green Rental Premium in Johannesburg”, Doctoral dissertation, University of the Witwatersrand, Faculty of Engineering and the Built Environment, School of Architecture and Planning, 2017.</w:t>
      </w:r>
    </w:p>
    <w:p w14:paraId="4253B570" w14:textId="562BA1E7" w:rsidR="00285518" w:rsidRPr="003F2DB9" w:rsidRDefault="6B79E008" w:rsidP="62723891">
      <w:pPr>
        <w:pStyle w:val="ListParagraph"/>
        <w:numPr>
          <w:ilvl w:val="0"/>
          <w:numId w:val="10"/>
        </w:numPr>
        <w:shd w:val="clear" w:color="auto" w:fill="FFFFFF" w:themeFill="background1"/>
        <w:spacing w:after="150" w:line="240" w:lineRule="auto"/>
        <w:ind w:left="426" w:hanging="426"/>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J. Wadu Mesthrige</w:t>
      </w:r>
      <w:r w:rsidR="00843443" w:rsidRPr="003F2DB9">
        <w:rPr>
          <w:rFonts w:ascii="Times New Roman" w:eastAsia="Times New Roman" w:hAnsi="Times New Roman" w:cs="Times New Roman"/>
          <w:sz w:val="16"/>
          <w:szCs w:val="16"/>
        </w:rPr>
        <w:t xml:space="preserve">, </w:t>
      </w:r>
      <w:r w:rsidRPr="003F2DB9">
        <w:rPr>
          <w:rFonts w:ascii="Times New Roman" w:eastAsia="Times New Roman" w:hAnsi="Times New Roman" w:cs="Times New Roman"/>
          <w:sz w:val="16"/>
          <w:szCs w:val="16"/>
        </w:rPr>
        <w:t>H. T. Chan, “Environmental certification schemes and property values: Evidence from the Hong Kong prime commercial office market</w:t>
      </w:r>
      <w:r w:rsidR="00AA3F28" w:rsidRPr="003F2DB9">
        <w:rPr>
          <w:rFonts w:ascii="Times New Roman" w:eastAsia="Times New Roman" w:hAnsi="Times New Roman" w:cs="Times New Roman"/>
          <w:sz w:val="16"/>
          <w:szCs w:val="16"/>
        </w:rPr>
        <w:t>”,</w:t>
      </w:r>
      <w:r w:rsidR="0D2571E0" w:rsidRPr="003F2DB9">
        <w:rPr>
          <w:rFonts w:ascii="Times New Roman" w:eastAsia="Times New Roman" w:hAnsi="Times New Roman" w:cs="Times New Roman"/>
          <w:sz w:val="16"/>
          <w:szCs w:val="16"/>
        </w:rPr>
        <w:t xml:space="preserve"> International Journal of Strategic Property Management, vol. 23, no. 2, pp. 81-95,</w:t>
      </w:r>
      <w:r w:rsidRPr="003F2DB9">
        <w:rPr>
          <w:rFonts w:ascii="Times New Roman" w:eastAsia="Times New Roman" w:hAnsi="Times New Roman" w:cs="Times New Roman"/>
          <w:sz w:val="16"/>
          <w:szCs w:val="16"/>
        </w:rPr>
        <w:t xml:space="preserve"> 2019.</w:t>
      </w:r>
    </w:p>
    <w:p w14:paraId="78FC7E83" w14:textId="77777777" w:rsidR="00843443" w:rsidRPr="003F2DB9" w:rsidRDefault="00843443" w:rsidP="00843443">
      <w:pPr>
        <w:pStyle w:val="ListParagraph"/>
        <w:shd w:val="clear" w:color="auto" w:fill="FFFFFF" w:themeFill="background1"/>
        <w:spacing w:after="150" w:line="240" w:lineRule="auto"/>
        <w:ind w:left="426"/>
        <w:jc w:val="both"/>
        <w:rPr>
          <w:rFonts w:ascii="Times New Roman" w:eastAsia="Times New Roman" w:hAnsi="Times New Roman" w:cs="Times New Roman"/>
          <w:sz w:val="16"/>
          <w:szCs w:val="16"/>
        </w:rPr>
      </w:pPr>
    </w:p>
    <w:p w14:paraId="20645717" w14:textId="1EB5F8AB" w:rsidR="00285518" w:rsidRPr="003F2DB9"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W. Li, G. Fang</w:t>
      </w:r>
      <w:r w:rsidR="00843443" w:rsidRPr="003F2DB9">
        <w:rPr>
          <w:rFonts w:ascii="Times New Roman" w:eastAsia="Times New Roman" w:hAnsi="Times New Roman" w:cs="Times New Roman"/>
          <w:sz w:val="16"/>
          <w:szCs w:val="16"/>
        </w:rPr>
        <w:t xml:space="preserve">, </w:t>
      </w:r>
      <w:r w:rsidRPr="003F2DB9">
        <w:rPr>
          <w:rFonts w:ascii="Times New Roman" w:eastAsia="Times New Roman" w:hAnsi="Times New Roman" w:cs="Times New Roman"/>
          <w:sz w:val="16"/>
          <w:szCs w:val="16"/>
        </w:rPr>
        <w:t xml:space="preserve">L. Yang, “The effect of LEED certification on office rental values in China”, Sustainable Energy Technologies and Assessments, </w:t>
      </w:r>
      <w:r w:rsidR="0000131D" w:rsidRPr="003F2DB9">
        <w:rPr>
          <w:rFonts w:ascii="Times New Roman" w:eastAsia="Times New Roman" w:hAnsi="Times New Roman" w:cs="Times New Roman"/>
          <w:sz w:val="16"/>
          <w:szCs w:val="16"/>
        </w:rPr>
        <w:t xml:space="preserve">vol. </w:t>
      </w:r>
      <w:r w:rsidRPr="003F2DB9">
        <w:rPr>
          <w:rFonts w:ascii="Times New Roman" w:eastAsia="Times New Roman" w:hAnsi="Times New Roman" w:cs="Times New Roman"/>
          <w:sz w:val="16"/>
          <w:szCs w:val="16"/>
        </w:rPr>
        <w:t>45, 2021.</w:t>
      </w:r>
    </w:p>
    <w:p w14:paraId="446DD92F" w14:textId="03B4EDB7" w:rsidR="00285518" w:rsidRPr="003F2DB9" w:rsidRDefault="6B79E008" w:rsidP="62723891">
      <w:pPr>
        <w:pStyle w:val="ListParagraph"/>
        <w:numPr>
          <w:ilvl w:val="0"/>
          <w:numId w:val="10"/>
        </w:numPr>
        <w:shd w:val="clear" w:color="auto" w:fill="FFFFFF" w:themeFill="background1"/>
        <w:spacing w:after="150" w:line="240" w:lineRule="auto"/>
        <w:ind w:left="426" w:hanging="426"/>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 xml:space="preserve">N. Kok, M. Miller </w:t>
      </w:r>
      <w:r w:rsidR="63463EA5" w:rsidRPr="003F2DB9">
        <w:rPr>
          <w:rFonts w:ascii="Times New Roman" w:eastAsia="Times New Roman" w:hAnsi="Times New Roman" w:cs="Times New Roman"/>
          <w:sz w:val="16"/>
          <w:szCs w:val="16"/>
        </w:rPr>
        <w:t>and</w:t>
      </w:r>
      <w:r w:rsidRPr="003F2DB9">
        <w:rPr>
          <w:rFonts w:ascii="Times New Roman" w:eastAsia="Times New Roman" w:hAnsi="Times New Roman" w:cs="Times New Roman"/>
          <w:sz w:val="16"/>
          <w:szCs w:val="16"/>
        </w:rPr>
        <w:t xml:space="preserve"> P. Morris, “The economics of green retrofits</w:t>
      </w:r>
      <w:r w:rsidR="00AA3F28" w:rsidRPr="003F2DB9">
        <w:rPr>
          <w:rFonts w:ascii="Times New Roman" w:eastAsia="Times New Roman" w:hAnsi="Times New Roman" w:cs="Times New Roman"/>
          <w:sz w:val="16"/>
          <w:szCs w:val="16"/>
        </w:rPr>
        <w:t>”,</w:t>
      </w:r>
      <w:r w:rsidRPr="003F2DB9">
        <w:rPr>
          <w:rFonts w:ascii="Times New Roman" w:eastAsia="Times New Roman" w:hAnsi="Times New Roman" w:cs="Times New Roman"/>
          <w:sz w:val="16"/>
          <w:szCs w:val="16"/>
        </w:rPr>
        <w:t xml:space="preserve"> Journal of Sustainable Real Estate, </w:t>
      </w:r>
      <w:r w:rsidR="63463EA5" w:rsidRPr="003F2DB9">
        <w:rPr>
          <w:rFonts w:ascii="Times New Roman" w:eastAsia="Times New Roman" w:hAnsi="Times New Roman" w:cs="Times New Roman"/>
          <w:sz w:val="16"/>
          <w:szCs w:val="16"/>
        </w:rPr>
        <w:t xml:space="preserve">vol. </w:t>
      </w:r>
      <w:r w:rsidRPr="003F2DB9">
        <w:rPr>
          <w:rFonts w:ascii="Times New Roman" w:eastAsia="Times New Roman" w:hAnsi="Times New Roman" w:cs="Times New Roman"/>
          <w:sz w:val="16"/>
          <w:szCs w:val="16"/>
        </w:rPr>
        <w:t>4</w:t>
      </w:r>
      <w:r w:rsidR="63463EA5" w:rsidRPr="003F2DB9">
        <w:rPr>
          <w:rFonts w:ascii="Times New Roman" w:eastAsia="Times New Roman" w:hAnsi="Times New Roman" w:cs="Times New Roman"/>
          <w:sz w:val="16"/>
          <w:szCs w:val="16"/>
        </w:rPr>
        <w:t xml:space="preserve">, no. </w:t>
      </w:r>
      <w:r w:rsidRPr="003F2DB9">
        <w:rPr>
          <w:rFonts w:ascii="Times New Roman" w:eastAsia="Times New Roman" w:hAnsi="Times New Roman" w:cs="Times New Roman"/>
          <w:sz w:val="16"/>
          <w:szCs w:val="16"/>
        </w:rPr>
        <w:t>1, pp. 4-22, 2012.</w:t>
      </w:r>
    </w:p>
    <w:p w14:paraId="34B56526" w14:textId="77777777" w:rsidR="00843443" w:rsidRPr="003F2DB9" w:rsidRDefault="00843443" w:rsidP="00843443">
      <w:pPr>
        <w:pStyle w:val="ListParagraph"/>
        <w:shd w:val="clear" w:color="auto" w:fill="FFFFFF" w:themeFill="background1"/>
        <w:spacing w:after="150" w:line="240" w:lineRule="auto"/>
        <w:ind w:left="426"/>
        <w:jc w:val="both"/>
        <w:rPr>
          <w:rFonts w:ascii="Times New Roman" w:eastAsia="Times New Roman" w:hAnsi="Times New Roman" w:cs="Times New Roman"/>
          <w:sz w:val="16"/>
          <w:szCs w:val="16"/>
        </w:rPr>
      </w:pPr>
    </w:p>
    <w:p w14:paraId="4531B305" w14:textId="426EEE28" w:rsidR="00285518" w:rsidRPr="003F2DB9"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 xml:space="preserve">K. Carlson </w:t>
      </w:r>
      <w:r w:rsidR="009720D4" w:rsidRPr="003F2DB9">
        <w:rPr>
          <w:rFonts w:ascii="Times New Roman" w:eastAsia="Times New Roman" w:hAnsi="Times New Roman" w:cs="Times New Roman"/>
          <w:sz w:val="16"/>
          <w:szCs w:val="16"/>
        </w:rPr>
        <w:t>and</w:t>
      </w:r>
      <w:r w:rsidRPr="003F2DB9">
        <w:rPr>
          <w:rFonts w:ascii="Times New Roman" w:eastAsia="Times New Roman" w:hAnsi="Times New Roman" w:cs="Times New Roman"/>
          <w:sz w:val="16"/>
          <w:szCs w:val="16"/>
        </w:rPr>
        <w:t xml:space="preserve"> K. D. </w:t>
      </w:r>
      <w:proofErr w:type="spellStart"/>
      <w:r w:rsidRPr="003F2DB9">
        <w:rPr>
          <w:rFonts w:ascii="Times New Roman" w:eastAsia="Times New Roman" w:hAnsi="Times New Roman" w:cs="Times New Roman"/>
          <w:sz w:val="16"/>
          <w:szCs w:val="16"/>
        </w:rPr>
        <w:t>Pressnail</w:t>
      </w:r>
      <w:proofErr w:type="spellEnd"/>
      <w:r w:rsidRPr="003F2DB9">
        <w:rPr>
          <w:rFonts w:ascii="Times New Roman" w:eastAsia="Times New Roman" w:hAnsi="Times New Roman" w:cs="Times New Roman"/>
          <w:sz w:val="16"/>
          <w:szCs w:val="16"/>
        </w:rPr>
        <w:t>, “Value impacts of energy efficiency retrofits on commercial office buildings in Toronto, Canada”</w:t>
      </w:r>
      <w:r w:rsidR="0000131D" w:rsidRPr="003F2DB9">
        <w:rPr>
          <w:rFonts w:ascii="Times New Roman" w:eastAsia="Times New Roman" w:hAnsi="Times New Roman" w:cs="Times New Roman"/>
          <w:sz w:val="16"/>
          <w:szCs w:val="16"/>
        </w:rPr>
        <w:t>,</w:t>
      </w:r>
      <w:r w:rsidRPr="003F2DB9">
        <w:rPr>
          <w:rFonts w:ascii="Times New Roman" w:eastAsia="Times New Roman" w:hAnsi="Times New Roman" w:cs="Times New Roman"/>
          <w:sz w:val="16"/>
          <w:szCs w:val="16"/>
        </w:rPr>
        <w:t xml:space="preserve"> Energy and Buildings, </w:t>
      </w:r>
      <w:r w:rsidR="0000131D" w:rsidRPr="003F2DB9">
        <w:rPr>
          <w:rFonts w:ascii="Times New Roman" w:eastAsia="Times New Roman" w:hAnsi="Times New Roman" w:cs="Times New Roman"/>
          <w:sz w:val="16"/>
          <w:szCs w:val="16"/>
        </w:rPr>
        <w:t xml:space="preserve">vol. </w:t>
      </w:r>
      <w:r w:rsidRPr="003F2DB9">
        <w:rPr>
          <w:rFonts w:ascii="Times New Roman" w:eastAsia="Times New Roman" w:hAnsi="Times New Roman" w:cs="Times New Roman"/>
          <w:sz w:val="16"/>
          <w:szCs w:val="16"/>
        </w:rPr>
        <w:t>162, pp. 154-162, 2018</w:t>
      </w:r>
      <w:r w:rsidR="0000131D" w:rsidRPr="003F2DB9">
        <w:rPr>
          <w:rFonts w:ascii="Times New Roman" w:eastAsia="Times New Roman" w:hAnsi="Times New Roman" w:cs="Times New Roman"/>
          <w:sz w:val="16"/>
          <w:szCs w:val="16"/>
        </w:rPr>
        <w:t>.</w:t>
      </w:r>
    </w:p>
    <w:p w14:paraId="1EADA394" w14:textId="3A241AAC" w:rsidR="00285518" w:rsidRPr="003F2DB9" w:rsidRDefault="6B79E008" w:rsidP="62723891">
      <w:pPr>
        <w:pStyle w:val="ListParagraph"/>
        <w:numPr>
          <w:ilvl w:val="0"/>
          <w:numId w:val="10"/>
        </w:numPr>
        <w:shd w:val="clear" w:color="auto" w:fill="FFFFFF" w:themeFill="background1"/>
        <w:spacing w:after="150" w:line="240" w:lineRule="auto"/>
        <w:ind w:left="426" w:hanging="426"/>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D. C. Jang, B. Kim</w:t>
      </w:r>
      <w:r w:rsidR="00843443" w:rsidRPr="003F2DB9">
        <w:rPr>
          <w:rFonts w:ascii="Times New Roman" w:eastAsia="Times New Roman" w:hAnsi="Times New Roman" w:cs="Times New Roman"/>
          <w:sz w:val="16"/>
          <w:szCs w:val="16"/>
        </w:rPr>
        <w:t xml:space="preserve">, </w:t>
      </w:r>
      <w:r w:rsidRPr="003F2DB9">
        <w:rPr>
          <w:rFonts w:ascii="Times New Roman" w:eastAsia="Times New Roman" w:hAnsi="Times New Roman" w:cs="Times New Roman"/>
          <w:sz w:val="16"/>
          <w:szCs w:val="16"/>
        </w:rPr>
        <w:t>S. H. Kim, “The effect of green building certification on potential tenants’ willingness to rent space in a building</w:t>
      </w:r>
      <w:r w:rsidR="00AA3F28" w:rsidRPr="003F2DB9">
        <w:rPr>
          <w:rFonts w:ascii="Times New Roman" w:eastAsia="Times New Roman" w:hAnsi="Times New Roman" w:cs="Times New Roman"/>
          <w:sz w:val="16"/>
          <w:szCs w:val="16"/>
        </w:rPr>
        <w:t>”,</w:t>
      </w:r>
      <w:r w:rsidRPr="003F2DB9">
        <w:rPr>
          <w:rFonts w:ascii="Times New Roman" w:eastAsia="Times New Roman" w:hAnsi="Times New Roman" w:cs="Times New Roman"/>
          <w:sz w:val="16"/>
          <w:szCs w:val="16"/>
        </w:rPr>
        <w:t xml:space="preserve"> Journal of Cleaner Production, </w:t>
      </w:r>
      <w:r w:rsidR="0BFE1867" w:rsidRPr="003F2DB9">
        <w:rPr>
          <w:rFonts w:ascii="Times New Roman" w:eastAsia="Times New Roman" w:hAnsi="Times New Roman" w:cs="Times New Roman"/>
          <w:sz w:val="16"/>
          <w:szCs w:val="16"/>
        </w:rPr>
        <w:t xml:space="preserve">vol. </w:t>
      </w:r>
      <w:r w:rsidRPr="003F2DB9">
        <w:rPr>
          <w:rFonts w:ascii="Times New Roman" w:eastAsia="Times New Roman" w:hAnsi="Times New Roman" w:cs="Times New Roman"/>
          <w:sz w:val="16"/>
          <w:szCs w:val="16"/>
        </w:rPr>
        <w:t>194, pp. 645-655, 2018.</w:t>
      </w:r>
    </w:p>
    <w:p w14:paraId="5B087189" w14:textId="77777777" w:rsidR="00843443" w:rsidRPr="003F2DB9" w:rsidRDefault="00843443" w:rsidP="00843443">
      <w:pPr>
        <w:pStyle w:val="ListParagraph"/>
        <w:shd w:val="clear" w:color="auto" w:fill="FFFFFF" w:themeFill="background1"/>
        <w:spacing w:after="150" w:line="240" w:lineRule="auto"/>
        <w:ind w:left="426"/>
        <w:jc w:val="both"/>
        <w:rPr>
          <w:rFonts w:ascii="Times New Roman" w:eastAsia="Times New Roman" w:hAnsi="Times New Roman" w:cs="Times New Roman"/>
          <w:sz w:val="16"/>
          <w:szCs w:val="16"/>
        </w:rPr>
      </w:pPr>
    </w:p>
    <w:p w14:paraId="066939AA" w14:textId="72AE0F9B" w:rsidR="00285518" w:rsidRPr="003F2DB9"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 xml:space="preserve">P. S. Abraham </w:t>
      </w:r>
      <w:r w:rsidR="009720D4" w:rsidRPr="003F2DB9">
        <w:rPr>
          <w:rFonts w:ascii="Times New Roman" w:eastAsia="Times New Roman" w:hAnsi="Times New Roman" w:cs="Times New Roman"/>
          <w:sz w:val="16"/>
          <w:szCs w:val="16"/>
        </w:rPr>
        <w:t>and</w:t>
      </w:r>
      <w:r w:rsidRPr="003F2DB9">
        <w:rPr>
          <w:rFonts w:ascii="Times New Roman" w:eastAsia="Times New Roman" w:hAnsi="Times New Roman" w:cs="Times New Roman"/>
          <w:sz w:val="16"/>
          <w:szCs w:val="16"/>
        </w:rPr>
        <w:t xml:space="preserve"> H. </w:t>
      </w:r>
      <w:proofErr w:type="spellStart"/>
      <w:r w:rsidRPr="003F2DB9">
        <w:rPr>
          <w:rFonts w:ascii="Times New Roman" w:eastAsia="Times New Roman" w:hAnsi="Times New Roman" w:cs="Times New Roman"/>
          <w:sz w:val="16"/>
          <w:szCs w:val="16"/>
        </w:rPr>
        <w:t>Gundimeda</w:t>
      </w:r>
      <w:proofErr w:type="spellEnd"/>
      <w:r w:rsidRPr="003F2DB9">
        <w:rPr>
          <w:rFonts w:ascii="Times New Roman" w:eastAsia="Times New Roman" w:hAnsi="Times New Roman" w:cs="Times New Roman"/>
          <w:sz w:val="16"/>
          <w:szCs w:val="16"/>
        </w:rPr>
        <w:t xml:space="preserve">, “Greening offices: Willingness to pay for green-certified office spaces in Bengaluru, India. Environment”, Development and Sustainability, </w:t>
      </w:r>
      <w:r w:rsidR="009720D4" w:rsidRPr="003F2DB9">
        <w:rPr>
          <w:rFonts w:ascii="Times New Roman" w:eastAsia="Times New Roman" w:hAnsi="Times New Roman" w:cs="Times New Roman"/>
          <w:sz w:val="16"/>
          <w:szCs w:val="16"/>
        </w:rPr>
        <w:t xml:space="preserve">vol. </w:t>
      </w:r>
      <w:r w:rsidRPr="003F2DB9">
        <w:rPr>
          <w:rFonts w:ascii="Times New Roman" w:eastAsia="Times New Roman" w:hAnsi="Times New Roman" w:cs="Times New Roman"/>
          <w:sz w:val="16"/>
          <w:szCs w:val="16"/>
        </w:rPr>
        <w:t>22</w:t>
      </w:r>
      <w:r w:rsidR="009720D4" w:rsidRPr="003F2DB9">
        <w:rPr>
          <w:rFonts w:ascii="Times New Roman" w:eastAsia="Times New Roman" w:hAnsi="Times New Roman" w:cs="Times New Roman"/>
          <w:sz w:val="16"/>
          <w:szCs w:val="16"/>
        </w:rPr>
        <w:t xml:space="preserve">, no. </w:t>
      </w:r>
      <w:r w:rsidRPr="003F2DB9">
        <w:rPr>
          <w:rFonts w:ascii="Times New Roman" w:eastAsia="Times New Roman" w:hAnsi="Times New Roman" w:cs="Times New Roman"/>
          <w:sz w:val="16"/>
          <w:szCs w:val="16"/>
        </w:rPr>
        <w:t xml:space="preserve">3, </w:t>
      </w:r>
      <w:r w:rsidR="009720D4" w:rsidRPr="003F2DB9">
        <w:rPr>
          <w:rFonts w:ascii="Times New Roman" w:eastAsia="Times New Roman" w:hAnsi="Times New Roman" w:cs="Times New Roman"/>
          <w:sz w:val="16"/>
          <w:szCs w:val="16"/>
        </w:rPr>
        <w:t xml:space="preserve">pp. </w:t>
      </w:r>
      <w:r w:rsidRPr="003F2DB9">
        <w:rPr>
          <w:rFonts w:ascii="Times New Roman" w:eastAsia="Times New Roman" w:hAnsi="Times New Roman" w:cs="Times New Roman"/>
          <w:sz w:val="16"/>
          <w:szCs w:val="16"/>
        </w:rPr>
        <w:t>1839-1857, 2020.</w:t>
      </w:r>
    </w:p>
    <w:p w14:paraId="0DD5DA85" w14:textId="0C7013A1" w:rsidR="00285518" w:rsidRPr="003F2DB9" w:rsidRDefault="6B79E008" w:rsidP="62723891">
      <w:pPr>
        <w:pStyle w:val="ListParagraph"/>
        <w:numPr>
          <w:ilvl w:val="0"/>
          <w:numId w:val="10"/>
        </w:numPr>
        <w:shd w:val="clear" w:color="auto" w:fill="FFFFFF" w:themeFill="background1"/>
        <w:spacing w:after="150" w:line="240" w:lineRule="auto"/>
        <w:ind w:left="426" w:hanging="426"/>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J. Gabe</w:t>
      </w:r>
      <w:r w:rsidR="3E252C81" w:rsidRPr="003F2DB9">
        <w:rPr>
          <w:rFonts w:ascii="Times New Roman" w:eastAsia="Times New Roman" w:hAnsi="Times New Roman" w:cs="Times New Roman"/>
          <w:sz w:val="16"/>
          <w:szCs w:val="16"/>
        </w:rPr>
        <w:t xml:space="preserve"> and</w:t>
      </w:r>
      <w:r w:rsidRPr="003F2DB9">
        <w:rPr>
          <w:rFonts w:ascii="Times New Roman" w:eastAsia="Times New Roman" w:hAnsi="Times New Roman" w:cs="Times New Roman"/>
          <w:sz w:val="16"/>
          <w:szCs w:val="16"/>
        </w:rPr>
        <w:t xml:space="preserve"> M. Rehm, “Do tenants pay energy efficiency rent premiums?</w:t>
      </w:r>
      <w:r w:rsidR="00AA3F28" w:rsidRPr="003F2DB9">
        <w:rPr>
          <w:rFonts w:ascii="Times New Roman" w:eastAsia="Times New Roman" w:hAnsi="Times New Roman" w:cs="Times New Roman"/>
          <w:sz w:val="16"/>
          <w:szCs w:val="16"/>
        </w:rPr>
        <w:t>”,</w:t>
      </w:r>
      <w:r w:rsidRPr="003F2DB9">
        <w:rPr>
          <w:rFonts w:ascii="Times New Roman" w:eastAsia="Times New Roman" w:hAnsi="Times New Roman" w:cs="Times New Roman"/>
          <w:sz w:val="16"/>
          <w:szCs w:val="16"/>
        </w:rPr>
        <w:t xml:space="preserve"> Journal of Property Investment &amp; Finance,</w:t>
      </w:r>
      <w:r w:rsidR="3E252C81" w:rsidRPr="003F2DB9">
        <w:rPr>
          <w:rFonts w:ascii="Times New Roman" w:eastAsia="Times New Roman" w:hAnsi="Times New Roman" w:cs="Times New Roman"/>
          <w:sz w:val="16"/>
          <w:szCs w:val="16"/>
        </w:rPr>
        <w:t xml:space="preserve"> vol. 32, no. 4, pp. 333-351,</w:t>
      </w:r>
      <w:r w:rsidRPr="003F2DB9">
        <w:rPr>
          <w:rFonts w:ascii="Times New Roman" w:eastAsia="Times New Roman" w:hAnsi="Times New Roman" w:cs="Times New Roman"/>
          <w:sz w:val="16"/>
          <w:szCs w:val="16"/>
        </w:rPr>
        <w:t xml:space="preserve"> 2014.</w:t>
      </w:r>
    </w:p>
    <w:p w14:paraId="6E5F0C5A" w14:textId="77777777" w:rsidR="00843443" w:rsidRPr="003F2DB9" w:rsidRDefault="00843443" w:rsidP="00843443">
      <w:pPr>
        <w:pStyle w:val="ListParagraph"/>
        <w:shd w:val="clear" w:color="auto" w:fill="FFFFFF" w:themeFill="background1"/>
        <w:spacing w:after="150" w:line="240" w:lineRule="auto"/>
        <w:ind w:left="426"/>
        <w:jc w:val="both"/>
        <w:rPr>
          <w:rFonts w:ascii="Times New Roman" w:eastAsia="Times New Roman" w:hAnsi="Times New Roman" w:cs="Times New Roman"/>
          <w:sz w:val="16"/>
          <w:szCs w:val="16"/>
        </w:rPr>
      </w:pPr>
    </w:p>
    <w:p w14:paraId="602CD6CA" w14:textId="13F77371" w:rsidR="00285518" w:rsidRPr="003F2DB9"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S. Roy, P. C. Ensign</w:t>
      </w:r>
      <w:r w:rsidR="00843443" w:rsidRPr="003F2DB9">
        <w:rPr>
          <w:rFonts w:ascii="Times New Roman" w:eastAsia="Times New Roman" w:hAnsi="Times New Roman" w:cs="Times New Roman"/>
          <w:sz w:val="16"/>
          <w:szCs w:val="16"/>
        </w:rPr>
        <w:t xml:space="preserve">, </w:t>
      </w:r>
      <w:r w:rsidRPr="003F2DB9">
        <w:rPr>
          <w:rFonts w:ascii="Times New Roman" w:eastAsia="Times New Roman" w:hAnsi="Times New Roman" w:cs="Times New Roman"/>
          <w:sz w:val="16"/>
          <w:szCs w:val="16"/>
        </w:rPr>
        <w:t>T. Brzustowski, “An assessment of LEED certification's impact on net rental rates for commercial office space in Toronto, Ontario”, 2016 Portland International Conference on Management of Engineering and Technology (PICMET)</w:t>
      </w:r>
      <w:r w:rsidR="00A51ECA" w:rsidRPr="003F2DB9">
        <w:rPr>
          <w:rFonts w:ascii="Times New Roman" w:eastAsia="Times New Roman" w:hAnsi="Times New Roman" w:cs="Times New Roman"/>
          <w:sz w:val="16"/>
          <w:szCs w:val="16"/>
        </w:rPr>
        <w:t>, 2016</w:t>
      </w:r>
      <w:r w:rsidRPr="003F2DB9">
        <w:rPr>
          <w:rFonts w:ascii="Times New Roman" w:eastAsia="Times New Roman" w:hAnsi="Times New Roman" w:cs="Times New Roman"/>
          <w:sz w:val="16"/>
          <w:szCs w:val="16"/>
        </w:rPr>
        <w:t>, pp. 2420-2429</w:t>
      </w:r>
      <w:r w:rsidR="00DD1136" w:rsidRPr="003F2DB9">
        <w:rPr>
          <w:rFonts w:ascii="Times New Roman" w:eastAsia="Times New Roman" w:hAnsi="Times New Roman" w:cs="Times New Roman"/>
          <w:sz w:val="16"/>
          <w:szCs w:val="16"/>
        </w:rPr>
        <w:t>.</w:t>
      </w:r>
    </w:p>
    <w:p w14:paraId="3338DF3F" w14:textId="0B948DDE" w:rsidR="00285518" w:rsidRPr="003F2DB9"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F. Rahman, I. Rowlands</w:t>
      </w:r>
      <w:r w:rsidR="00843443" w:rsidRPr="003F2DB9">
        <w:rPr>
          <w:rFonts w:ascii="Times New Roman" w:eastAsia="Times New Roman" w:hAnsi="Times New Roman" w:cs="Times New Roman"/>
          <w:sz w:val="16"/>
          <w:szCs w:val="16"/>
        </w:rPr>
        <w:t xml:space="preserve">, </w:t>
      </w:r>
      <w:r w:rsidRPr="003F2DB9">
        <w:rPr>
          <w:rFonts w:ascii="Times New Roman" w:eastAsia="Times New Roman" w:hAnsi="Times New Roman" w:cs="Times New Roman"/>
          <w:sz w:val="16"/>
          <w:szCs w:val="16"/>
        </w:rPr>
        <w:t>O. Weber, “Do green buildings capture higher market valuations and lower vacancy rates? A Canadian case study of LEED and BOMA-BEST properties”, Smart and Sustainable Built Environment,</w:t>
      </w:r>
      <w:r w:rsidR="00DD1136" w:rsidRPr="003F2DB9">
        <w:rPr>
          <w:rFonts w:ascii="Times New Roman" w:eastAsia="Times New Roman" w:hAnsi="Times New Roman" w:cs="Times New Roman"/>
          <w:sz w:val="16"/>
          <w:szCs w:val="16"/>
        </w:rPr>
        <w:t xml:space="preserve"> vol. 6, no. 4,</w:t>
      </w:r>
      <w:r w:rsidRPr="003F2DB9">
        <w:rPr>
          <w:rFonts w:ascii="Times New Roman" w:eastAsia="Times New Roman" w:hAnsi="Times New Roman" w:cs="Times New Roman"/>
          <w:sz w:val="16"/>
          <w:szCs w:val="16"/>
        </w:rPr>
        <w:t xml:space="preserve"> 2017.</w:t>
      </w:r>
    </w:p>
    <w:p w14:paraId="27D941E4" w14:textId="5B8ABD56" w:rsidR="00285518" w:rsidRPr="003F2DB9"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 xml:space="preserve">I. J. Onuoha, G. U. </w:t>
      </w:r>
      <w:proofErr w:type="spellStart"/>
      <w:r w:rsidRPr="003F2DB9">
        <w:rPr>
          <w:rFonts w:ascii="Times New Roman" w:eastAsia="Times New Roman" w:hAnsi="Times New Roman" w:cs="Times New Roman"/>
          <w:sz w:val="16"/>
          <w:szCs w:val="16"/>
        </w:rPr>
        <w:t>Aliagha</w:t>
      </w:r>
      <w:proofErr w:type="spellEnd"/>
      <w:r w:rsidR="00843443" w:rsidRPr="003F2DB9">
        <w:rPr>
          <w:rFonts w:ascii="Times New Roman" w:eastAsia="Times New Roman" w:hAnsi="Times New Roman" w:cs="Times New Roman"/>
          <w:sz w:val="16"/>
          <w:szCs w:val="16"/>
        </w:rPr>
        <w:t xml:space="preserve">, </w:t>
      </w:r>
      <w:r w:rsidRPr="003F2DB9">
        <w:rPr>
          <w:rFonts w:ascii="Times New Roman" w:eastAsia="Times New Roman" w:hAnsi="Times New Roman" w:cs="Times New Roman"/>
          <w:sz w:val="16"/>
          <w:szCs w:val="16"/>
        </w:rPr>
        <w:t xml:space="preserve">M. S. A. Rahman, “Modelling the effects of green building incentives and green building skills on supply factors affecting green commercial property investment”, Renewable and Sustainable Energy Reviews, </w:t>
      </w:r>
      <w:r w:rsidR="00DD1136" w:rsidRPr="003F2DB9">
        <w:rPr>
          <w:rFonts w:ascii="Times New Roman" w:eastAsia="Times New Roman" w:hAnsi="Times New Roman" w:cs="Times New Roman"/>
          <w:sz w:val="16"/>
          <w:szCs w:val="16"/>
        </w:rPr>
        <w:t xml:space="preserve">vol. </w:t>
      </w:r>
      <w:r w:rsidRPr="003F2DB9">
        <w:rPr>
          <w:rFonts w:ascii="Times New Roman" w:eastAsia="Times New Roman" w:hAnsi="Times New Roman" w:cs="Times New Roman"/>
          <w:sz w:val="16"/>
          <w:szCs w:val="16"/>
        </w:rPr>
        <w:t>90, pp. 814-823, 2018</w:t>
      </w:r>
      <w:r w:rsidR="00DD1136" w:rsidRPr="003F2DB9">
        <w:rPr>
          <w:rFonts w:ascii="Times New Roman" w:eastAsia="Times New Roman" w:hAnsi="Times New Roman" w:cs="Times New Roman"/>
          <w:sz w:val="16"/>
          <w:szCs w:val="16"/>
        </w:rPr>
        <w:t>.</w:t>
      </w:r>
    </w:p>
    <w:p w14:paraId="54C17EAD" w14:textId="2009AEF6" w:rsidR="00285518" w:rsidRPr="003F2DB9" w:rsidRDefault="6B79E008" w:rsidP="62723891">
      <w:pPr>
        <w:pStyle w:val="ListParagraph"/>
        <w:numPr>
          <w:ilvl w:val="0"/>
          <w:numId w:val="10"/>
        </w:numPr>
        <w:shd w:val="clear" w:color="auto" w:fill="FFFFFF" w:themeFill="background1"/>
        <w:spacing w:after="150" w:line="240" w:lineRule="auto"/>
        <w:ind w:left="426" w:hanging="426"/>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 xml:space="preserve">R. J. Laverne </w:t>
      </w:r>
      <w:r w:rsidR="3E252C81" w:rsidRPr="003F2DB9">
        <w:rPr>
          <w:rFonts w:ascii="Times New Roman" w:eastAsia="Times New Roman" w:hAnsi="Times New Roman" w:cs="Times New Roman"/>
          <w:sz w:val="16"/>
          <w:szCs w:val="16"/>
        </w:rPr>
        <w:t>and</w:t>
      </w:r>
      <w:r w:rsidRPr="003F2DB9">
        <w:rPr>
          <w:rFonts w:ascii="Times New Roman" w:eastAsia="Times New Roman" w:hAnsi="Times New Roman" w:cs="Times New Roman"/>
          <w:sz w:val="16"/>
          <w:szCs w:val="16"/>
        </w:rPr>
        <w:t xml:space="preserve"> K. Winson-Geideman, “The influence of trees and landscaping on rental rates at office buildings</w:t>
      </w:r>
      <w:r w:rsidR="00AA3F28" w:rsidRPr="003F2DB9">
        <w:rPr>
          <w:rFonts w:ascii="Times New Roman" w:eastAsia="Times New Roman" w:hAnsi="Times New Roman" w:cs="Times New Roman"/>
          <w:sz w:val="16"/>
          <w:szCs w:val="16"/>
        </w:rPr>
        <w:t>”,</w:t>
      </w:r>
      <w:r w:rsidRPr="003F2DB9">
        <w:rPr>
          <w:rFonts w:ascii="Times New Roman" w:eastAsia="Times New Roman" w:hAnsi="Times New Roman" w:cs="Times New Roman"/>
          <w:sz w:val="16"/>
          <w:szCs w:val="16"/>
        </w:rPr>
        <w:t> Journal of Arboriculture, </w:t>
      </w:r>
      <w:r w:rsidR="3E252C81" w:rsidRPr="003F2DB9">
        <w:rPr>
          <w:rFonts w:ascii="Times New Roman" w:eastAsia="Times New Roman" w:hAnsi="Times New Roman" w:cs="Times New Roman"/>
          <w:sz w:val="16"/>
          <w:szCs w:val="16"/>
        </w:rPr>
        <w:t xml:space="preserve">vol. </w:t>
      </w:r>
      <w:r w:rsidRPr="003F2DB9">
        <w:rPr>
          <w:rFonts w:ascii="Times New Roman" w:eastAsia="Times New Roman" w:hAnsi="Times New Roman" w:cs="Times New Roman"/>
          <w:sz w:val="16"/>
          <w:szCs w:val="16"/>
        </w:rPr>
        <w:t>29</w:t>
      </w:r>
      <w:r w:rsidR="3E252C81" w:rsidRPr="003F2DB9">
        <w:rPr>
          <w:rFonts w:ascii="Times New Roman" w:eastAsia="Times New Roman" w:hAnsi="Times New Roman" w:cs="Times New Roman"/>
          <w:sz w:val="16"/>
          <w:szCs w:val="16"/>
        </w:rPr>
        <w:t xml:space="preserve">, no. </w:t>
      </w:r>
      <w:r w:rsidRPr="003F2DB9">
        <w:rPr>
          <w:rFonts w:ascii="Times New Roman" w:eastAsia="Times New Roman" w:hAnsi="Times New Roman" w:cs="Times New Roman"/>
          <w:sz w:val="16"/>
          <w:szCs w:val="16"/>
        </w:rPr>
        <w:t>5, pp. 281-290, 2003.</w:t>
      </w:r>
    </w:p>
    <w:p w14:paraId="26CA6E4F" w14:textId="77777777" w:rsidR="00843443" w:rsidRPr="003F2DB9" w:rsidRDefault="00843443" w:rsidP="00843443">
      <w:pPr>
        <w:pStyle w:val="ListParagraph"/>
        <w:shd w:val="clear" w:color="auto" w:fill="FFFFFF" w:themeFill="background1"/>
        <w:spacing w:after="150" w:line="240" w:lineRule="auto"/>
        <w:ind w:left="426"/>
        <w:jc w:val="both"/>
        <w:rPr>
          <w:rFonts w:ascii="Times New Roman" w:eastAsia="Times New Roman" w:hAnsi="Times New Roman" w:cs="Times New Roman"/>
          <w:sz w:val="16"/>
          <w:szCs w:val="16"/>
        </w:rPr>
      </w:pPr>
    </w:p>
    <w:p w14:paraId="1E258B31" w14:textId="6BE0D4FD" w:rsidR="00285518" w:rsidRPr="003F2DB9" w:rsidRDefault="6B79E008" w:rsidP="62723891">
      <w:pPr>
        <w:pStyle w:val="ListParagraph"/>
        <w:numPr>
          <w:ilvl w:val="0"/>
          <w:numId w:val="10"/>
        </w:numPr>
        <w:shd w:val="clear" w:color="auto" w:fill="FFFFFF" w:themeFill="background1"/>
        <w:spacing w:after="150" w:line="240" w:lineRule="auto"/>
        <w:ind w:left="426" w:hanging="426"/>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N. Miller, J. Spivey</w:t>
      </w:r>
      <w:r w:rsidR="00843443" w:rsidRPr="003F2DB9">
        <w:rPr>
          <w:rFonts w:ascii="Times New Roman" w:eastAsia="Times New Roman" w:hAnsi="Times New Roman" w:cs="Times New Roman"/>
          <w:sz w:val="16"/>
          <w:szCs w:val="16"/>
        </w:rPr>
        <w:t xml:space="preserve">, </w:t>
      </w:r>
      <w:r w:rsidRPr="003F2DB9">
        <w:rPr>
          <w:rFonts w:ascii="Times New Roman" w:eastAsia="Times New Roman" w:hAnsi="Times New Roman" w:cs="Times New Roman"/>
          <w:sz w:val="16"/>
          <w:szCs w:val="16"/>
        </w:rPr>
        <w:t>A. Florance, “Does green pay off?</w:t>
      </w:r>
      <w:r w:rsidR="00AA3F28" w:rsidRPr="003F2DB9">
        <w:rPr>
          <w:rFonts w:ascii="Times New Roman" w:eastAsia="Times New Roman" w:hAnsi="Times New Roman" w:cs="Times New Roman"/>
          <w:sz w:val="16"/>
          <w:szCs w:val="16"/>
        </w:rPr>
        <w:t>”,</w:t>
      </w:r>
      <w:r w:rsidRPr="003F2DB9">
        <w:rPr>
          <w:rFonts w:ascii="Times New Roman" w:eastAsia="Times New Roman" w:hAnsi="Times New Roman" w:cs="Times New Roman"/>
          <w:sz w:val="16"/>
          <w:szCs w:val="16"/>
        </w:rPr>
        <w:t> Journal of Real Estate Portfolio Management, </w:t>
      </w:r>
      <w:r w:rsidR="3E252C81" w:rsidRPr="003F2DB9">
        <w:rPr>
          <w:rFonts w:ascii="Times New Roman" w:eastAsia="Times New Roman" w:hAnsi="Times New Roman" w:cs="Times New Roman"/>
          <w:sz w:val="16"/>
          <w:szCs w:val="16"/>
        </w:rPr>
        <w:t xml:space="preserve">vol. </w:t>
      </w:r>
      <w:r w:rsidRPr="003F2DB9">
        <w:rPr>
          <w:rFonts w:ascii="Times New Roman" w:eastAsia="Times New Roman" w:hAnsi="Times New Roman" w:cs="Times New Roman"/>
          <w:sz w:val="16"/>
          <w:szCs w:val="16"/>
        </w:rPr>
        <w:t>14</w:t>
      </w:r>
      <w:r w:rsidR="3E252C81" w:rsidRPr="003F2DB9">
        <w:rPr>
          <w:rFonts w:ascii="Times New Roman" w:eastAsia="Times New Roman" w:hAnsi="Times New Roman" w:cs="Times New Roman"/>
          <w:sz w:val="16"/>
          <w:szCs w:val="16"/>
        </w:rPr>
        <w:t xml:space="preserve">, no. </w:t>
      </w:r>
      <w:r w:rsidRPr="003F2DB9">
        <w:rPr>
          <w:rFonts w:ascii="Times New Roman" w:eastAsia="Times New Roman" w:hAnsi="Times New Roman" w:cs="Times New Roman"/>
          <w:sz w:val="16"/>
          <w:szCs w:val="16"/>
        </w:rPr>
        <w:t>4, pp. 385-400, 2008.</w:t>
      </w:r>
    </w:p>
    <w:p w14:paraId="75EDDD8D" w14:textId="77777777" w:rsidR="00843443" w:rsidRPr="003F2DB9" w:rsidRDefault="00843443" w:rsidP="00843443">
      <w:pPr>
        <w:pStyle w:val="ListParagraph"/>
        <w:rPr>
          <w:rFonts w:ascii="Times New Roman" w:eastAsia="Times New Roman" w:hAnsi="Times New Roman" w:cs="Times New Roman"/>
          <w:sz w:val="16"/>
          <w:szCs w:val="16"/>
        </w:rPr>
      </w:pPr>
    </w:p>
    <w:p w14:paraId="21599033" w14:textId="63F56748" w:rsidR="00285518" w:rsidRPr="003F2DB9" w:rsidRDefault="6B79E008" w:rsidP="62723891">
      <w:pPr>
        <w:pStyle w:val="ListParagraph"/>
        <w:numPr>
          <w:ilvl w:val="0"/>
          <w:numId w:val="10"/>
        </w:numPr>
        <w:shd w:val="clear" w:color="auto" w:fill="FFFFFF" w:themeFill="background1"/>
        <w:spacing w:after="150" w:line="240" w:lineRule="auto"/>
        <w:ind w:left="426" w:hanging="426"/>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R. Simons, S. Robinson</w:t>
      </w:r>
      <w:r w:rsidR="00843443" w:rsidRPr="003F2DB9">
        <w:rPr>
          <w:rFonts w:ascii="Times New Roman" w:eastAsia="Times New Roman" w:hAnsi="Times New Roman" w:cs="Times New Roman"/>
          <w:sz w:val="16"/>
          <w:szCs w:val="16"/>
        </w:rPr>
        <w:t xml:space="preserve">, </w:t>
      </w:r>
      <w:r w:rsidRPr="003F2DB9">
        <w:rPr>
          <w:rFonts w:ascii="Times New Roman" w:eastAsia="Times New Roman" w:hAnsi="Times New Roman" w:cs="Times New Roman"/>
          <w:sz w:val="16"/>
          <w:szCs w:val="16"/>
        </w:rPr>
        <w:t>E. Lee, “Green office buildings: A qualitative exploration of green office building attributes</w:t>
      </w:r>
      <w:r w:rsidR="00AA3F28" w:rsidRPr="003F2DB9">
        <w:rPr>
          <w:rFonts w:ascii="Times New Roman" w:eastAsia="Times New Roman" w:hAnsi="Times New Roman" w:cs="Times New Roman"/>
          <w:sz w:val="16"/>
          <w:szCs w:val="16"/>
        </w:rPr>
        <w:t>”,</w:t>
      </w:r>
      <w:r w:rsidRPr="003F2DB9">
        <w:rPr>
          <w:rFonts w:ascii="Times New Roman" w:eastAsia="Times New Roman" w:hAnsi="Times New Roman" w:cs="Times New Roman"/>
          <w:sz w:val="16"/>
          <w:szCs w:val="16"/>
        </w:rPr>
        <w:t> Journal of Sustainable Real Estate, </w:t>
      </w:r>
      <w:r w:rsidR="1E9F94CE" w:rsidRPr="003F2DB9">
        <w:rPr>
          <w:rFonts w:ascii="Times New Roman" w:eastAsia="Times New Roman" w:hAnsi="Times New Roman" w:cs="Times New Roman"/>
          <w:sz w:val="16"/>
          <w:szCs w:val="16"/>
        </w:rPr>
        <w:t xml:space="preserve">vol. </w:t>
      </w:r>
      <w:r w:rsidRPr="003F2DB9">
        <w:rPr>
          <w:rFonts w:ascii="Times New Roman" w:eastAsia="Times New Roman" w:hAnsi="Times New Roman" w:cs="Times New Roman"/>
          <w:sz w:val="16"/>
          <w:szCs w:val="16"/>
        </w:rPr>
        <w:t>6</w:t>
      </w:r>
      <w:r w:rsidR="1E9F94CE" w:rsidRPr="003F2DB9">
        <w:rPr>
          <w:rFonts w:ascii="Times New Roman" w:eastAsia="Times New Roman" w:hAnsi="Times New Roman" w:cs="Times New Roman"/>
          <w:sz w:val="16"/>
          <w:szCs w:val="16"/>
        </w:rPr>
        <w:t xml:space="preserve">, no. </w:t>
      </w:r>
      <w:r w:rsidRPr="003F2DB9">
        <w:rPr>
          <w:rFonts w:ascii="Times New Roman" w:eastAsia="Times New Roman" w:hAnsi="Times New Roman" w:cs="Times New Roman"/>
          <w:sz w:val="16"/>
          <w:szCs w:val="16"/>
        </w:rPr>
        <w:t>1, pp. 211-232, 2014.</w:t>
      </w:r>
    </w:p>
    <w:p w14:paraId="5CEC728A" w14:textId="77777777" w:rsidR="00843443" w:rsidRPr="003F2DB9" w:rsidRDefault="00843443" w:rsidP="00843443">
      <w:pPr>
        <w:pStyle w:val="ListParagraph"/>
        <w:rPr>
          <w:rFonts w:ascii="Times New Roman" w:eastAsia="Times New Roman" w:hAnsi="Times New Roman" w:cs="Times New Roman"/>
          <w:sz w:val="16"/>
          <w:szCs w:val="16"/>
        </w:rPr>
      </w:pPr>
    </w:p>
    <w:p w14:paraId="03FDAD41" w14:textId="6A5BAE68" w:rsidR="00285518" w:rsidRPr="003F2DB9"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 xml:space="preserve">F. Fuerst, C. </w:t>
      </w:r>
      <w:proofErr w:type="spellStart"/>
      <w:r w:rsidRPr="003F2DB9">
        <w:rPr>
          <w:rFonts w:ascii="Times New Roman" w:eastAsia="Times New Roman" w:hAnsi="Times New Roman" w:cs="Times New Roman"/>
          <w:sz w:val="16"/>
          <w:szCs w:val="16"/>
        </w:rPr>
        <w:t>Kontokosta</w:t>
      </w:r>
      <w:proofErr w:type="spellEnd"/>
      <w:r w:rsidR="00843443" w:rsidRPr="003F2DB9">
        <w:rPr>
          <w:rFonts w:ascii="Times New Roman" w:eastAsia="Times New Roman" w:hAnsi="Times New Roman" w:cs="Times New Roman"/>
          <w:sz w:val="16"/>
          <w:szCs w:val="16"/>
        </w:rPr>
        <w:t xml:space="preserve">, </w:t>
      </w:r>
      <w:r w:rsidRPr="003F2DB9">
        <w:rPr>
          <w:rFonts w:ascii="Times New Roman" w:eastAsia="Times New Roman" w:hAnsi="Times New Roman" w:cs="Times New Roman"/>
          <w:sz w:val="16"/>
          <w:szCs w:val="16"/>
        </w:rPr>
        <w:t>P. McAllister, “Determinants of green building adoption”, Environment and Planning B: Planning and Design, </w:t>
      </w:r>
      <w:r w:rsidR="00C05917" w:rsidRPr="003F2DB9">
        <w:rPr>
          <w:rFonts w:ascii="Times New Roman" w:eastAsia="Times New Roman" w:hAnsi="Times New Roman" w:cs="Times New Roman"/>
          <w:sz w:val="16"/>
          <w:szCs w:val="16"/>
        </w:rPr>
        <w:t xml:space="preserve">vol. </w:t>
      </w:r>
      <w:r w:rsidRPr="003F2DB9">
        <w:rPr>
          <w:rFonts w:ascii="Times New Roman" w:eastAsia="Times New Roman" w:hAnsi="Times New Roman" w:cs="Times New Roman"/>
          <w:sz w:val="16"/>
          <w:szCs w:val="16"/>
        </w:rPr>
        <w:t>41</w:t>
      </w:r>
      <w:r w:rsidR="00C05917" w:rsidRPr="003F2DB9">
        <w:rPr>
          <w:rFonts w:ascii="Times New Roman" w:eastAsia="Times New Roman" w:hAnsi="Times New Roman" w:cs="Times New Roman"/>
          <w:sz w:val="16"/>
          <w:szCs w:val="16"/>
        </w:rPr>
        <w:t xml:space="preserve">, no. </w:t>
      </w:r>
      <w:r w:rsidRPr="003F2DB9">
        <w:rPr>
          <w:rFonts w:ascii="Times New Roman" w:eastAsia="Times New Roman" w:hAnsi="Times New Roman" w:cs="Times New Roman"/>
          <w:sz w:val="16"/>
          <w:szCs w:val="16"/>
        </w:rPr>
        <w:t>3, pp. 551-570, 2014.</w:t>
      </w:r>
    </w:p>
    <w:p w14:paraId="35EC36FC" w14:textId="7AA510E9" w:rsidR="00285518" w:rsidRPr="003F2DB9" w:rsidRDefault="6B79E008" w:rsidP="62723891">
      <w:pPr>
        <w:pStyle w:val="ListParagraph"/>
        <w:numPr>
          <w:ilvl w:val="0"/>
          <w:numId w:val="10"/>
        </w:numPr>
        <w:shd w:val="clear" w:color="auto" w:fill="FFFFFF" w:themeFill="background1"/>
        <w:spacing w:after="150" w:line="240" w:lineRule="auto"/>
        <w:ind w:left="426" w:hanging="426"/>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 xml:space="preserve">A. Devine </w:t>
      </w:r>
      <w:r w:rsidR="014D9258" w:rsidRPr="003F2DB9">
        <w:rPr>
          <w:rFonts w:ascii="Times New Roman" w:eastAsia="Times New Roman" w:hAnsi="Times New Roman" w:cs="Times New Roman"/>
          <w:sz w:val="16"/>
          <w:szCs w:val="16"/>
        </w:rPr>
        <w:t>and</w:t>
      </w:r>
      <w:r w:rsidRPr="003F2DB9">
        <w:rPr>
          <w:rFonts w:ascii="Times New Roman" w:eastAsia="Times New Roman" w:hAnsi="Times New Roman" w:cs="Times New Roman"/>
          <w:sz w:val="16"/>
          <w:szCs w:val="16"/>
        </w:rPr>
        <w:t xml:space="preserve"> N. Kok, “Green certification and building performance: Implications for tangibles and intangibles</w:t>
      </w:r>
      <w:r w:rsidR="00AA3F28" w:rsidRPr="003F2DB9">
        <w:rPr>
          <w:rFonts w:ascii="Times New Roman" w:eastAsia="Times New Roman" w:hAnsi="Times New Roman" w:cs="Times New Roman"/>
          <w:sz w:val="16"/>
          <w:szCs w:val="16"/>
        </w:rPr>
        <w:t>”,</w:t>
      </w:r>
      <w:r w:rsidRPr="003F2DB9">
        <w:rPr>
          <w:rFonts w:ascii="Times New Roman" w:eastAsia="Times New Roman" w:hAnsi="Times New Roman" w:cs="Times New Roman"/>
          <w:sz w:val="16"/>
          <w:szCs w:val="16"/>
        </w:rPr>
        <w:t> Journal of Portfolio Management, </w:t>
      </w:r>
      <w:r w:rsidR="014D9258" w:rsidRPr="003F2DB9">
        <w:rPr>
          <w:rFonts w:ascii="Times New Roman" w:eastAsia="Times New Roman" w:hAnsi="Times New Roman" w:cs="Times New Roman"/>
          <w:sz w:val="16"/>
          <w:szCs w:val="16"/>
        </w:rPr>
        <w:t xml:space="preserve">vol. </w:t>
      </w:r>
      <w:r w:rsidRPr="003F2DB9">
        <w:rPr>
          <w:rFonts w:ascii="Times New Roman" w:eastAsia="Times New Roman" w:hAnsi="Times New Roman" w:cs="Times New Roman"/>
          <w:sz w:val="16"/>
          <w:szCs w:val="16"/>
        </w:rPr>
        <w:t>41</w:t>
      </w:r>
      <w:r w:rsidR="014D9258" w:rsidRPr="003F2DB9">
        <w:rPr>
          <w:rFonts w:ascii="Times New Roman" w:eastAsia="Times New Roman" w:hAnsi="Times New Roman" w:cs="Times New Roman"/>
          <w:sz w:val="16"/>
          <w:szCs w:val="16"/>
        </w:rPr>
        <w:t xml:space="preserve">, no. </w:t>
      </w:r>
      <w:r w:rsidRPr="003F2DB9">
        <w:rPr>
          <w:rFonts w:ascii="Times New Roman" w:eastAsia="Times New Roman" w:hAnsi="Times New Roman" w:cs="Times New Roman"/>
          <w:sz w:val="16"/>
          <w:szCs w:val="16"/>
        </w:rPr>
        <w:t>6, pp. 151</w:t>
      </w:r>
      <w:r w:rsidR="014D9258" w:rsidRPr="003F2DB9">
        <w:rPr>
          <w:rFonts w:ascii="Times New Roman" w:eastAsia="Times New Roman" w:hAnsi="Times New Roman" w:cs="Times New Roman"/>
          <w:sz w:val="16"/>
          <w:szCs w:val="16"/>
        </w:rPr>
        <w:t>-163</w:t>
      </w:r>
      <w:r w:rsidRPr="003F2DB9">
        <w:rPr>
          <w:rFonts w:ascii="Times New Roman" w:eastAsia="Times New Roman" w:hAnsi="Times New Roman" w:cs="Times New Roman"/>
          <w:sz w:val="16"/>
          <w:szCs w:val="16"/>
        </w:rPr>
        <w:t>, 2015.</w:t>
      </w:r>
    </w:p>
    <w:p w14:paraId="2932220F" w14:textId="77777777" w:rsidR="00843443" w:rsidRPr="003F2DB9" w:rsidRDefault="00843443" w:rsidP="00843443">
      <w:pPr>
        <w:pStyle w:val="ListParagraph"/>
        <w:shd w:val="clear" w:color="auto" w:fill="FFFFFF" w:themeFill="background1"/>
        <w:spacing w:after="150" w:line="240" w:lineRule="auto"/>
        <w:ind w:left="426"/>
        <w:jc w:val="both"/>
        <w:rPr>
          <w:rFonts w:ascii="Times New Roman" w:eastAsia="Times New Roman" w:hAnsi="Times New Roman" w:cs="Times New Roman"/>
          <w:sz w:val="16"/>
          <w:szCs w:val="16"/>
        </w:rPr>
      </w:pPr>
    </w:p>
    <w:p w14:paraId="42062701" w14:textId="2FFF06A0" w:rsidR="00285518" w:rsidRPr="003F2DB9"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 xml:space="preserve">C. </w:t>
      </w:r>
      <w:proofErr w:type="spellStart"/>
      <w:r w:rsidRPr="003F2DB9">
        <w:rPr>
          <w:rFonts w:ascii="Times New Roman" w:eastAsia="Times New Roman" w:hAnsi="Times New Roman" w:cs="Times New Roman"/>
          <w:sz w:val="16"/>
          <w:szCs w:val="16"/>
        </w:rPr>
        <w:t>Govett</w:t>
      </w:r>
      <w:proofErr w:type="spellEnd"/>
      <w:r w:rsidRPr="003F2DB9">
        <w:rPr>
          <w:rFonts w:ascii="Times New Roman" w:eastAsia="Times New Roman" w:hAnsi="Times New Roman" w:cs="Times New Roman"/>
          <w:sz w:val="16"/>
          <w:szCs w:val="16"/>
        </w:rPr>
        <w:t>, M. Murray</w:t>
      </w:r>
      <w:r w:rsidR="00843443" w:rsidRPr="003F2DB9">
        <w:rPr>
          <w:rFonts w:ascii="Times New Roman" w:eastAsia="Times New Roman" w:hAnsi="Times New Roman" w:cs="Times New Roman"/>
          <w:sz w:val="16"/>
          <w:szCs w:val="16"/>
        </w:rPr>
        <w:t xml:space="preserve">, </w:t>
      </w:r>
      <w:r w:rsidRPr="003F2DB9">
        <w:rPr>
          <w:rFonts w:ascii="Times New Roman" w:eastAsia="Times New Roman" w:hAnsi="Times New Roman" w:cs="Times New Roman"/>
          <w:sz w:val="16"/>
          <w:szCs w:val="16"/>
        </w:rPr>
        <w:t>J. Cook, “Supreme green: The effect of LEED certification levels on net and gross lease rental rates in commercial offices”, 2020.</w:t>
      </w:r>
    </w:p>
    <w:p w14:paraId="011339D1" w14:textId="53D573AC" w:rsidR="00285518" w:rsidRPr="003F2DB9"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N. Sadikin, I. Turan</w:t>
      </w:r>
      <w:r w:rsidR="00843443" w:rsidRPr="003F2DB9">
        <w:rPr>
          <w:rFonts w:ascii="Times New Roman" w:eastAsia="Times New Roman" w:hAnsi="Times New Roman" w:cs="Times New Roman"/>
          <w:sz w:val="16"/>
          <w:szCs w:val="16"/>
        </w:rPr>
        <w:t xml:space="preserve">, </w:t>
      </w:r>
      <w:r w:rsidRPr="003F2DB9">
        <w:rPr>
          <w:rFonts w:ascii="Times New Roman" w:eastAsia="Times New Roman" w:hAnsi="Times New Roman" w:cs="Times New Roman"/>
          <w:sz w:val="16"/>
          <w:szCs w:val="16"/>
        </w:rPr>
        <w:t xml:space="preserve">A. </w:t>
      </w:r>
      <w:proofErr w:type="spellStart"/>
      <w:r w:rsidRPr="003F2DB9">
        <w:rPr>
          <w:rFonts w:ascii="Times New Roman" w:eastAsia="Times New Roman" w:hAnsi="Times New Roman" w:cs="Times New Roman"/>
          <w:sz w:val="16"/>
          <w:szCs w:val="16"/>
        </w:rPr>
        <w:t>Chegut</w:t>
      </w:r>
      <w:proofErr w:type="spellEnd"/>
      <w:r w:rsidRPr="003F2DB9">
        <w:rPr>
          <w:rFonts w:ascii="Times New Roman" w:eastAsia="Times New Roman" w:hAnsi="Times New Roman" w:cs="Times New Roman"/>
          <w:sz w:val="16"/>
          <w:szCs w:val="16"/>
        </w:rPr>
        <w:t>, “The financial impact of healthy buildings: Rental prices and market dynamics in commercial office”, MIT Center for Real Estate Research Paper, 21/04, 2021.</w:t>
      </w:r>
    </w:p>
    <w:p w14:paraId="599DC258" w14:textId="325BB5C1" w:rsidR="00285518" w:rsidRPr="003F2DB9" w:rsidRDefault="6B79E008" w:rsidP="62723891">
      <w:pPr>
        <w:pStyle w:val="ListParagraph"/>
        <w:numPr>
          <w:ilvl w:val="0"/>
          <w:numId w:val="10"/>
        </w:numPr>
        <w:shd w:val="clear" w:color="auto" w:fill="FFFFFF" w:themeFill="background1"/>
        <w:spacing w:after="150" w:line="240" w:lineRule="auto"/>
        <w:ind w:left="426" w:hanging="426"/>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V. A. Porumb, G. Ma</w:t>
      </w:r>
      <w:r w:rsidR="00843443" w:rsidRPr="003F2DB9">
        <w:rPr>
          <w:rFonts w:ascii="Times New Roman" w:eastAsia="Times New Roman" w:hAnsi="Times New Roman" w:cs="Times New Roman"/>
          <w:sz w:val="16"/>
          <w:szCs w:val="16"/>
        </w:rPr>
        <w:t>i</w:t>
      </w:r>
      <w:r w:rsidRPr="003F2DB9">
        <w:rPr>
          <w:rFonts w:ascii="Times New Roman" w:eastAsia="Times New Roman" w:hAnsi="Times New Roman" w:cs="Times New Roman"/>
          <w:sz w:val="16"/>
          <w:szCs w:val="16"/>
        </w:rPr>
        <w:t>er</w:t>
      </w:r>
      <w:r w:rsidR="00843443" w:rsidRPr="003F2DB9">
        <w:rPr>
          <w:rFonts w:ascii="Times New Roman" w:eastAsia="Times New Roman" w:hAnsi="Times New Roman" w:cs="Times New Roman"/>
          <w:sz w:val="16"/>
          <w:szCs w:val="16"/>
        </w:rPr>
        <w:t xml:space="preserve">, </w:t>
      </w:r>
      <w:r w:rsidRPr="003F2DB9">
        <w:rPr>
          <w:rFonts w:ascii="Times New Roman" w:eastAsia="Times New Roman" w:hAnsi="Times New Roman" w:cs="Times New Roman"/>
          <w:sz w:val="16"/>
          <w:szCs w:val="16"/>
        </w:rPr>
        <w:t>I. Anghel, “The impact of building location on green certification price premiums: Evidence from three European countries</w:t>
      </w:r>
      <w:r w:rsidR="00AA3F28" w:rsidRPr="003F2DB9">
        <w:rPr>
          <w:rFonts w:ascii="Times New Roman" w:eastAsia="Times New Roman" w:hAnsi="Times New Roman" w:cs="Times New Roman"/>
          <w:sz w:val="16"/>
          <w:szCs w:val="16"/>
        </w:rPr>
        <w:t>”,</w:t>
      </w:r>
      <w:r w:rsidRPr="003F2DB9">
        <w:rPr>
          <w:rFonts w:ascii="Times New Roman" w:eastAsia="Times New Roman" w:hAnsi="Times New Roman" w:cs="Times New Roman"/>
          <w:sz w:val="16"/>
          <w:szCs w:val="16"/>
        </w:rPr>
        <w:t> Journal of Cleaner Production, </w:t>
      </w:r>
      <w:r w:rsidR="014D9258" w:rsidRPr="003F2DB9">
        <w:rPr>
          <w:rFonts w:ascii="Times New Roman" w:eastAsia="Times New Roman" w:hAnsi="Times New Roman" w:cs="Times New Roman"/>
          <w:sz w:val="16"/>
          <w:szCs w:val="16"/>
        </w:rPr>
        <w:t>vol.</w:t>
      </w:r>
      <w:r w:rsidRPr="003F2DB9">
        <w:rPr>
          <w:rFonts w:ascii="Times New Roman" w:eastAsia="Times New Roman" w:hAnsi="Times New Roman" w:cs="Times New Roman"/>
          <w:sz w:val="16"/>
          <w:szCs w:val="16"/>
        </w:rPr>
        <w:t xml:space="preserve"> 272,</w:t>
      </w:r>
      <w:r w:rsidR="014D9258" w:rsidRPr="003F2DB9">
        <w:rPr>
          <w:rFonts w:ascii="Times New Roman" w:eastAsia="Times New Roman" w:hAnsi="Times New Roman" w:cs="Times New Roman"/>
          <w:sz w:val="16"/>
          <w:szCs w:val="16"/>
        </w:rPr>
        <w:t xml:space="preserve"> pp. 122080,</w:t>
      </w:r>
      <w:r w:rsidRPr="003F2DB9">
        <w:rPr>
          <w:rFonts w:ascii="Times New Roman" w:eastAsia="Times New Roman" w:hAnsi="Times New Roman" w:cs="Times New Roman"/>
          <w:sz w:val="16"/>
          <w:szCs w:val="16"/>
        </w:rPr>
        <w:t xml:space="preserve"> 2020.</w:t>
      </w:r>
    </w:p>
    <w:p w14:paraId="7EBB987E" w14:textId="77777777" w:rsidR="00843443" w:rsidRPr="003F2DB9" w:rsidRDefault="00843443" w:rsidP="00843443">
      <w:pPr>
        <w:pStyle w:val="ListParagraph"/>
        <w:shd w:val="clear" w:color="auto" w:fill="FFFFFF" w:themeFill="background1"/>
        <w:spacing w:after="150" w:line="240" w:lineRule="auto"/>
        <w:ind w:left="426"/>
        <w:jc w:val="both"/>
        <w:rPr>
          <w:rFonts w:ascii="Times New Roman" w:eastAsia="Times New Roman" w:hAnsi="Times New Roman" w:cs="Times New Roman"/>
          <w:sz w:val="16"/>
          <w:szCs w:val="16"/>
        </w:rPr>
      </w:pPr>
    </w:p>
    <w:p w14:paraId="14358563" w14:textId="72DCD73D" w:rsidR="00285518" w:rsidRPr="003F2DB9" w:rsidRDefault="6B79E008" w:rsidP="62723891">
      <w:pPr>
        <w:pStyle w:val="ListParagraph"/>
        <w:numPr>
          <w:ilvl w:val="0"/>
          <w:numId w:val="10"/>
        </w:numPr>
        <w:shd w:val="clear" w:color="auto" w:fill="FFFFFF" w:themeFill="background1"/>
        <w:spacing w:after="150" w:line="240" w:lineRule="auto"/>
        <w:ind w:left="426" w:hanging="426"/>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Y. M. Adnan, M. N. Daud, A. M. Aini, A. M. Yassin</w:t>
      </w:r>
      <w:r w:rsidR="00843443" w:rsidRPr="003F2DB9">
        <w:rPr>
          <w:rFonts w:ascii="Times New Roman" w:eastAsia="Times New Roman" w:hAnsi="Times New Roman" w:cs="Times New Roman"/>
          <w:sz w:val="16"/>
          <w:szCs w:val="16"/>
        </w:rPr>
        <w:t xml:space="preserve">, </w:t>
      </w:r>
      <w:r w:rsidRPr="003F2DB9">
        <w:rPr>
          <w:rFonts w:ascii="Times New Roman" w:eastAsia="Times New Roman" w:hAnsi="Times New Roman" w:cs="Times New Roman"/>
          <w:sz w:val="16"/>
          <w:szCs w:val="16"/>
        </w:rPr>
        <w:t>M. N. Razali, “Tenants’ preference for green office building features</w:t>
      </w:r>
      <w:r w:rsidR="00AA3F28" w:rsidRPr="003F2DB9">
        <w:rPr>
          <w:rFonts w:ascii="Times New Roman" w:eastAsia="Times New Roman" w:hAnsi="Times New Roman" w:cs="Times New Roman"/>
          <w:sz w:val="16"/>
          <w:szCs w:val="16"/>
        </w:rPr>
        <w:t>”,</w:t>
      </w:r>
      <w:r w:rsidRPr="003F2DB9">
        <w:rPr>
          <w:rFonts w:ascii="Times New Roman" w:eastAsia="Times New Roman" w:hAnsi="Times New Roman" w:cs="Times New Roman"/>
          <w:sz w:val="16"/>
          <w:szCs w:val="16"/>
        </w:rPr>
        <w:t xml:space="preserve"> Research Journal, </w:t>
      </w:r>
      <w:r w:rsidR="70E5DDF4" w:rsidRPr="003F2DB9">
        <w:rPr>
          <w:rFonts w:ascii="Times New Roman" w:eastAsia="Times New Roman" w:hAnsi="Times New Roman" w:cs="Times New Roman"/>
          <w:sz w:val="16"/>
          <w:szCs w:val="16"/>
        </w:rPr>
        <w:t xml:space="preserve">vol. </w:t>
      </w:r>
      <w:r w:rsidRPr="003F2DB9">
        <w:rPr>
          <w:rFonts w:ascii="Times New Roman" w:eastAsia="Times New Roman" w:hAnsi="Times New Roman" w:cs="Times New Roman"/>
          <w:sz w:val="16"/>
          <w:szCs w:val="16"/>
        </w:rPr>
        <w:t>3</w:t>
      </w:r>
      <w:r w:rsidR="70E5DDF4" w:rsidRPr="003F2DB9">
        <w:rPr>
          <w:rFonts w:ascii="Times New Roman" w:eastAsia="Times New Roman" w:hAnsi="Times New Roman" w:cs="Times New Roman"/>
          <w:sz w:val="16"/>
          <w:szCs w:val="16"/>
        </w:rPr>
        <w:t xml:space="preserve">, no. </w:t>
      </w:r>
      <w:r w:rsidRPr="003F2DB9">
        <w:rPr>
          <w:rFonts w:ascii="Times New Roman" w:eastAsia="Times New Roman" w:hAnsi="Times New Roman" w:cs="Times New Roman"/>
          <w:sz w:val="16"/>
          <w:szCs w:val="16"/>
        </w:rPr>
        <w:t>2, pp. 41-48, 2013.</w:t>
      </w:r>
    </w:p>
    <w:p w14:paraId="2B2C5C75" w14:textId="77777777" w:rsidR="00843443" w:rsidRPr="003F2DB9" w:rsidRDefault="00843443" w:rsidP="00843443">
      <w:pPr>
        <w:pStyle w:val="ListParagraph"/>
        <w:rPr>
          <w:rFonts w:ascii="Times New Roman" w:eastAsia="Times New Roman" w:hAnsi="Times New Roman" w:cs="Times New Roman"/>
          <w:sz w:val="16"/>
          <w:szCs w:val="16"/>
        </w:rPr>
      </w:pPr>
    </w:p>
    <w:p w14:paraId="644AD69E" w14:textId="3392F4BB" w:rsidR="00285518" w:rsidRPr="003F2DB9" w:rsidRDefault="00285518" w:rsidP="005D7E33">
      <w:pPr>
        <w:pStyle w:val="ListParagraph"/>
        <w:numPr>
          <w:ilvl w:val="0"/>
          <w:numId w:val="10"/>
        </w:numPr>
        <w:shd w:val="clear" w:color="auto" w:fill="FFFFFF"/>
        <w:spacing w:after="150" w:line="240" w:lineRule="auto"/>
        <w:ind w:left="426" w:hanging="426"/>
        <w:contextualSpacing w:val="0"/>
        <w:jc w:val="both"/>
        <w:rPr>
          <w:rFonts w:ascii="Times New Roman" w:eastAsia="Times New Roman" w:hAnsi="Times New Roman" w:cs="Times New Roman"/>
          <w:sz w:val="16"/>
          <w:szCs w:val="16"/>
        </w:rPr>
      </w:pPr>
      <w:r w:rsidRPr="003F2DB9">
        <w:rPr>
          <w:rFonts w:ascii="Times New Roman" w:eastAsia="Times New Roman" w:hAnsi="Times New Roman" w:cs="Times New Roman"/>
          <w:sz w:val="16"/>
          <w:szCs w:val="16"/>
        </w:rPr>
        <w:t>W. N. W. Rodi, T. K. Hwa, A. S. Said, N. M. Mahamood, M. I. Abdullah</w:t>
      </w:r>
      <w:r w:rsidR="00843443" w:rsidRPr="003F2DB9">
        <w:rPr>
          <w:rFonts w:ascii="Times New Roman" w:eastAsia="Times New Roman" w:hAnsi="Times New Roman" w:cs="Times New Roman"/>
          <w:sz w:val="16"/>
          <w:szCs w:val="16"/>
        </w:rPr>
        <w:t xml:space="preserve">, </w:t>
      </w:r>
      <w:r w:rsidRPr="003F2DB9">
        <w:rPr>
          <w:rFonts w:ascii="Times New Roman" w:eastAsia="Times New Roman" w:hAnsi="Times New Roman" w:cs="Times New Roman"/>
          <w:sz w:val="16"/>
          <w:szCs w:val="16"/>
        </w:rPr>
        <w:t>A. R. Abd Rasam, “Obsolescence of Green Office Buildings: A Literature Review”, Procedia Economics and Finance, </w:t>
      </w:r>
      <w:r w:rsidR="00EB7E42" w:rsidRPr="003F2DB9">
        <w:rPr>
          <w:rFonts w:ascii="Times New Roman" w:eastAsia="Times New Roman" w:hAnsi="Times New Roman" w:cs="Times New Roman"/>
          <w:sz w:val="16"/>
          <w:szCs w:val="16"/>
        </w:rPr>
        <w:t xml:space="preserve">vol. </w:t>
      </w:r>
      <w:r w:rsidRPr="003F2DB9">
        <w:rPr>
          <w:rFonts w:ascii="Times New Roman" w:eastAsia="Times New Roman" w:hAnsi="Times New Roman" w:cs="Times New Roman"/>
          <w:sz w:val="16"/>
          <w:szCs w:val="16"/>
        </w:rPr>
        <w:t>31</w:t>
      </w:r>
      <w:r w:rsidR="00A51ECA" w:rsidRPr="003F2DB9">
        <w:rPr>
          <w:rFonts w:ascii="Times New Roman" w:eastAsia="Times New Roman" w:hAnsi="Times New Roman" w:cs="Times New Roman"/>
          <w:sz w:val="16"/>
          <w:szCs w:val="16"/>
        </w:rPr>
        <w:t>, 2015</w:t>
      </w:r>
      <w:r w:rsidRPr="003F2DB9">
        <w:rPr>
          <w:rFonts w:ascii="Times New Roman" w:eastAsia="Times New Roman" w:hAnsi="Times New Roman" w:cs="Times New Roman"/>
          <w:sz w:val="16"/>
          <w:szCs w:val="16"/>
        </w:rPr>
        <w:t>, pp. 651-660.</w:t>
      </w:r>
    </w:p>
    <w:p w14:paraId="376F6985" w14:textId="77777777" w:rsidR="006A3B7F" w:rsidRPr="008F4347" w:rsidRDefault="006A3B7F" w:rsidP="00902FD5">
      <w:pPr>
        <w:shd w:val="clear" w:color="auto" w:fill="FFFFFF"/>
        <w:spacing w:after="150" w:line="240" w:lineRule="auto"/>
        <w:rPr>
          <w:rFonts w:ascii="Times New Roman" w:eastAsia="Times New Roman" w:hAnsi="Times New Roman" w:cs="Times New Roman"/>
          <w:sz w:val="21"/>
          <w:szCs w:val="21"/>
        </w:rPr>
      </w:pPr>
    </w:p>
    <w:sectPr w:rsidR="006A3B7F" w:rsidRPr="008F4347" w:rsidSect="0025129B">
      <w:headerReference w:type="default" r:id="rId13"/>
      <w:footerReference w:type="default" r:id="rId14"/>
      <w:footerReference w:type="first" r:id="rId15"/>
      <w:pgSz w:w="12240" w:h="15840"/>
      <w:pgMar w:top="1440" w:right="1440" w:bottom="1440" w:left="1440" w:header="720" w:footer="720" w:gutter="0"/>
      <w:pgNumType w:start="8"/>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DB29B1" w14:textId="77777777" w:rsidR="004E467C" w:rsidRDefault="004E467C" w:rsidP="00D70788">
      <w:pPr>
        <w:spacing w:after="0" w:line="240" w:lineRule="auto"/>
      </w:pPr>
      <w:r>
        <w:separator/>
      </w:r>
    </w:p>
  </w:endnote>
  <w:endnote w:type="continuationSeparator" w:id="0">
    <w:p w14:paraId="66D90031" w14:textId="77777777" w:rsidR="004E467C" w:rsidRDefault="004E467C" w:rsidP="00D7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ITC Avant Garde Gothic">
    <w:panose1 w:val="00000000000000000000"/>
    <w:charset w:val="00"/>
    <w:family w:val="modern"/>
    <w:notTrueType/>
    <w:pitch w:val="variable"/>
    <w:sig w:usb0="A000002F" w:usb1="40000048" w:usb2="00000000" w:usb3="00000000" w:csb0="0000011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89664980"/>
      <w:docPartObj>
        <w:docPartGallery w:val="Page Numbers (Bottom of Page)"/>
        <w:docPartUnique/>
      </w:docPartObj>
    </w:sdtPr>
    <w:sdtEndPr>
      <w:rPr>
        <w:noProof/>
      </w:rPr>
    </w:sdtEndPr>
    <w:sdtContent>
      <w:p w14:paraId="228F1AE3" w14:textId="090E29E0" w:rsidR="00C469DB" w:rsidRDefault="00C469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40A71D" w14:textId="77777777" w:rsidR="00C469DB" w:rsidRDefault="00C469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D5ECC" w14:textId="77777777" w:rsidR="00C469DB" w:rsidRDefault="00C469DB" w:rsidP="00C469DB">
    <w:pPr>
      <w:spacing w:after="3" w:line="250" w:lineRule="auto"/>
      <w:rPr>
        <w:rFonts w:ascii="Palatino Linotype" w:eastAsia="Palatino Linotype" w:hAnsi="Palatino Linotype" w:cs="Palatino Linotype"/>
        <w:sz w:val="18"/>
        <w:lang w:eastAsia="en-MY"/>
      </w:rPr>
    </w:pPr>
    <w:r w:rsidRPr="00351793">
      <w:rPr>
        <w:rFonts w:ascii="Palatino Linotype" w:eastAsia="Palatino Linotype" w:hAnsi="Palatino Linotype" w:cs="Palatino Linotype"/>
        <w:noProof/>
        <w:lang w:eastAsia="en-MY"/>
      </w:rPr>
      <w:drawing>
        <wp:anchor distT="0" distB="0" distL="114300" distR="114300" simplePos="0" relativeHeight="251659264" behindDoc="0" locked="0" layoutInCell="1" allowOverlap="0" wp14:anchorId="3589F24C" wp14:editId="08210CA1">
          <wp:simplePos x="0" y="0"/>
          <wp:positionH relativeFrom="column">
            <wp:posOffset>-635</wp:posOffset>
          </wp:positionH>
          <wp:positionV relativeFrom="paragraph">
            <wp:posOffset>34620</wp:posOffset>
          </wp:positionV>
          <wp:extent cx="1920240" cy="567055"/>
          <wp:effectExtent l="0" t="0" r="3810" b="4445"/>
          <wp:wrapSquare wrapText="bothSides"/>
          <wp:docPr id="1593575001" name="Picture 1593575001"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60" name="Picture 60" descr="Logo&#10;&#10;Description automatically generated"/>
                  <pic:cNvPicPr/>
                </pic:nvPicPr>
                <pic:blipFill>
                  <a:blip r:embed="rId1"/>
                  <a:stretch>
                    <a:fillRect/>
                  </a:stretch>
                </pic:blipFill>
                <pic:spPr>
                  <a:xfrm>
                    <a:off x="0" y="0"/>
                    <a:ext cx="1920240" cy="567055"/>
                  </a:xfrm>
                  <a:prstGeom prst="rect">
                    <a:avLst/>
                  </a:prstGeom>
                </pic:spPr>
              </pic:pic>
            </a:graphicData>
          </a:graphic>
        </wp:anchor>
      </w:drawing>
    </w:r>
    <w:r>
      <w:rPr>
        <w:rFonts w:ascii="Palatino Linotype" w:eastAsia="Palatino Linotype" w:hAnsi="Palatino Linotype" w:cs="Palatino Linotype"/>
        <w:sz w:val="18"/>
        <w:lang w:eastAsia="en-MY"/>
      </w:rPr>
      <w:t>Jour</w:t>
    </w:r>
    <w:r w:rsidRPr="00351793">
      <w:rPr>
        <w:rFonts w:ascii="Palatino Linotype" w:eastAsia="Palatino Linotype" w:hAnsi="Palatino Linotype" w:cs="Palatino Linotype"/>
        <w:sz w:val="18"/>
        <w:lang w:eastAsia="en-MY"/>
      </w:rPr>
      <w:t xml:space="preserve">nal of Informatics and Web Engineering </w:t>
    </w:r>
  </w:p>
  <w:p w14:paraId="0F8C91CD" w14:textId="77777777" w:rsidR="00C469DB" w:rsidRPr="00C469DB" w:rsidRDefault="00C469DB" w:rsidP="00C469DB">
    <w:pPr>
      <w:spacing w:after="3" w:line="250" w:lineRule="auto"/>
      <w:rPr>
        <w:rFonts w:ascii="Palatino Linotype" w:eastAsia="Palatino Linotype" w:hAnsi="Palatino Linotype" w:cs="Palatino Linotype"/>
        <w:lang w:eastAsia="en-MY"/>
      </w:rPr>
    </w:pPr>
    <w:r>
      <w:rPr>
        <w:rFonts w:ascii="Palatino Linotype" w:eastAsia="Palatino Linotype" w:hAnsi="Palatino Linotype" w:cs="Palatino Linotype"/>
        <w:sz w:val="18"/>
        <w:lang w:eastAsia="en-MY"/>
      </w:rPr>
      <w:fldChar w:fldCharType="begin"/>
    </w:r>
    <w:r>
      <w:rPr>
        <w:rFonts w:ascii="Palatino Linotype" w:eastAsia="Palatino Linotype" w:hAnsi="Palatino Linotype" w:cs="Palatino Linotype"/>
        <w:sz w:val="18"/>
        <w:lang w:eastAsia="en-MY"/>
      </w:rPr>
      <w:instrText xml:space="preserve"> HYPERLINK "</w:instrText>
    </w:r>
    <w:r w:rsidRPr="00C469DB">
      <w:rPr>
        <w:rFonts w:ascii="Palatino Linotype" w:eastAsia="Palatino Linotype" w:hAnsi="Palatino Linotype" w:cs="Palatino Linotype"/>
        <w:sz w:val="18"/>
        <w:lang w:eastAsia="en-MY"/>
      </w:rPr>
      <w:instrText>https://doi.org/10.33093/jiwe.2023.2.2.2</w:instrText>
    </w:r>
  </w:p>
  <w:p w14:paraId="1EC221CB" w14:textId="77777777" w:rsidR="00C469DB" w:rsidRPr="00D254D4" w:rsidRDefault="00C469DB" w:rsidP="00C469DB">
    <w:pPr>
      <w:spacing w:after="3" w:line="250" w:lineRule="auto"/>
      <w:rPr>
        <w:rStyle w:val="Hyperlink"/>
        <w:rFonts w:ascii="Palatino Linotype" w:eastAsia="Palatino Linotype" w:hAnsi="Palatino Linotype" w:cs="Palatino Linotype"/>
        <w:color w:val="000000" w:themeColor="text1"/>
        <w:u w:val="none"/>
        <w:lang w:val="nb-NO" w:eastAsia="en-MY"/>
      </w:rPr>
    </w:pPr>
    <w:r w:rsidRPr="00D254D4">
      <w:rPr>
        <w:rFonts w:ascii="Palatino Linotype" w:eastAsia="Palatino Linotype" w:hAnsi="Palatino Linotype" w:cs="Palatino Linotype"/>
        <w:sz w:val="18"/>
        <w:lang w:val="nb-NO" w:eastAsia="en-MY"/>
      </w:rPr>
      <w:instrText xml:space="preserve">" </w:instrText>
    </w:r>
    <w:r>
      <w:rPr>
        <w:rFonts w:ascii="Palatino Linotype" w:eastAsia="Palatino Linotype" w:hAnsi="Palatino Linotype" w:cs="Palatino Linotype"/>
        <w:sz w:val="18"/>
        <w:lang w:eastAsia="en-MY"/>
      </w:rPr>
    </w:r>
    <w:r>
      <w:rPr>
        <w:rFonts w:ascii="Palatino Linotype" w:eastAsia="Palatino Linotype" w:hAnsi="Palatino Linotype" w:cs="Palatino Linotype"/>
        <w:sz w:val="18"/>
        <w:lang w:eastAsia="en-MY"/>
      </w:rPr>
      <w:fldChar w:fldCharType="separate"/>
    </w:r>
    <w:r w:rsidRPr="00D254D4">
      <w:rPr>
        <w:rStyle w:val="Hyperlink"/>
        <w:rFonts w:ascii="Palatino Linotype" w:eastAsia="Palatino Linotype" w:hAnsi="Palatino Linotype" w:cs="Palatino Linotype"/>
        <w:color w:val="000000" w:themeColor="text1"/>
        <w:sz w:val="18"/>
        <w:u w:val="none"/>
        <w:lang w:val="nb-NO" w:eastAsia="en-MY"/>
      </w:rPr>
      <w:t>https://doi.org/10.33093/jiwe.2023.2.2.2</w:t>
    </w:r>
  </w:p>
  <w:p w14:paraId="16409D50" w14:textId="189724B1" w:rsidR="00C469DB" w:rsidRDefault="00C469DB" w:rsidP="00C469DB">
    <w:pPr>
      <w:spacing w:after="3" w:line="250" w:lineRule="auto"/>
      <w:rPr>
        <w:rFonts w:ascii="Palatino Linotype" w:eastAsia="Palatino Linotype" w:hAnsi="Palatino Linotype" w:cs="Palatino Linotype"/>
        <w:sz w:val="18"/>
        <w:lang w:eastAsia="en-MY"/>
      </w:rPr>
    </w:pPr>
    <w:r>
      <w:rPr>
        <w:rFonts w:ascii="Palatino Linotype" w:eastAsia="Palatino Linotype" w:hAnsi="Palatino Linotype" w:cs="Palatino Linotype"/>
        <w:sz w:val="18"/>
        <w:lang w:eastAsia="en-MY"/>
      </w:rPr>
      <w:fldChar w:fldCharType="end"/>
    </w:r>
    <w:r w:rsidRPr="00D254D4">
      <w:rPr>
        <w:rFonts w:ascii="Palatino Linotype" w:eastAsia="Palatino Linotype" w:hAnsi="Palatino Linotype" w:cs="Palatino Linotype"/>
        <w:sz w:val="18"/>
        <w:lang w:val="nb-NO" w:eastAsia="en-MY"/>
      </w:rPr>
      <w:t xml:space="preserve">© Universiti Telekom Sdn Bhd. </w:t>
    </w:r>
    <w:r w:rsidRPr="00351793">
      <w:rPr>
        <w:rFonts w:ascii="Palatino Linotype" w:eastAsia="Palatino Linotype" w:hAnsi="Palatino Linotype" w:cs="Palatino Linotype"/>
        <w:sz w:val="18"/>
        <w:lang w:eastAsia="en-MY"/>
      </w:rPr>
      <w:t xml:space="preserve">This work is licensed under the </w:t>
    </w:r>
    <w:hyperlink r:id="rId2">
      <w:r w:rsidRPr="00351793">
        <w:rPr>
          <w:rFonts w:ascii="Palatino Linotype" w:eastAsia="Palatino Linotype" w:hAnsi="Palatino Linotype" w:cs="Palatino Linotype"/>
          <w:sz w:val="18"/>
          <w:lang w:eastAsia="en-MY"/>
        </w:rPr>
        <w:t>Creative</w:t>
      </w:r>
    </w:hyperlink>
    <w:r w:rsidRPr="00351793">
      <w:rPr>
        <w:rFonts w:ascii="Palatino Linotype" w:eastAsia="Palatino Linotype" w:hAnsi="Palatino Linotype" w:cs="Palatino Linotype"/>
        <w:sz w:val="18"/>
        <w:lang w:eastAsia="en-MY"/>
      </w:rPr>
      <w:t xml:space="preserve"> </w:t>
    </w:r>
  </w:p>
  <w:p w14:paraId="47DFC5D4" w14:textId="77777777" w:rsidR="00C469DB" w:rsidRDefault="00C469DB" w:rsidP="00C469DB">
    <w:pPr>
      <w:spacing w:after="3" w:line="250" w:lineRule="auto"/>
      <w:rPr>
        <w:rFonts w:ascii="Palatino Linotype" w:eastAsia="Palatino Linotype" w:hAnsi="Palatino Linotype" w:cs="Palatino Linotype"/>
        <w:sz w:val="18"/>
        <w:lang w:eastAsia="en-MY"/>
      </w:rPr>
    </w:pPr>
    <w:hyperlink r:id="rId3">
      <w:r w:rsidRPr="00351793">
        <w:rPr>
          <w:rFonts w:ascii="Palatino Linotype" w:eastAsia="Palatino Linotype" w:hAnsi="Palatino Linotype" w:cs="Palatino Linotype"/>
          <w:sz w:val="18"/>
          <w:lang w:eastAsia="en-MY"/>
        </w:rPr>
        <w:t>Commons BY-NC-ND 4.0 International License</w:t>
      </w:r>
    </w:hyperlink>
    <w:r w:rsidRPr="00351793">
      <w:rPr>
        <w:rFonts w:ascii="Palatino Linotype" w:eastAsia="Palatino Linotype" w:hAnsi="Palatino Linotype" w:cs="Palatino Linotype"/>
        <w:sz w:val="18"/>
        <w:lang w:eastAsia="en-MY"/>
      </w:rPr>
      <w:t>.</w:t>
    </w:r>
  </w:p>
  <w:p w14:paraId="6EB51F98" w14:textId="77777777" w:rsidR="00C469DB" w:rsidRPr="00B4001E" w:rsidRDefault="00C469DB" w:rsidP="00C469DB">
    <w:pPr>
      <w:spacing w:after="3" w:line="250" w:lineRule="auto"/>
      <w:ind w:left="2520" w:firstLine="720"/>
      <w:rPr>
        <w:rFonts w:ascii="Palatino Linotype" w:eastAsia="Palatino Linotype" w:hAnsi="Palatino Linotype" w:cs="Palatino Linotype"/>
        <w:lang w:eastAsia="en-MY"/>
      </w:rPr>
    </w:pPr>
    <w:r w:rsidRPr="00351793">
      <w:rPr>
        <w:rFonts w:ascii="Palatino Linotype" w:eastAsia="Palatino Linotype" w:hAnsi="Palatino Linotype" w:cs="Palatino Linotype"/>
        <w:sz w:val="18"/>
        <w:lang w:eastAsia="en-MY"/>
      </w:rPr>
      <w:t xml:space="preserve">Published by MMU Press. URL: </w:t>
    </w:r>
    <w:hyperlink r:id="rId4">
      <w:r w:rsidRPr="00351793">
        <w:rPr>
          <w:rFonts w:ascii="Palatino Linotype" w:eastAsia="Palatino Linotype" w:hAnsi="Palatino Linotype" w:cs="Palatino Linotype"/>
          <w:sz w:val="18"/>
          <w:lang w:eastAsia="en-MY"/>
        </w:rPr>
        <w:t>https://</w:t>
      </w:r>
    </w:hyperlink>
    <w:hyperlink r:id="rId5">
      <w:r w:rsidRPr="00351793">
        <w:rPr>
          <w:rFonts w:ascii="Palatino Linotype" w:eastAsia="Palatino Linotype" w:hAnsi="Palatino Linotype" w:cs="Palatino Linotype"/>
          <w:sz w:val="18"/>
          <w:lang w:eastAsia="en-MY"/>
        </w:rPr>
        <w:t>journals</w:t>
      </w:r>
    </w:hyperlink>
    <w:hyperlink r:id="rId6">
      <w:r w:rsidRPr="00351793">
        <w:rPr>
          <w:rFonts w:ascii="Palatino Linotype" w:eastAsia="Palatino Linotype" w:hAnsi="Palatino Linotype" w:cs="Palatino Linotype"/>
          <w:sz w:val="18"/>
          <w:lang w:eastAsia="en-MY"/>
        </w:rPr>
        <w:t>.mmupress.com/</w:t>
      </w:r>
    </w:hyperlink>
    <w:r w:rsidRPr="00351793">
      <w:rPr>
        <w:rFonts w:ascii="Palatino Linotype" w:eastAsia="Palatino Linotype" w:hAnsi="Palatino Linotype" w:cs="Palatino Linotype"/>
        <w:sz w:val="18"/>
        <w:lang w:eastAsia="en-MY"/>
      </w:rPr>
      <w:t>jiwe</w:t>
    </w:r>
  </w:p>
  <w:p w14:paraId="460E2BE0" w14:textId="77777777" w:rsidR="00C469DB" w:rsidRDefault="00C469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1241FB" w14:textId="77777777" w:rsidR="004E467C" w:rsidRDefault="004E467C" w:rsidP="00D70788">
      <w:pPr>
        <w:spacing w:after="0" w:line="240" w:lineRule="auto"/>
      </w:pPr>
      <w:r>
        <w:separator/>
      </w:r>
    </w:p>
  </w:footnote>
  <w:footnote w:type="continuationSeparator" w:id="0">
    <w:p w14:paraId="1DB20115" w14:textId="77777777" w:rsidR="004E467C" w:rsidRDefault="004E467C" w:rsidP="00D707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9C2E2A" w14:textId="7B18E02D" w:rsidR="00C469DB" w:rsidRDefault="00C469DB" w:rsidP="00C469DB">
    <w:pPr>
      <w:spacing w:after="369" w:line="259" w:lineRule="auto"/>
    </w:pPr>
    <w:r w:rsidRPr="0098069B">
      <w:rPr>
        <w:rFonts w:ascii="Palatino Linotype" w:eastAsia="Palatino Linotype" w:hAnsi="Palatino Linotype" w:cs="Palatino Linotype"/>
        <w:i/>
      </w:rPr>
      <w:t xml:space="preserve">Journal of Informatics and Web Engineering </w:t>
    </w:r>
    <w:r>
      <w:rPr>
        <w:rFonts w:ascii="Calibri" w:eastAsia="Calibri" w:hAnsi="Calibri" w:cs="Calibri"/>
        <w:noProof/>
      </w:rPr>
      <mc:AlternateContent>
        <mc:Choice Requires="wpg">
          <w:drawing>
            <wp:anchor distT="0" distB="0" distL="114300" distR="114300" simplePos="0" relativeHeight="251661312" behindDoc="0" locked="0" layoutInCell="1" allowOverlap="1" wp14:anchorId="0EA40D74" wp14:editId="46A4C8EC">
              <wp:simplePos x="0" y="0"/>
              <wp:positionH relativeFrom="margin">
                <wp:align>left</wp:align>
              </wp:positionH>
              <wp:positionV relativeFrom="page">
                <wp:posOffset>698500</wp:posOffset>
              </wp:positionV>
              <wp:extent cx="5946775" cy="57150"/>
              <wp:effectExtent l="0" t="0" r="0" b="0"/>
              <wp:wrapSquare wrapText="bothSides"/>
              <wp:docPr id="15910" name="Group 15910"/>
              <wp:cNvGraphicFramePr/>
              <a:graphic xmlns:a="http://schemas.openxmlformats.org/drawingml/2006/main">
                <a:graphicData uri="http://schemas.microsoft.com/office/word/2010/wordprocessingGroup">
                  <wpg:wgp>
                    <wpg:cNvGrpSpPr/>
                    <wpg:grpSpPr>
                      <a:xfrm>
                        <a:off x="0" y="0"/>
                        <a:ext cx="5946775" cy="57150"/>
                        <a:chOff x="0" y="0"/>
                        <a:chExt cx="5730875" cy="10160"/>
                      </a:xfrm>
                    </wpg:grpSpPr>
                    <wps:wsp>
                      <wps:cNvPr id="15911" name="Shape 15911"/>
                      <wps:cNvSpPr/>
                      <wps:spPr>
                        <a:xfrm>
                          <a:off x="0" y="0"/>
                          <a:ext cx="5730875" cy="0"/>
                        </a:xfrm>
                        <a:custGeom>
                          <a:avLst/>
                          <a:gdLst/>
                          <a:ahLst/>
                          <a:cxnLst/>
                          <a:rect l="0" t="0" r="0" b="0"/>
                          <a:pathLst>
                            <a:path w="5730875">
                              <a:moveTo>
                                <a:pt x="5730875" y="0"/>
                              </a:moveTo>
                              <a:lnTo>
                                <a:pt x="0" y="0"/>
                              </a:lnTo>
                            </a:path>
                          </a:pathLst>
                        </a:custGeom>
                        <a:ln w="10160"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1D18A220">
            <v:group id="Group 15910" style="position:absolute;margin-left:0;margin-top:55pt;width:468.25pt;height:4.5pt;z-index:251661312;mso-position-horizontal:left;mso-position-horizontal-relative:margin;mso-position-vertical-relative:page;mso-width-relative:margin;mso-height-relative:margin" coordsize="57308,101" o:spid="_x0000_s1026" w14:anchorId="72C668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">
              <v:shape id="Shape 15911" style="position:absolute;width:57308;height:0;visibility:visible;mso-wrap-style:square;v-text-anchor:top" coordsize="5730875,0" o:spid="_x0000_s1027" filled="f" strokeweight=".8pt" path="m573087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">
                <v:path textboxrect="0,0,5730875,0" arrowok="t"/>
              </v:shape>
              <w10:wrap type="square" anchorx="margin" anchory="page"/>
            </v:group>
          </w:pict>
        </mc:Fallback>
      </mc:AlternateContent>
    </w:r>
    <w:r>
      <w:rPr>
        <w:rFonts w:ascii="Palatino Linotype" w:eastAsia="Palatino Linotype" w:hAnsi="Palatino Linotype" w:cs="Palatino Linotype"/>
        <w:i/>
      </w:rPr>
      <w:tab/>
    </w:r>
    <w:r>
      <w:rPr>
        <w:rFonts w:ascii="Palatino Linotype" w:eastAsia="Palatino Linotype" w:hAnsi="Palatino Linotype" w:cs="Palatino Linotype"/>
        <w:i/>
      </w:rPr>
      <w:tab/>
    </w:r>
    <w:r>
      <w:rPr>
        <w:rFonts w:ascii="Palatino Linotype" w:eastAsia="Palatino Linotype" w:hAnsi="Palatino Linotype" w:cs="Palatino Linotype"/>
        <w:i/>
      </w:rPr>
      <w:tab/>
    </w:r>
    <w:r>
      <w:rPr>
        <w:rFonts w:ascii="Palatino Linotype" w:eastAsia="Palatino Linotype" w:hAnsi="Palatino Linotype" w:cs="Palatino Linotype"/>
        <w:i/>
      </w:rPr>
      <w:tab/>
      <w:t xml:space="preserve">   Vol. 2 No. 2 (September 2023)</w:t>
    </w:r>
  </w:p>
  <w:p w14:paraId="066FA708" w14:textId="77777777" w:rsidR="00C469DB" w:rsidRDefault="00C469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45DC7"/>
    <w:multiLevelType w:val="hybridMultilevel"/>
    <w:tmpl w:val="6A943AC2"/>
    <w:lvl w:ilvl="0" w:tplc="FFFFFFFF">
      <w:start w:val="1"/>
      <w:numFmt w:val="decimal"/>
      <w:lvlText w:val="[%1]"/>
      <w:lvlJc w:val="left"/>
      <w:pPr>
        <w:ind w:left="644" w:hanging="360"/>
      </w:pPr>
      <w:rPr>
        <w:rFonts w:hint="default"/>
      </w:r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 w15:restartNumberingAfterBreak="0">
    <w:nsid w:val="0CB9597D"/>
    <w:multiLevelType w:val="hybridMultilevel"/>
    <w:tmpl w:val="0D0E1322"/>
    <w:lvl w:ilvl="0" w:tplc="FFFFFFFF">
      <w:start w:val="1"/>
      <w:numFmt w:val="decimal"/>
      <w:lvlText w:val="[%1]"/>
      <w:lvlJc w:val="left"/>
      <w:pPr>
        <w:ind w:left="644" w:hanging="360"/>
      </w:pPr>
      <w:rPr>
        <w:rFonts w:hint="default"/>
      </w:r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 w15:restartNumberingAfterBreak="0">
    <w:nsid w:val="10C91125"/>
    <w:multiLevelType w:val="multilevel"/>
    <w:tmpl w:val="ECA03A60"/>
    <w:lvl w:ilvl="0">
      <w:start w:val="1"/>
      <w:numFmt w:val="decimal"/>
      <w:lvlText w:val="%1."/>
      <w:lvlJc w:val="left"/>
      <w:pPr>
        <w:tabs>
          <w:tab w:val="num" w:pos="644"/>
        </w:tabs>
        <w:ind w:left="644" w:hanging="360"/>
      </w:pPr>
    </w:lvl>
    <w:lvl w:ilvl="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 w15:restartNumberingAfterBreak="0">
    <w:nsid w:val="14472171"/>
    <w:multiLevelType w:val="hybridMultilevel"/>
    <w:tmpl w:val="FC780D92"/>
    <w:lvl w:ilvl="0" w:tplc="FFFFFFFF">
      <w:start w:val="1"/>
      <w:numFmt w:val="decimal"/>
      <w:lvlText w:val="[%1]"/>
      <w:lvlJc w:val="left"/>
      <w:pPr>
        <w:ind w:left="644" w:hanging="360"/>
      </w:pPr>
      <w:rPr>
        <w:rFonts w:hint="default"/>
      </w:r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4" w15:restartNumberingAfterBreak="0">
    <w:nsid w:val="185B1A6E"/>
    <w:multiLevelType w:val="hybridMultilevel"/>
    <w:tmpl w:val="1F008750"/>
    <w:lvl w:ilvl="0" w:tplc="FFFFFFFF">
      <w:start w:val="1"/>
      <w:numFmt w:val="decimal"/>
      <w:lvlText w:val="[%1]"/>
      <w:lvlJc w:val="left"/>
      <w:pPr>
        <w:ind w:left="644" w:hanging="360"/>
      </w:pPr>
      <w:rPr>
        <w:rFonts w:hint="default"/>
      </w:r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5" w15:restartNumberingAfterBreak="0">
    <w:nsid w:val="1EDD4ADC"/>
    <w:multiLevelType w:val="multilevel"/>
    <w:tmpl w:val="ECA03A60"/>
    <w:lvl w:ilvl="0">
      <w:start w:val="1"/>
      <w:numFmt w:val="decimal"/>
      <w:lvlText w:val="%1."/>
      <w:lvlJc w:val="left"/>
      <w:pPr>
        <w:tabs>
          <w:tab w:val="num" w:pos="644"/>
        </w:tabs>
        <w:ind w:left="644" w:hanging="360"/>
      </w:pPr>
    </w:lvl>
    <w:lvl w:ilvl="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6" w15:restartNumberingAfterBreak="0">
    <w:nsid w:val="1F1652AD"/>
    <w:multiLevelType w:val="multilevel"/>
    <w:tmpl w:val="E88C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95C73"/>
    <w:multiLevelType w:val="hybridMultilevel"/>
    <w:tmpl w:val="E6F040D4"/>
    <w:lvl w:ilvl="0" w:tplc="FFFFFFFF">
      <w:start w:val="1"/>
      <w:numFmt w:val="decimal"/>
      <w:lvlText w:val="[%1]"/>
      <w:lvlJc w:val="left"/>
      <w:pPr>
        <w:ind w:left="644" w:hanging="360"/>
      </w:pPr>
      <w:rPr>
        <w:rFonts w:hint="default"/>
      </w:r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8" w15:restartNumberingAfterBreak="0">
    <w:nsid w:val="28631567"/>
    <w:multiLevelType w:val="hybridMultilevel"/>
    <w:tmpl w:val="FEB05D0C"/>
    <w:lvl w:ilvl="0" w:tplc="FFFFFFFF">
      <w:start w:val="1"/>
      <w:numFmt w:val="decimal"/>
      <w:lvlText w:val="[%1]"/>
      <w:lvlJc w:val="left"/>
      <w:pPr>
        <w:ind w:left="644" w:hanging="360"/>
      </w:pPr>
      <w:rPr>
        <w:rFonts w:hint="default"/>
      </w:r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9" w15:restartNumberingAfterBreak="0">
    <w:nsid w:val="2C370582"/>
    <w:multiLevelType w:val="hybridMultilevel"/>
    <w:tmpl w:val="EE328E46"/>
    <w:lvl w:ilvl="0" w:tplc="7C4835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4C1BF0"/>
    <w:multiLevelType w:val="multilevel"/>
    <w:tmpl w:val="EB5CD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9F6022"/>
    <w:multiLevelType w:val="hybridMultilevel"/>
    <w:tmpl w:val="B5201E24"/>
    <w:lvl w:ilvl="0" w:tplc="FFFFFFFF">
      <w:start w:val="1"/>
      <w:numFmt w:val="decimal"/>
      <w:lvlText w:val="[%1]"/>
      <w:lvlJc w:val="left"/>
      <w:pPr>
        <w:ind w:left="644" w:hanging="360"/>
      </w:pPr>
      <w:rPr>
        <w:rFonts w:hint="default"/>
      </w:r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2" w15:restartNumberingAfterBreak="0">
    <w:nsid w:val="3595605C"/>
    <w:multiLevelType w:val="multilevel"/>
    <w:tmpl w:val="E1D2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080A6B"/>
    <w:multiLevelType w:val="multilevel"/>
    <w:tmpl w:val="BD502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B37182"/>
    <w:multiLevelType w:val="hybridMultilevel"/>
    <w:tmpl w:val="B764F016"/>
    <w:lvl w:ilvl="0" w:tplc="3416765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403C10FA"/>
    <w:multiLevelType w:val="hybridMultilevel"/>
    <w:tmpl w:val="E6C0E00A"/>
    <w:lvl w:ilvl="0" w:tplc="341676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7C3E4D"/>
    <w:multiLevelType w:val="hybridMultilevel"/>
    <w:tmpl w:val="9F7A82BC"/>
    <w:lvl w:ilvl="0" w:tplc="FFFFFFFF">
      <w:start w:val="1"/>
      <w:numFmt w:val="decimal"/>
      <w:lvlText w:val="[%1]"/>
      <w:lvlJc w:val="left"/>
      <w:pPr>
        <w:ind w:left="644" w:hanging="360"/>
      </w:pPr>
      <w:rPr>
        <w:rFonts w:hint="default"/>
      </w:r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7" w15:restartNumberingAfterBreak="0">
    <w:nsid w:val="47EF5FBA"/>
    <w:multiLevelType w:val="multilevel"/>
    <w:tmpl w:val="791CB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D11583"/>
    <w:multiLevelType w:val="hybridMultilevel"/>
    <w:tmpl w:val="0E0C58BE"/>
    <w:lvl w:ilvl="0" w:tplc="FFFFFFFF">
      <w:start w:val="1"/>
      <w:numFmt w:val="decimal"/>
      <w:lvlText w:val="[%1]"/>
      <w:lvlJc w:val="left"/>
      <w:pPr>
        <w:ind w:left="644" w:hanging="360"/>
      </w:pPr>
      <w:rPr>
        <w:rFonts w:hint="default"/>
      </w:r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9" w15:restartNumberingAfterBreak="0">
    <w:nsid w:val="54E05810"/>
    <w:multiLevelType w:val="hybridMultilevel"/>
    <w:tmpl w:val="9FE24BB4"/>
    <w:lvl w:ilvl="0" w:tplc="FFFFFFFF">
      <w:start w:val="1"/>
      <w:numFmt w:val="decimal"/>
      <w:lvlText w:val="[%1]"/>
      <w:lvlJc w:val="left"/>
      <w:pPr>
        <w:ind w:left="644" w:hanging="360"/>
      </w:pPr>
      <w:rPr>
        <w:rFonts w:hint="default"/>
      </w:r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0" w15:restartNumberingAfterBreak="0">
    <w:nsid w:val="587F394A"/>
    <w:multiLevelType w:val="hybridMultilevel"/>
    <w:tmpl w:val="3A5C2684"/>
    <w:lvl w:ilvl="0" w:tplc="FFFFFFFF">
      <w:start w:val="1"/>
      <w:numFmt w:val="decimal"/>
      <w:lvlText w:val="[%1]"/>
      <w:lvlJc w:val="left"/>
      <w:pPr>
        <w:ind w:left="644" w:hanging="360"/>
      </w:pPr>
      <w:rPr>
        <w:rFonts w:hint="default"/>
      </w:r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1" w15:restartNumberingAfterBreak="0">
    <w:nsid w:val="5FEF291B"/>
    <w:multiLevelType w:val="multilevel"/>
    <w:tmpl w:val="569E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0C236C"/>
    <w:multiLevelType w:val="hybridMultilevel"/>
    <w:tmpl w:val="4A701660"/>
    <w:lvl w:ilvl="0" w:tplc="FFFFFFFF">
      <w:start w:val="1"/>
      <w:numFmt w:val="decimal"/>
      <w:lvlText w:val="[%1]"/>
      <w:lvlJc w:val="left"/>
      <w:pPr>
        <w:ind w:left="644" w:hanging="360"/>
      </w:pPr>
      <w:rPr>
        <w:rFonts w:hint="default"/>
      </w:r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3" w15:restartNumberingAfterBreak="0">
    <w:nsid w:val="64BC4958"/>
    <w:multiLevelType w:val="hybridMultilevel"/>
    <w:tmpl w:val="D040CADC"/>
    <w:lvl w:ilvl="0" w:tplc="FFFFFFFF">
      <w:start w:val="1"/>
      <w:numFmt w:val="decimal"/>
      <w:lvlText w:val="[%1]"/>
      <w:lvlJc w:val="left"/>
      <w:pPr>
        <w:ind w:left="644" w:hanging="360"/>
      </w:pPr>
      <w:rPr>
        <w:rFonts w:hint="default"/>
      </w:r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4" w15:restartNumberingAfterBreak="0">
    <w:nsid w:val="6979039D"/>
    <w:multiLevelType w:val="multilevel"/>
    <w:tmpl w:val="8F505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B03B91"/>
    <w:multiLevelType w:val="hybridMultilevel"/>
    <w:tmpl w:val="23C0E858"/>
    <w:lvl w:ilvl="0" w:tplc="FFFFFFFF">
      <w:start w:val="1"/>
      <w:numFmt w:val="decimal"/>
      <w:lvlText w:val="[%1]"/>
      <w:lvlJc w:val="left"/>
      <w:pPr>
        <w:ind w:left="644" w:hanging="360"/>
      </w:pPr>
      <w:rPr>
        <w:rFonts w:hint="default"/>
      </w:r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6" w15:restartNumberingAfterBreak="0">
    <w:nsid w:val="6CFE19CE"/>
    <w:multiLevelType w:val="hybridMultilevel"/>
    <w:tmpl w:val="2F460D7C"/>
    <w:lvl w:ilvl="0" w:tplc="FFFFFFFF">
      <w:start w:val="1"/>
      <w:numFmt w:val="decimal"/>
      <w:lvlText w:val="[%1]"/>
      <w:lvlJc w:val="left"/>
      <w:pPr>
        <w:ind w:left="644" w:hanging="360"/>
      </w:pPr>
      <w:rPr>
        <w:rFonts w:hint="default"/>
      </w:r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7" w15:restartNumberingAfterBreak="0">
    <w:nsid w:val="6DA93AE5"/>
    <w:multiLevelType w:val="hybridMultilevel"/>
    <w:tmpl w:val="E89070E0"/>
    <w:lvl w:ilvl="0" w:tplc="FFFFFFFF">
      <w:start w:val="1"/>
      <w:numFmt w:val="decimal"/>
      <w:lvlText w:val="[%1]"/>
      <w:lvlJc w:val="left"/>
      <w:pPr>
        <w:ind w:left="644" w:hanging="360"/>
      </w:pPr>
      <w:rPr>
        <w:rFonts w:hint="default"/>
      </w:r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8" w15:restartNumberingAfterBreak="0">
    <w:nsid w:val="6E05085C"/>
    <w:multiLevelType w:val="hybridMultilevel"/>
    <w:tmpl w:val="D3C0E854"/>
    <w:lvl w:ilvl="0" w:tplc="7C4835B8">
      <w:start w:val="1"/>
      <w:numFmt w:val="decimal"/>
      <w:lvlText w:val="[%1]"/>
      <w:lvlJc w:val="left"/>
      <w:pPr>
        <w:ind w:left="785"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9" w15:restartNumberingAfterBreak="0">
    <w:nsid w:val="72F169D0"/>
    <w:multiLevelType w:val="hybridMultilevel"/>
    <w:tmpl w:val="0378773E"/>
    <w:lvl w:ilvl="0" w:tplc="FFFFFFFF">
      <w:start w:val="1"/>
      <w:numFmt w:val="decimal"/>
      <w:lvlText w:val="[%1]"/>
      <w:lvlJc w:val="left"/>
      <w:pPr>
        <w:ind w:left="644" w:hanging="360"/>
      </w:pPr>
      <w:rPr>
        <w:rFonts w:hint="default"/>
      </w:r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0" w15:restartNumberingAfterBreak="0">
    <w:nsid w:val="74F6484D"/>
    <w:multiLevelType w:val="hybridMultilevel"/>
    <w:tmpl w:val="90D6FAB8"/>
    <w:lvl w:ilvl="0" w:tplc="FFFFFFFF">
      <w:start w:val="1"/>
      <w:numFmt w:val="decimal"/>
      <w:lvlText w:val="[%1]"/>
      <w:lvlJc w:val="left"/>
      <w:pPr>
        <w:ind w:left="644" w:hanging="360"/>
      </w:pPr>
      <w:rPr>
        <w:rFonts w:hint="default"/>
      </w:r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1" w15:restartNumberingAfterBreak="0">
    <w:nsid w:val="77B82AB8"/>
    <w:multiLevelType w:val="hybridMultilevel"/>
    <w:tmpl w:val="125A7E82"/>
    <w:lvl w:ilvl="0" w:tplc="FFFFFFFF">
      <w:start w:val="1"/>
      <w:numFmt w:val="decimal"/>
      <w:lvlText w:val="[%1]"/>
      <w:lvlJc w:val="left"/>
      <w:pPr>
        <w:ind w:left="644" w:hanging="360"/>
      </w:pPr>
      <w:rPr>
        <w:rFonts w:hint="default"/>
      </w:r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num w:numId="1" w16cid:durableId="434404465">
    <w:abstractNumId w:val="21"/>
  </w:num>
  <w:num w:numId="2" w16cid:durableId="328607938">
    <w:abstractNumId w:val="12"/>
  </w:num>
  <w:num w:numId="3" w16cid:durableId="1310289196">
    <w:abstractNumId w:val="24"/>
  </w:num>
  <w:num w:numId="4" w16cid:durableId="1766265194">
    <w:abstractNumId w:val="6"/>
  </w:num>
  <w:num w:numId="5" w16cid:durableId="1386372856">
    <w:abstractNumId w:val="2"/>
  </w:num>
  <w:num w:numId="6" w16cid:durableId="361590995">
    <w:abstractNumId w:val="9"/>
  </w:num>
  <w:num w:numId="7" w16cid:durableId="1797871419">
    <w:abstractNumId w:val="15"/>
  </w:num>
  <w:num w:numId="8" w16cid:durableId="1343513547">
    <w:abstractNumId w:val="14"/>
  </w:num>
  <w:num w:numId="9" w16cid:durableId="244612448">
    <w:abstractNumId w:val="5"/>
  </w:num>
  <w:num w:numId="10" w16cid:durableId="1227103359">
    <w:abstractNumId w:val="28"/>
  </w:num>
  <w:num w:numId="11" w16cid:durableId="1537741628">
    <w:abstractNumId w:val="13"/>
  </w:num>
  <w:num w:numId="12" w16cid:durableId="846216767">
    <w:abstractNumId w:val="10"/>
  </w:num>
  <w:num w:numId="13" w16cid:durableId="573785591">
    <w:abstractNumId w:val="17"/>
  </w:num>
  <w:num w:numId="14" w16cid:durableId="1437553769">
    <w:abstractNumId w:val="16"/>
  </w:num>
  <w:num w:numId="15" w16cid:durableId="168912082">
    <w:abstractNumId w:val="18"/>
  </w:num>
  <w:num w:numId="16" w16cid:durableId="395401568">
    <w:abstractNumId w:val="26"/>
  </w:num>
  <w:num w:numId="17" w16cid:durableId="1474522783">
    <w:abstractNumId w:val="1"/>
  </w:num>
  <w:num w:numId="18" w16cid:durableId="2101633138">
    <w:abstractNumId w:val="31"/>
  </w:num>
  <w:num w:numId="19" w16cid:durableId="833498589">
    <w:abstractNumId w:val="22"/>
  </w:num>
  <w:num w:numId="20" w16cid:durableId="2020034710">
    <w:abstractNumId w:val="0"/>
  </w:num>
  <w:num w:numId="21" w16cid:durableId="1361081519">
    <w:abstractNumId w:val="8"/>
  </w:num>
  <w:num w:numId="22" w16cid:durableId="348020514">
    <w:abstractNumId w:val="19"/>
  </w:num>
  <w:num w:numId="23" w16cid:durableId="385372729">
    <w:abstractNumId w:val="29"/>
  </w:num>
  <w:num w:numId="24" w16cid:durableId="692606918">
    <w:abstractNumId w:val="3"/>
  </w:num>
  <w:num w:numId="25" w16cid:durableId="1802728276">
    <w:abstractNumId w:val="7"/>
  </w:num>
  <w:num w:numId="26" w16cid:durableId="1637299972">
    <w:abstractNumId w:val="25"/>
  </w:num>
  <w:num w:numId="27" w16cid:durableId="1227183932">
    <w:abstractNumId w:val="11"/>
  </w:num>
  <w:num w:numId="28" w16cid:durableId="1751536738">
    <w:abstractNumId w:val="30"/>
  </w:num>
  <w:num w:numId="29" w16cid:durableId="691537243">
    <w:abstractNumId w:val="4"/>
  </w:num>
  <w:num w:numId="30" w16cid:durableId="98188414">
    <w:abstractNumId w:val="23"/>
  </w:num>
  <w:num w:numId="31" w16cid:durableId="412161570">
    <w:abstractNumId w:val="27"/>
  </w:num>
  <w:num w:numId="32" w16cid:durableId="2533933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BE0tjI3MzMxNTY0tTJR2l4NTi4sz8PJACw1oAKABbOCwAAAA="/>
  </w:docVars>
  <w:rsids>
    <w:rsidRoot w:val="00C01D9C"/>
    <w:rsid w:val="00000090"/>
    <w:rsid w:val="0000106F"/>
    <w:rsid w:val="0000131D"/>
    <w:rsid w:val="000013BB"/>
    <w:rsid w:val="00001EE8"/>
    <w:rsid w:val="000024F4"/>
    <w:rsid w:val="00003066"/>
    <w:rsid w:val="00004C50"/>
    <w:rsid w:val="000051F6"/>
    <w:rsid w:val="0000526C"/>
    <w:rsid w:val="00005C03"/>
    <w:rsid w:val="00006489"/>
    <w:rsid w:val="00006B42"/>
    <w:rsid w:val="000074E1"/>
    <w:rsid w:val="000104C0"/>
    <w:rsid w:val="00011316"/>
    <w:rsid w:val="00012BE4"/>
    <w:rsid w:val="0001355B"/>
    <w:rsid w:val="00014328"/>
    <w:rsid w:val="000143A5"/>
    <w:rsid w:val="000145D0"/>
    <w:rsid w:val="00015B01"/>
    <w:rsid w:val="00017288"/>
    <w:rsid w:val="00017990"/>
    <w:rsid w:val="00017D9D"/>
    <w:rsid w:val="00020727"/>
    <w:rsid w:val="00023AEB"/>
    <w:rsid w:val="00023DF1"/>
    <w:rsid w:val="000240E1"/>
    <w:rsid w:val="0002434C"/>
    <w:rsid w:val="0002493E"/>
    <w:rsid w:val="00025013"/>
    <w:rsid w:val="00026D69"/>
    <w:rsid w:val="00027BD9"/>
    <w:rsid w:val="000302A4"/>
    <w:rsid w:val="000304AE"/>
    <w:rsid w:val="0003103C"/>
    <w:rsid w:val="00032325"/>
    <w:rsid w:val="000351A0"/>
    <w:rsid w:val="0003559B"/>
    <w:rsid w:val="000361EC"/>
    <w:rsid w:val="00037079"/>
    <w:rsid w:val="000372A1"/>
    <w:rsid w:val="00037397"/>
    <w:rsid w:val="00037408"/>
    <w:rsid w:val="000415A5"/>
    <w:rsid w:val="000415E9"/>
    <w:rsid w:val="00042345"/>
    <w:rsid w:val="0004511A"/>
    <w:rsid w:val="00045B79"/>
    <w:rsid w:val="00045CB5"/>
    <w:rsid w:val="00046E10"/>
    <w:rsid w:val="00046F79"/>
    <w:rsid w:val="00047024"/>
    <w:rsid w:val="00047820"/>
    <w:rsid w:val="0005073C"/>
    <w:rsid w:val="00050BFB"/>
    <w:rsid w:val="000510D2"/>
    <w:rsid w:val="00051F63"/>
    <w:rsid w:val="00052751"/>
    <w:rsid w:val="00054146"/>
    <w:rsid w:val="0005444C"/>
    <w:rsid w:val="0005450A"/>
    <w:rsid w:val="00054BD8"/>
    <w:rsid w:val="000563FD"/>
    <w:rsid w:val="00056A21"/>
    <w:rsid w:val="00056DF5"/>
    <w:rsid w:val="00057C55"/>
    <w:rsid w:val="00060A2C"/>
    <w:rsid w:val="00060E95"/>
    <w:rsid w:val="0006187A"/>
    <w:rsid w:val="0006187F"/>
    <w:rsid w:val="00061B14"/>
    <w:rsid w:val="000623E1"/>
    <w:rsid w:val="00062E24"/>
    <w:rsid w:val="00064AD5"/>
    <w:rsid w:val="00064F1A"/>
    <w:rsid w:val="000652C4"/>
    <w:rsid w:val="0006583C"/>
    <w:rsid w:val="00065D15"/>
    <w:rsid w:val="00065E3F"/>
    <w:rsid w:val="000663A6"/>
    <w:rsid w:val="000666CF"/>
    <w:rsid w:val="000667F7"/>
    <w:rsid w:val="00066ECD"/>
    <w:rsid w:val="00067083"/>
    <w:rsid w:val="000673C1"/>
    <w:rsid w:val="0006788E"/>
    <w:rsid w:val="00067AC3"/>
    <w:rsid w:val="00067C75"/>
    <w:rsid w:val="00071048"/>
    <w:rsid w:val="000711BA"/>
    <w:rsid w:val="00071381"/>
    <w:rsid w:val="00071602"/>
    <w:rsid w:val="00071ADF"/>
    <w:rsid w:val="0007292F"/>
    <w:rsid w:val="00072AF1"/>
    <w:rsid w:val="00073EA4"/>
    <w:rsid w:val="000743C1"/>
    <w:rsid w:val="00074B35"/>
    <w:rsid w:val="00075414"/>
    <w:rsid w:val="00076071"/>
    <w:rsid w:val="000770FA"/>
    <w:rsid w:val="0007710D"/>
    <w:rsid w:val="000779FC"/>
    <w:rsid w:val="00080DEA"/>
    <w:rsid w:val="00082FB9"/>
    <w:rsid w:val="000833DF"/>
    <w:rsid w:val="00083C05"/>
    <w:rsid w:val="000853B4"/>
    <w:rsid w:val="00086963"/>
    <w:rsid w:val="00087644"/>
    <w:rsid w:val="00090AA4"/>
    <w:rsid w:val="00091146"/>
    <w:rsid w:val="00091E0C"/>
    <w:rsid w:val="00092163"/>
    <w:rsid w:val="000928C4"/>
    <w:rsid w:val="00092C9D"/>
    <w:rsid w:val="00093084"/>
    <w:rsid w:val="00093469"/>
    <w:rsid w:val="000934D2"/>
    <w:rsid w:val="000971EF"/>
    <w:rsid w:val="000977B6"/>
    <w:rsid w:val="000A090F"/>
    <w:rsid w:val="000A135F"/>
    <w:rsid w:val="000A17CF"/>
    <w:rsid w:val="000A202C"/>
    <w:rsid w:val="000A222C"/>
    <w:rsid w:val="000A24D5"/>
    <w:rsid w:val="000A2C8E"/>
    <w:rsid w:val="000A3C6D"/>
    <w:rsid w:val="000A3D15"/>
    <w:rsid w:val="000A4815"/>
    <w:rsid w:val="000A4849"/>
    <w:rsid w:val="000A5454"/>
    <w:rsid w:val="000A5F2D"/>
    <w:rsid w:val="000A613A"/>
    <w:rsid w:val="000A65CE"/>
    <w:rsid w:val="000A7AFA"/>
    <w:rsid w:val="000B05B6"/>
    <w:rsid w:val="000B0D19"/>
    <w:rsid w:val="000B1C96"/>
    <w:rsid w:val="000B207D"/>
    <w:rsid w:val="000B264F"/>
    <w:rsid w:val="000B296F"/>
    <w:rsid w:val="000B2B17"/>
    <w:rsid w:val="000B37AD"/>
    <w:rsid w:val="000B43BA"/>
    <w:rsid w:val="000B4B45"/>
    <w:rsid w:val="000B565B"/>
    <w:rsid w:val="000B682C"/>
    <w:rsid w:val="000C0D3F"/>
    <w:rsid w:val="000C1050"/>
    <w:rsid w:val="000C108B"/>
    <w:rsid w:val="000C139A"/>
    <w:rsid w:val="000C1C8C"/>
    <w:rsid w:val="000C3305"/>
    <w:rsid w:val="000C448F"/>
    <w:rsid w:val="000C4F93"/>
    <w:rsid w:val="000C5741"/>
    <w:rsid w:val="000C5F17"/>
    <w:rsid w:val="000C696D"/>
    <w:rsid w:val="000C6BE1"/>
    <w:rsid w:val="000D126E"/>
    <w:rsid w:val="000D1A57"/>
    <w:rsid w:val="000D2A15"/>
    <w:rsid w:val="000D2A86"/>
    <w:rsid w:val="000D2DAA"/>
    <w:rsid w:val="000D38BD"/>
    <w:rsid w:val="000D3A3B"/>
    <w:rsid w:val="000D45F0"/>
    <w:rsid w:val="000D475D"/>
    <w:rsid w:val="000D52E2"/>
    <w:rsid w:val="000D70D2"/>
    <w:rsid w:val="000D7697"/>
    <w:rsid w:val="000D7BEB"/>
    <w:rsid w:val="000E0062"/>
    <w:rsid w:val="000E0283"/>
    <w:rsid w:val="000E0B39"/>
    <w:rsid w:val="000E2223"/>
    <w:rsid w:val="000E3A89"/>
    <w:rsid w:val="000E3D6B"/>
    <w:rsid w:val="000E428B"/>
    <w:rsid w:val="000E4D6A"/>
    <w:rsid w:val="000E4F92"/>
    <w:rsid w:val="000E67D7"/>
    <w:rsid w:val="000E6BF2"/>
    <w:rsid w:val="000E75D2"/>
    <w:rsid w:val="000F011B"/>
    <w:rsid w:val="000F0230"/>
    <w:rsid w:val="000F104D"/>
    <w:rsid w:val="000F394C"/>
    <w:rsid w:val="000F3A73"/>
    <w:rsid w:val="000F4591"/>
    <w:rsid w:val="000F4BDF"/>
    <w:rsid w:val="000F4EDB"/>
    <w:rsid w:val="000F5186"/>
    <w:rsid w:val="000F5B40"/>
    <w:rsid w:val="000F6CCC"/>
    <w:rsid w:val="000F71A0"/>
    <w:rsid w:val="000F7C73"/>
    <w:rsid w:val="0010017B"/>
    <w:rsid w:val="001002FD"/>
    <w:rsid w:val="00100426"/>
    <w:rsid w:val="00100EB8"/>
    <w:rsid w:val="001013D5"/>
    <w:rsid w:val="001027FF"/>
    <w:rsid w:val="00102AC9"/>
    <w:rsid w:val="00102C4D"/>
    <w:rsid w:val="00102CC9"/>
    <w:rsid w:val="00104C4C"/>
    <w:rsid w:val="001050FA"/>
    <w:rsid w:val="00105450"/>
    <w:rsid w:val="001059E5"/>
    <w:rsid w:val="00106DB2"/>
    <w:rsid w:val="00107D84"/>
    <w:rsid w:val="00107F3B"/>
    <w:rsid w:val="001106B5"/>
    <w:rsid w:val="00111165"/>
    <w:rsid w:val="00111187"/>
    <w:rsid w:val="0011134A"/>
    <w:rsid w:val="0011171C"/>
    <w:rsid w:val="00113627"/>
    <w:rsid w:val="00113629"/>
    <w:rsid w:val="001137C9"/>
    <w:rsid w:val="0011388B"/>
    <w:rsid w:val="00114D30"/>
    <w:rsid w:val="00114EEA"/>
    <w:rsid w:val="001158CC"/>
    <w:rsid w:val="00115D36"/>
    <w:rsid w:val="00116286"/>
    <w:rsid w:val="001164CE"/>
    <w:rsid w:val="001172E7"/>
    <w:rsid w:val="00117A9D"/>
    <w:rsid w:val="00120EEE"/>
    <w:rsid w:val="00121CDB"/>
    <w:rsid w:val="0012244E"/>
    <w:rsid w:val="00122752"/>
    <w:rsid w:val="00122C1C"/>
    <w:rsid w:val="00123753"/>
    <w:rsid w:val="00124006"/>
    <w:rsid w:val="0012404A"/>
    <w:rsid w:val="00124873"/>
    <w:rsid w:val="00124E78"/>
    <w:rsid w:val="00126D14"/>
    <w:rsid w:val="00127BCC"/>
    <w:rsid w:val="00130136"/>
    <w:rsid w:val="00130F97"/>
    <w:rsid w:val="00132666"/>
    <w:rsid w:val="00132C35"/>
    <w:rsid w:val="001337C5"/>
    <w:rsid w:val="00133CB1"/>
    <w:rsid w:val="00136628"/>
    <w:rsid w:val="00140A23"/>
    <w:rsid w:val="001426F1"/>
    <w:rsid w:val="00142A3A"/>
    <w:rsid w:val="00143C9F"/>
    <w:rsid w:val="00144CF1"/>
    <w:rsid w:val="00144F94"/>
    <w:rsid w:val="001455E1"/>
    <w:rsid w:val="00145F09"/>
    <w:rsid w:val="0014621B"/>
    <w:rsid w:val="00147748"/>
    <w:rsid w:val="00147DF6"/>
    <w:rsid w:val="00147EA4"/>
    <w:rsid w:val="00150D7C"/>
    <w:rsid w:val="00151CDC"/>
    <w:rsid w:val="00151EF8"/>
    <w:rsid w:val="001527A1"/>
    <w:rsid w:val="00153263"/>
    <w:rsid w:val="00153E66"/>
    <w:rsid w:val="00155A04"/>
    <w:rsid w:val="00156909"/>
    <w:rsid w:val="0015698F"/>
    <w:rsid w:val="00157046"/>
    <w:rsid w:val="00160CFF"/>
    <w:rsid w:val="00164CE4"/>
    <w:rsid w:val="00164EA9"/>
    <w:rsid w:val="00165DA3"/>
    <w:rsid w:val="00166BC4"/>
    <w:rsid w:val="00167EDA"/>
    <w:rsid w:val="001707B4"/>
    <w:rsid w:val="00171717"/>
    <w:rsid w:val="00175D91"/>
    <w:rsid w:val="001761BF"/>
    <w:rsid w:val="0017784C"/>
    <w:rsid w:val="00180E69"/>
    <w:rsid w:val="0018138F"/>
    <w:rsid w:val="00182A87"/>
    <w:rsid w:val="00182EAD"/>
    <w:rsid w:val="00183282"/>
    <w:rsid w:val="0018396A"/>
    <w:rsid w:val="001847F8"/>
    <w:rsid w:val="00185B0A"/>
    <w:rsid w:val="00186137"/>
    <w:rsid w:val="00187DB7"/>
    <w:rsid w:val="00190BCB"/>
    <w:rsid w:val="00191181"/>
    <w:rsid w:val="00191502"/>
    <w:rsid w:val="00191B07"/>
    <w:rsid w:val="00196F19"/>
    <w:rsid w:val="001A1A6B"/>
    <w:rsid w:val="001A1CE4"/>
    <w:rsid w:val="001A2411"/>
    <w:rsid w:val="001A307E"/>
    <w:rsid w:val="001A4151"/>
    <w:rsid w:val="001A5867"/>
    <w:rsid w:val="001A60AD"/>
    <w:rsid w:val="001A739B"/>
    <w:rsid w:val="001B131B"/>
    <w:rsid w:val="001B29E1"/>
    <w:rsid w:val="001B54D1"/>
    <w:rsid w:val="001B67A2"/>
    <w:rsid w:val="001B68D5"/>
    <w:rsid w:val="001B6B58"/>
    <w:rsid w:val="001B715D"/>
    <w:rsid w:val="001C16F2"/>
    <w:rsid w:val="001C4D10"/>
    <w:rsid w:val="001C576D"/>
    <w:rsid w:val="001C586D"/>
    <w:rsid w:val="001C6BB1"/>
    <w:rsid w:val="001D037C"/>
    <w:rsid w:val="001D05D1"/>
    <w:rsid w:val="001D1904"/>
    <w:rsid w:val="001D3EC7"/>
    <w:rsid w:val="001D46BF"/>
    <w:rsid w:val="001D52E4"/>
    <w:rsid w:val="001D531E"/>
    <w:rsid w:val="001D54F1"/>
    <w:rsid w:val="001D5562"/>
    <w:rsid w:val="001D5B73"/>
    <w:rsid w:val="001D5C67"/>
    <w:rsid w:val="001D70A0"/>
    <w:rsid w:val="001D7D50"/>
    <w:rsid w:val="001E0188"/>
    <w:rsid w:val="001E0EC8"/>
    <w:rsid w:val="001E3854"/>
    <w:rsid w:val="001E3DB9"/>
    <w:rsid w:val="001E41E3"/>
    <w:rsid w:val="001E6B88"/>
    <w:rsid w:val="001E7BB9"/>
    <w:rsid w:val="001F0D14"/>
    <w:rsid w:val="001F1612"/>
    <w:rsid w:val="001F24EF"/>
    <w:rsid w:val="001F2541"/>
    <w:rsid w:val="001F3E12"/>
    <w:rsid w:val="001F3E8A"/>
    <w:rsid w:val="001F4323"/>
    <w:rsid w:val="001F46DB"/>
    <w:rsid w:val="001F4A6B"/>
    <w:rsid w:val="001F5A93"/>
    <w:rsid w:val="001F600B"/>
    <w:rsid w:val="001F70CF"/>
    <w:rsid w:val="002001BC"/>
    <w:rsid w:val="002002EF"/>
    <w:rsid w:val="002006E8"/>
    <w:rsid w:val="00200AF2"/>
    <w:rsid w:val="00200FE5"/>
    <w:rsid w:val="002019A1"/>
    <w:rsid w:val="00201FA9"/>
    <w:rsid w:val="00202C78"/>
    <w:rsid w:val="00203954"/>
    <w:rsid w:val="0020572E"/>
    <w:rsid w:val="00206511"/>
    <w:rsid w:val="00206B7E"/>
    <w:rsid w:val="00206DA4"/>
    <w:rsid w:val="002071FE"/>
    <w:rsid w:val="00207501"/>
    <w:rsid w:val="00211893"/>
    <w:rsid w:val="002120AD"/>
    <w:rsid w:val="00212BFF"/>
    <w:rsid w:val="002149B6"/>
    <w:rsid w:val="00214A10"/>
    <w:rsid w:val="002162F0"/>
    <w:rsid w:val="002168CF"/>
    <w:rsid w:val="00216FFF"/>
    <w:rsid w:val="0022017A"/>
    <w:rsid w:val="00220374"/>
    <w:rsid w:val="0022076A"/>
    <w:rsid w:val="002217CB"/>
    <w:rsid w:val="0022188F"/>
    <w:rsid w:val="002223D6"/>
    <w:rsid w:val="002228FC"/>
    <w:rsid w:val="00222912"/>
    <w:rsid w:val="00223962"/>
    <w:rsid w:val="002243F8"/>
    <w:rsid w:val="00225A3B"/>
    <w:rsid w:val="00226172"/>
    <w:rsid w:val="00226F72"/>
    <w:rsid w:val="00227A35"/>
    <w:rsid w:val="00227B1E"/>
    <w:rsid w:val="00227D6C"/>
    <w:rsid w:val="00230316"/>
    <w:rsid w:val="00230872"/>
    <w:rsid w:val="0023102A"/>
    <w:rsid w:val="0023149E"/>
    <w:rsid w:val="00231ACC"/>
    <w:rsid w:val="00232BDC"/>
    <w:rsid w:val="0023359D"/>
    <w:rsid w:val="0023556C"/>
    <w:rsid w:val="002355AA"/>
    <w:rsid w:val="00235A3C"/>
    <w:rsid w:val="00237648"/>
    <w:rsid w:val="00240028"/>
    <w:rsid w:val="002405F9"/>
    <w:rsid w:val="002408D3"/>
    <w:rsid w:val="00240E50"/>
    <w:rsid w:val="00241106"/>
    <w:rsid w:val="00244057"/>
    <w:rsid w:val="00244639"/>
    <w:rsid w:val="0024466C"/>
    <w:rsid w:val="00245AF6"/>
    <w:rsid w:val="00247DE6"/>
    <w:rsid w:val="00247FB4"/>
    <w:rsid w:val="00250BE3"/>
    <w:rsid w:val="00250E90"/>
    <w:rsid w:val="0025129B"/>
    <w:rsid w:val="002513BB"/>
    <w:rsid w:val="0025221B"/>
    <w:rsid w:val="002531F3"/>
    <w:rsid w:val="00253225"/>
    <w:rsid w:val="00253AB0"/>
    <w:rsid w:val="0025500C"/>
    <w:rsid w:val="002554AF"/>
    <w:rsid w:val="002558FE"/>
    <w:rsid w:val="00255D4C"/>
    <w:rsid w:val="00255F6D"/>
    <w:rsid w:val="002566C2"/>
    <w:rsid w:val="002601C5"/>
    <w:rsid w:val="002614DB"/>
    <w:rsid w:val="00261529"/>
    <w:rsid w:val="00261739"/>
    <w:rsid w:val="00261CF8"/>
    <w:rsid w:val="002621A7"/>
    <w:rsid w:val="00262E13"/>
    <w:rsid w:val="00262E37"/>
    <w:rsid w:val="00262E9C"/>
    <w:rsid w:val="00263EEB"/>
    <w:rsid w:val="00265A56"/>
    <w:rsid w:val="002669AE"/>
    <w:rsid w:val="00266EBF"/>
    <w:rsid w:val="00266EC9"/>
    <w:rsid w:val="00267C3A"/>
    <w:rsid w:val="002701FF"/>
    <w:rsid w:val="00270C15"/>
    <w:rsid w:val="00272859"/>
    <w:rsid w:val="002741D5"/>
    <w:rsid w:val="00274687"/>
    <w:rsid w:val="0027538D"/>
    <w:rsid w:val="0027555D"/>
    <w:rsid w:val="00276FD4"/>
    <w:rsid w:val="00280D23"/>
    <w:rsid w:val="00281301"/>
    <w:rsid w:val="002821EA"/>
    <w:rsid w:val="002829EA"/>
    <w:rsid w:val="00283260"/>
    <w:rsid w:val="00285460"/>
    <w:rsid w:val="00285518"/>
    <w:rsid w:val="0029026A"/>
    <w:rsid w:val="00290ADB"/>
    <w:rsid w:val="00291364"/>
    <w:rsid w:val="00291DBE"/>
    <w:rsid w:val="0029238A"/>
    <w:rsid w:val="00292426"/>
    <w:rsid w:val="002926D6"/>
    <w:rsid w:val="002933FF"/>
    <w:rsid w:val="002937A7"/>
    <w:rsid w:val="00293A70"/>
    <w:rsid w:val="00293BC1"/>
    <w:rsid w:val="0029458C"/>
    <w:rsid w:val="00295170"/>
    <w:rsid w:val="00295B84"/>
    <w:rsid w:val="00297CC8"/>
    <w:rsid w:val="00297D50"/>
    <w:rsid w:val="00297DF9"/>
    <w:rsid w:val="002A2753"/>
    <w:rsid w:val="002A3372"/>
    <w:rsid w:val="002A4FC3"/>
    <w:rsid w:val="002A5022"/>
    <w:rsid w:val="002A519F"/>
    <w:rsid w:val="002A5EEB"/>
    <w:rsid w:val="002A6C94"/>
    <w:rsid w:val="002B007D"/>
    <w:rsid w:val="002B096C"/>
    <w:rsid w:val="002B0DFD"/>
    <w:rsid w:val="002B12D0"/>
    <w:rsid w:val="002B1E4C"/>
    <w:rsid w:val="002B20E1"/>
    <w:rsid w:val="002B2294"/>
    <w:rsid w:val="002B42DD"/>
    <w:rsid w:val="002B6383"/>
    <w:rsid w:val="002B6864"/>
    <w:rsid w:val="002B78D9"/>
    <w:rsid w:val="002C0737"/>
    <w:rsid w:val="002C09E8"/>
    <w:rsid w:val="002C0E87"/>
    <w:rsid w:val="002C15A6"/>
    <w:rsid w:val="002C21D5"/>
    <w:rsid w:val="002C3390"/>
    <w:rsid w:val="002C3850"/>
    <w:rsid w:val="002C416B"/>
    <w:rsid w:val="002C47D4"/>
    <w:rsid w:val="002C508F"/>
    <w:rsid w:val="002C6055"/>
    <w:rsid w:val="002C7083"/>
    <w:rsid w:val="002C7D89"/>
    <w:rsid w:val="002D0286"/>
    <w:rsid w:val="002D0331"/>
    <w:rsid w:val="002D1A37"/>
    <w:rsid w:val="002D2D58"/>
    <w:rsid w:val="002D325C"/>
    <w:rsid w:val="002D3439"/>
    <w:rsid w:val="002D3656"/>
    <w:rsid w:val="002D38B4"/>
    <w:rsid w:val="002D3A33"/>
    <w:rsid w:val="002D58D4"/>
    <w:rsid w:val="002D5EE3"/>
    <w:rsid w:val="002D6112"/>
    <w:rsid w:val="002D6ECC"/>
    <w:rsid w:val="002E00D9"/>
    <w:rsid w:val="002E01E1"/>
    <w:rsid w:val="002E14E4"/>
    <w:rsid w:val="002E193E"/>
    <w:rsid w:val="002E20C9"/>
    <w:rsid w:val="002E20FE"/>
    <w:rsid w:val="002E2B62"/>
    <w:rsid w:val="002E49FF"/>
    <w:rsid w:val="002E5026"/>
    <w:rsid w:val="002E61B8"/>
    <w:rsid w:val="002E6CC8"/>
    <w:rsid w:val="002E6D63"/>
    <w:rsid w:val="002E7527"/>
    <w:rsid w:val="002E7B5D"/>
    <w:rsid w:val="002F011E"/>
    <w:rsid w:val="002F04C4"/>
    <w:rsid w:val="002F0BE7"/>
    <w:rsid w:val="002F0D4B"/>
    <w:rsid w:val="002F100F"/>
    <w:rsid w:val="002F1BEA"/>
    <w:rsid w:val="002F311F"/>
    <w:rsid w:val="002F3D64"/>
    <w:rsid w:val="002F3E81"/>
    <w:rsid w:val="002F42C2"/>
    <w:rsid w:val="002F566A"/>
    <w:rsid w:val="002F57EC"/>
    <w:rsid w:val="002F6051"/>
    <w:rsid w:val="002F6116"/>
    <w:rsid w:val="002F6172"/>
    <w:rsid w:val="002F74E9"/>
    <w:rsid w:val="00300273"/>
    <w:rsid w:val="003012B6"/>
    <w:rsid w:val="003029DE"/>
    <w:rsid w:val="00305233"/>
    <w:rsid w:val="003067B9"/>
    <w:rsid w:val="00307A5A"/>
    <w:rsid w:val="00310E8C"/>
    <w:rsid w:val="00311E96"/>
    <w:rsid w:val="003139FA"/>
    <w:rsid w:val="00313EA3"/>
    <w:rsid w:val="003148AA"/>
    <w:rsid w:val="00314E40"/>
    <w:rsid w:val="00314FA6"/>
    <w:rsid w:val="00315429"/>
    <w:rsid w:val="003158AE"/>
    <w:rsid w:val="003167D1"/>
    <w:rsid w:val="003172A1"/>
    <w:rsid w:val="003224B6"/>
    <w:rsid w:val="00322BFC"/>
    <w:rsid w:val="0032313E"/>
    <w:rsid w:val="00323570"/>
    <w:rsid w:val="00323D8C"/>
    <w:rsid w:val="003255BE"/>
    <w:rsid w:val="003273D0"/>
    <w:rsid w:val="00327762"/>
    <w:rsid w:val="00327A23"/>
    <w:rsid w:val="00327B0D"/>
    <w:rsid w:val="003304FC"/>
    <w:rsid w:val="00330F20"/>
    <w:rsid w:val="0033103D"/>
    <w:rsid w:val="00331244"/>
    <w:rsid w:val="0033150E"/>
    <w:rsid w:val="00331912"/>
    <w:rsid w:val="00331FF8"/>
    <w:rsid w:val="0033309E"/>
    <w:rsid w:val="00333B73"/>
    <w:rsid w:val="00335177"/>
    <w:rsid w:val="003363CA"/>
    <w:rsid w:val="003373EA"/>
    <w:rsid w:val="00337D50"/>
    <w:rsid w:val="003402E3"/>
    <w:rsid w:val="003405ED"/>
    <w:rsid w:val="0034130C"/>
    <w:rsid w:val="0034156C"/>
    <w:rsid w:val="00342591"/>
    <w:rsid w:val="003425C8"/>
    <w:rsid w:val="0034305F"/>
    <w:rsid w:val="00343311"/>
    <w:rsid w:val="003434FC"/>
    <w:rsid w:val="00343F4C"/>
    <w:rsid w:val="003444F0"/>
    <w:rsid w:val="003452B3"/>
    <w:rsid w:val="003453F1"/>
    <w:rsid w:val="003454BE"/>
    <w:rsid w:val="00346A75"/>
    <w:rsid w:val="003512F7"/>
    <w:rsid w:val="0035340D"/>
    <w:rsid w:val="00353E73"/>
    <w:rsid w:val="00354A65"/>
    <w:rsid w:val="00354EE0"/>
    <w:rsid w:val="003559FB"/>
    <w:rsid w:val="00355B92"/>
    <w:rsid w:val="00357150"/>
    <w:rsid w:val="00357414"/>
    <w:rsid w:val="003579DA"/>
    <w:rsid w:val="003604FC"/>
    <w:rsid w:val="00360E0C"/>
    <w:rsid w:val="00363035"/>
    <w:rsid w:val="003638EE"/>
    <w:rsid w:val="00364031"/>
    <w:rsid w:val="0036482A"/>
    <w:rsid w:val="00364C96"/>
    <w:rsid w:val="00364CC6"/>
    <w:rsid w:val="0036564C"/>
    <w:rsid w:val="003669F8"/>
    <w:rsid w:val="00366C88"/>
    <w:rsid w:val="0036787D"/>
    <w:rsid w:val="003714F5"/>
    <w:rsid w:val="00373938"/>
    <w:rsid w:val="00373EE6"/>
    <w:rsid w:val="003744EC"/>
    <w:rsid w:val="00374898"/>
    <w:rsid w:val="00374900"/>
    <w:rsid w:val="00374F2D"/>
    <w:rsid w:val="00374FAA"/>
    <w:rsid w:val="00374FEC"/>
    <w:rsid w:val="003754AE"/>
    <w:rsid w:val="00375F1B"/>
    <w:rsid w:val="0037735A"/>
    <w:rsid w:val="00380646"/>
    <w:rsid w:val="00380E47"/>
    <w:rsid w:val="0038172B"/>
    <w:rsid w:val="003821E0"/>
    <w:rsid w:val="0038310A"/>
    <w:rsid w:val="003835B7"/>
    <w:rsid w:val="003838BC"/>
    <w:rsid w:val="00384623"/>
    <w:rsid w:val="003856F6"/>
    <w:rsid w:val="0038608F"/>
    <w:rsid w:val="00387F68"/>
    <w:rsid w:val="00390B1F"/>
    <w:rsid w:val="00391648"/>
    <w:rsid w:val="00392008"/>
    <w:rsid w:val="00392343"/>
    <w:rsid w:val="00392544"/>
    <w:rsid w:val="0039320C"/>
    <w:rsid w:val="00394223"/>
    <w:rsid w:val="00394355"/>
    <w:rsid w:val="003947E7"/>
    <w:rsid w:val="00394AD9"/>
    <w:rsid w:val="00394E1D"/>
    <w:rsid w:val="003952E3"/>
    <w:rsid w:val="00396EC9"/>
    <w:rsid w:val="003A0415"/>
    <w:rsid w:val="003A1297"/>
    <w:rsid w:val="003A1469"/>
    <w:rsid w:val="003A223C"/>
    <w:rsid w:val="003A2980"/>
    <w:rsid w:val="003A3994"/>
    <w:rsid w:val="003A4329"/>
    <w:rsid w:val="003A4430"/>
    <w:rsid w:val="003A49ED"/>
    <w:rsid w:val="003A544F"/>
    <w:rsid w:val="003A5673"/>
    <w:rsid w:val="003A6423"/>
    <w:rsid w:val="003B0192"/>
    <w:rsid w:val="003B0C63"/>
    <w:rsid w:val="003B1C95"/>
    <w:rsid w:val="003B3BAA"/>
    <w:rsid w:val="003B54E8"/>
    <w:rsid w:val="003B6CA6"/>
    <w:rsid w:val="003C0757"/>
    <w:rsid w:val="003C0DE9"/>
    <w:rsid w:val="003C0E4B"/>
    <w:rsid w:val="003C1ADB"/>
    <w:rsid w:val="003C2320"/>
    <w:rsid w:val="003C2CE9"/>
    <w:rsid w:val="003C322A"/>
    <w:rsid w:val="003C4136"/>
    <w:rsid w:val="003C51CF"/>
    <w:rsid w:val="003C5514"/>
    <w:rsid w:val="003C5527"/>
    <w:rsid w:val="003C568C"/>
    <w:rsid w:val="003C61AF"/>
    <w:rsid w:val="003C6ACA"/>
    <w:rsid w:val="003C7584"/>
    <w:rsid w:val="003C7E8A"/>
    <w:rsid w:val="003D028F"/>
    <w:rsid w:val="003D0462"/>
    <w:rsid w:val="003D1F1A"/>
    <w:rsid w:val="003D37A1"/>
    <w:rsid w:val="003D4628"/>
    <w:rsid w:val="003D4755"/>
    <w:rsid w:val="003D5C19"/>
    <w:rsid w:val="003D6297"/>
    <w:rsid w:val="003D7141"/>
    <w:rsid w:val="003D7168"/>
    <w:rsid w:val="003E0586"/>
    <w:rsid w:val="003E05E2"/>
    <w:rsid w:val="003E098C"/>
    <w:rsid w:val="003E2345"/>
    <w:rsid w:val="003E2F1A"/>
    <w:rsid w:val="003E3305"/>
    <w:rsid w:val="003E39F2"/>
    <w:rsid w:val="003E46E5"/>
    <w:rsid w:val="003E519F"/>
    <w:rsid w:val="003E5248"/>
    <w:rsid w:val="003E559F"/>
    <w:rsid w:val="003E55FE"/>
    <w:rsid w:val="003E56FF"/>
    <w:rsid w:val="003E59ED"/>
    <w:rsid w:val="003E6B28"/>
    <w:rsid w:val="003E7AB6"/>
    <w:rsid w:val="003E7B5C"/>
    <w:rsid w:val="003E7E83"/>
    <w:rsid w:val="003F1376"/>
    <w:rsid w:val="003F1B03"/>
    <w:rsid w:val="003F2DB6"/>
    <w:rsid w:val="003F2DB9"/>
    <w:rsid w:val="003F3312"/>
    <w:rsid w:val="003F35C3"/>
    <w:rsid w:val="003F36AD"/>
    <w:rsid w:val="003F4EC5"/>
    <w:rsid w:val="003F541F"/>
    <w:rsid w:val="003F5635"/>
    <w:rsid w:val="003F592D"/>
    <w:rsid w:val="003F5A10"/>
    <w:rsid w:val="003F5A94"/>
    <w:rsid w:val="003F5C8C"/>
    <w:rsid w:val="003F744F"/>
    <w:rsid w:val="00403232"/>
    <w:rsid w:val="00403A1C"/>
    <w:rsid w:val="00405623"/>
    <w:rsid w:val="00406F18"/>
    <w:rsid w:val="00407BF2"/>
    <w:rsid w:val="00410C85"/>
    <w:rsid w:val="00411FC6"/>
    <w:rsid w:val="00412A55"/>
    <w:rsid w:val="00412D95"/>
    <w:rsid w:val="00413846"/>
    <w:rsid w:val="00413853"/>
    <w:rsid w:val="00414DFB"/>
    <w:rsid w:val="00415050"/>
    <w:rsid w:val="00417F01"/>
    <w:rsid w:val="00420107"/>
    <w:rsid w:val="00420BB1"/>
    <w:rsid w:val="00421959"/>
    <w:rsid w:val="00421DEF"/>
    <w:rsid w:val="00422C18"/>
    <w:rsid w:val="00423163"/>
    <w:rsid w:val="00426076"/>
    <w:rsid w:val="004265A5"/>
    <w:rsid w:val="004275D1"/>
    <w:rsid w:val="00427F5A"/>
    <w:rsid w:val="00430142"/>
    <w:rsid w:val="00430768"/>
    <w:rsid w:val="00430ED9"/>
    <w:rsid w:val="004314A4"/>
    <w:rsid w:val="0043186B"/>
    <w:rsid w:val="00431A5A"/>
    <w:rsid w:val="00431AF5"/>
    <w:rsid w:val="0043215D"/>
    <w:rsid w:val="00432FF4"/>
    <w:rsid w:val="0043438D"/>
    <w:rsid w:val="00434C4A"/>
    <w:rsid w:val="00436596"/>
    <w:rsid w:val="004418B4"/>
    <w:rsid w:val="00441B7B"/>
    <w:rsid w:val="00442B45"/>
    <w:rsid w:val="00443D8E"/>
    <w:rsid w:val="00443DFD"/>
    <w:rsid w:val="00444A36"/>
    <w:rsid w:val="00445F10"/>
    <w:rsid w:val="00446935"/>
    <w:rsid w:val="00446B4B"/>
    <w:rsid w:val="004470AA"/>
    <w:rsid w:val="0044792C"/>
    <w:rsid w:val="00447985"/>
    <w:rsid w:val="004501FD"/>
    <w:rsid w:val="00450280"/>
    <w:rsid w:val="004504CF"/>
    <w:rsid w:val="00450F9D"/>
    <w:rsid w:val="00451356"/>
    <w:rsid w:val="00451BD0"/>
    <w:rsid w:val="00452D98"/>
    <w:rsid w:val="00453D96"/>
    <w:rsid w:val="00454172"/>
    <w:rsid w:val="0045429F"/>
    <w:rsid w:val="00454BCB"/>
    <w:rsid w:val="00454F1D"/>
    <w:rsid w:val="00455125"/>
    <w:rsid w:val="00456482"/>
    <w:rsid w:val="00456BDE"/>
    <w:rsid w:val="0046037E"/>
    <w:rsid w:val="00460A58"/>
    <w:rsid w:val="004618F4"/>
    <w:rsid w:val="00462613"/>
    <w:rsid w:val="004627E4"/>
    <w:rsid w:val="004632B3"/>
    <w:rsid w:val="00464130"/>
    <w:rsid w:val="00464F9C"/>
    <w:rsid w:val="004673A8"/>
    <w:rsid w:val="00467417"/>
    <w:rsid w:val="004676F7"/>
    <w:rsid w:val="004705A5"/>
    <w:rsid w:val="004709AE"/>
    <w:rsid w:val="0047101E"/>
    <w:rsid w:val="00471614"/>
    <w:rsid w:val="004717ED"/>
    <w:rsid w:val="0047221F"/>
    <w:rsid w:val="004727B8"/>
    <w:rsid w:val="00472B12"/>
    <w:rsid w:val="00473899"/>
    <w:rsid w:val="00473BC4"/>
    <w:rsid w:val="00475248"/>
    <w:rsid w:val="00475501"/>
    <w:rsid w:val="00475A9B"/>
    <w:rsid w:val="004765EF"/>
    <w:rsid w:val="004767E9"/>
    <w:rsid w:val="00476A41"/>
    <w:rsid w:val="00480071"/>
    <w:rsid w:val="00481012"/>
    <w:rsid w:val="00482084"/>
    <w:rsid w:val="004821E6"/>
    <w:rsid w:val="0048321C"/>
    <w:rsid w:val="00483B10"/>
    <w:rsid w:val="00484632"/>
    <w:rsid w:val="00484787"/>
    <w:rsid w:val="00484B99"/>
    <w:rsid w:val="0048738E"/>
    <w:rsid w:val="00487BD3"/>
    <w:rsid w:val="00491357"/>
    <w:rsid w:val="00491489"/>
    <w:rsid w:val="004915E5"/>
    <w:rsid w:val="00491D2D"/>
    <w:rsid w:val="004937EE"/>
    <w:rsid w:val="00493E10"/>
    <w:rsid w:val="0049411F"/>
    <w:rsid w:val="00494162"/>
    <w:rsid w:val="004942D5"/>
    <w:rsid w:val="00496A43"/>
    <w:rsid w:val="004971DA"/>
    <w:rsid w:val="00497ED2"/>
    <w:rsid w:val="004A16C0"/>
    <w:rsid w:val="004A2846"/>
    <w:rsid w:val="004A29E6"/>
    <w:rsid w:val="004A3607"/>
    <w:rsid w:val="004A4434"/>
    <w:rsid w:val="004A4FCB"/>
    <w:rsid w:val="004A62F2"/>
    <w:rsid w:val="004A68FD"/>
    <w:rsid w:val="004A6CE7"/>
    <w:rsid w:val="004A7164"/>
    <w:rsid w:val="004A77FE"/>
    <w:rsid w:val="004B1133"/>
    <w:rsid w:val="004B5999"/>
    <w:rsid w:val="004B6F3C"/>
    <w:rsid w:val="004B7E2D"/>
    <w:rsid w:val="004B7F1B"/>
    <w:rsid w:val="004C17FB"/>
    <w:rsid w:val="004C1C5F"/>
    <w:rsid w:val="004C217D"/>
    <w:rsid w:val="004C34B4"/>
    <w:rsid w:val="004C414B"/>
    <w:rsid w:val="004C4A7E"/>
    <w:rsid w:val="004C58AF"/>
    <w:rsid w:val="004C5FFC"/>
    <w:rsid w:val="004C684B"/>
    <w:rsid w:val="004C6AB7"/>
    <w:rsid w:val="004C70BA"/>
    <w:rsid w:val="004C71E2"/>
    <w:rsid w:val="004C7A4B"/>
    <w:rsid w:val="004D0C14"/>
    <w:rsid w:val="004D2508"/>
    <w:rsid w:val="004D29DA"/>
    <w:rsid w:val="004D4525"/>
    <w:rsid w:val="004D51D9"/>
    <w:rsid w:val="004D5226"/>
    <w:rsid w:val="004D6182"/>
    <w:rsid w:val="004D61AE"/>
    <w:rsid w:val="004E17A3"/>
    <w:rsid w:val="004E1BEF"/>
    <w:rsid w:val="004E1BF2"/>
    <w:rsid w:val="004E20D9"/>
    <w:rsid w:val="004E3D0A"/>
    <w:rsid w:val="004E4586"/>
    <w:rsid w:val="004E467C"/>
    <w:rsid w:val="004E56CE"/>
    <w:rsid w:val="004E593D"/>
    <w:rsid w:val="004E5982"/>
    <w:rsid w:val="004E5A3C"/>
    <w:rsid w:val="004E70B1"/>
    <w:rsid w:val="004E7840"/>
    <w:rsid w:val="004E7AEE"/>
    <w:rsid w:val="004F1B14"/>
    <w:rsid w:val="004F226C"/>
    <w:rsid w:val="004F2ACA"/>
    <w:rsid w:val="004F381D"/>
    <w:rsid w:val="004F3953"/>
    <w:rsid w:val="004F4C6F"/>
    <w:rsid w:val="004F5DAF"/>
    <w:rsid w:val="004F606C"/>
    <w:rsid w:val="004F6DFC"/>
    <w:rsid w:val="004F6E88"/>
    <w:rsid w:val="004F789C"/>
    <w:rsid w:val="004F78C4"/>
    <w:rsid w:val="005006AE"/>
    <w:rsid w:val="005020D7"/>
    <w:rsid w:val="005024DA"/>
    <w:rsid w:val="005029D2"/>
    <w:rsid w:val="00502D7D"/>
    <w:rsid w:val="00503359"/>
    <w:rsid w:val="0050559C"/>
    <w:rsid w:val="00506D40"/>
    <w:rsid w:val="00507065"/>
    <w:rsid w:val="00507522"/>
    <w:rsid w:val="0051004B"/>
    <w:rsid w:val="00511551"/>
    <w:rsid w:val="00511888"/>
    <w:rsid w:val="00511A1E"/>
    <w:rsid w:val="0051226C"/>
    <w:rsid w:val="0051242B"/>
    <w:rsid w:val="0051270F"/>
    <w:rsid w:val="00513911"/>
    <w:rsid w:val="00513E63"/>
    <w:rsid w:val="00514D2B"/>
    <w:rsid w:val="005150D3"/>
    <w:rsid w:val="005153E6"/>
    <w:rsid w:val="0051579D"/>
    <w:rsid w:val="00515BBC"/>
    <w:rsid w:val="005176E7"/>
    <w:rsid w:val="00520624"/>
    <w:rsid w:val="00520673"/>
    <w:rsid w:val="00521120"/>
    <w:rsid w:val="00521D30"/>
    <w:rsid w:val="00522180"/>
    <w:rsid w:val="00524889"/>
    <w:rsid w:val="00524E1F"/>
    <w:rsid w:val="005255BD"/>
    <w:rsid w:val="0052622F"/>
    <w:rsid w:val="00526364"/>
    <w:rsid w:val="00526990"/>
    <w:rsid w:val="00526C08"/>
    <w:rsid w:val="00526D14"/>
    <w:rsid w:val="00527453"/>
    <w:rsid w:val="00527774"/>
    <w:rsid w:val="00527F3F"/>
    <w:rsid w:val="00530DA9"/>
    <w:rsid w:val="0053146A"/>
    <w:rsid w:val="00531C39"/>
    <w:rsid w:val="00531FEC"/>
    <w:rsid w:val="00532F16"/>
    <w:rsid w:val="00533CBA"/>
    <w:rsid w:val="00534B6F"/>
    <w:rsid w:val="00536F6E"/>
    <w:rsid w:val="005373C3"/>
    <w:rsid w:val="00537CE7"/>
    <w:rsid w:val="00537FE0"/>
    <w:rsid w:val="00541323"/>
    <w:rsid w:val="005418B5"/>
    <w:rsid w:val="005427FA"/>
    <w:rsid w:val="00543E6B"/>
    <w:rsid w:val="00543EDF"/>
    <w:rsid w:val="0054419A"/>
    <w:rsid w:val="0054458C"/>
    <w:rsid w:val="005451F8"/>
    <w:rsid w:val="00547148"/>
    <w:rsid w:val="005502B1"/>
    <w:rsid w:val="00550410"/>
    <w:rsid w:val="005505A6"/>
    <w:rsid w:val="00551B96"/>
    <w:rsid w:val="00551C43"/>
    <w:rsid w:val="00551C50"/>
    <w:rsid w:val="0055254A"/>
    <w:rsid w:val="00553241"/>
    <w:rsid w:val="00553B55"/>
    <w:rsid w:val="00554546"/>
    <w:rsid w:val="00555C0C"/>
    <w:rsid w:val="0055632F"/>
    <w:rsid w:val="005564EC"/>
    <w:rsid w:val="00556585"/>
    <w:rsid w:val="00556800"/>
    <w:rsid w:val="00562AB8"/>
    <w:rsid w:val="00563206"/>
    <w:rsid w:val="00563B7A"/>
    <w:rsid w:val="00564F0F"/>
    <w:rsid w:val="005663FC"/>
    <w:rsid w:val="005674D0"/>
    <w:rsid w:val="005676A9"/>
    <w:rsid w:val="00571594"/>
    <w:rsid w:val="005725E4"/>
    <w:rsid w:val="00572E94"/>
    <w:rsid w:val="00573EBA"/>
    <w:rsid w:val="00574F79"/>
    <w:rsid w:val="00575B4E"/>
    <w:rsid w:val="00575CDA"/>
    <w:rsid w:val="00576405"/>
    <w:rsid w:val="005769A1"/>
    <w:rsid w:val="00577299"/>
    <w:rsid w:val="00577C99"/>
    <w:rsid w:val="00580122"/>
    <w:rsid w:val="0058234F"/>
    <w:rsid w:val="00583241"/>
    <w:rsid w:val="00583DE2"/>
    <w:rsid w:val="0058497B"/>
    <w:rsid w:val="00585517"/>
    <w:rsid w:val="00585D0A"/>
    <w:rsid w:val="00585D54"/>
    <w:rsid w:val="005863D6"/>
    <w:rsid w:val="0058685A"/>
    <w:rsid w:val="00587149"/>
    <w:rsid w:val="0058735D"/>
    <w:rsid w:val="00587DF5"/>
    <w:rsid w:val="0059341B"/>
    <w:rsid w:val="005941B5"/>
    <w:rsid w:val="00594746"/>
    <w:rsid w:val="00594ACB"/>
    <w:rsid w:val="00595900"/>
    <w:rsid w:val="00595E4F"/>
    <w:rsid w:val="00596721"/>
    <w:rsid w:val="00596B4D"/>
    <w:rsid w:val="005A20D6"/>
    <w:rsid w:val="005A3C81"/>
    <w:rsid w:val="005A4352"/>
    <w:rsid w:val="005A4E4A"/>
    <w:rsid w:val="005A5407"/>
    <w:rsid w:val="005A55A3"/>
    <w:rsid w:val="005B09B7"/>
    <w:rsid w:val="005B1757"/>
    <w:rsid w:val="005B1C52"/>
    <w:rsid w:val="005B2119"/>
    <w:rsid w:val="005B2E5B"/>
    <w:rsid w:val="005B34C3"/>
    <w:rsid w:val="005B3D20"/>
    <w:rsid w:val="005B40FD"/>
    <w:rsid w:val="005B4A9C"/>
    <w:rsid w:val="005B5883"/>
    <w:rsid w:val="005B6AC4"/>
    <w:rsid w:val="005B6AEB"/>
    <w:rsid w:val="005B6D22"/>
    <w:rsid w:val="005B722C"/>
    <w:rsid w:val="005B75CB"/>
    <w:rsid w:val="005C1CD1"/>
    <w:rsid w:val="005C2210"/>
    <w:rsid w:val="005C2BA3"/>
    <w:rsid w:val="005C2D8D"/>
    <w:rsid w:val="005C6745"/>
    <w:rsid w:val="005C68D3"/>
    <w:rsid w:val="005C6D00"/>
    <w:rsid w:val="005D1832"/>
    <w:rsid w:val="005D2D42"/>
    <w:rsid w:val="005D342A"/>
    <w:rsid w:val="005D44E4"/>
    <w:rsid w:val="005D5200"/>
    <w:rsid w:val="005D5553"/>
    <w:rsid w:val="005D567E"/>
    <w:rsid w:val="005D6B21"/>
    <w:rsid w:val="005D6E84"/>
    <w:rsid w:val="005D7034"/>
    <w:rsid w:val="005D7B50"/>
    <w:rsid w:val="005D7E33"/>
    <w:rsid w:val="005E0367"/>
    <w:rsid w:val="005E051D"/>
    <w:rsid w:val="005E06C2"/>
    <w:rsid w:val="005E0B5E"/>
    <w:rsid w:val="005E0D61"/>
    <w:rsid w:val="005E13CB"/>
    <w:rsid w:val="005E20BE"/>
    <w:rsid w:val="005E266F"/>
    <w:rsid w:val="005E2AAD"/>
    <w:rsid w:val="005E37AA"/>
    <w:rsid w:val="005E3975"/>
    <w:rsid w:val="005E3D4C"/>
    <w:rsid w:val="005E6439"/>
    <w:rsid w:val="005E6A51"/>
    <w:rsid w:val="005F00CD"/>
    <w:rsid w:val="005F170A"/>
    <w:rsid w:val="005F20C9"/>
    <w:rsid w:val="005F2246"/>
    <w:rsid w:val="005F353F"/>
    <w:rsid w:val="005F4D91"/>
    <w:rsid w:val="005F54C4"/>
    <w:rsid w:val="00600FAF"/>
    <w:rsid w:val="00601B08"/>
    <w:rsid w:val="0060347D"/>
    <w:rsid w:val="00603835"/>
    <w:rsid w:val="006054AB"/>
    <w:rsid w:val="00606627"/>
    <w:rsid w:val="00606748"/>
    <w:rsid w:val="00610149"/>
    <w:rsid w:val="00610C3E"/>
    <w:rsid w:val="00610D81"/>
    <w:rsid w:val="006115B8"/>
    <w:rsid w:val="006119D3"/>
    <w:rsid w:val="00612B38"/>
    <w:rsid w:val="00612D2F"/>
    <w:rsid w:val="00613578"/>
    <w:rsid w:val="006139FC"/>
    <w:rsid w:val="00613E31"/>
    <w:rsid w:val="0061512A"/>
    <w:rsid w:val="00615176"/>
    <w:rsid w:val="00615565"/>
    <w:rsid w:val="006156D6"/>
    <w:rsid w:val="0061642E"/>
    <w:rsid w:val="006165DD"/>
    <w:rsid w:val="006176CE"/>
    <w:rsid w:val="00617C15"/>
    <w:rsid w:val="0062004F"/>
    <w:rsid w:val="00620515"/>
    <w:rsid w:val="00620586"/>
    <w:rsid w:val="00620A60"/>
    <w:rsid w:val="00622577"/>
    <w:rsid w:val="006225E6"/>
    <w:rsid w:val="00622F3D"/>
    <w:rsid w:val="0062399A"/>
    <w:rsid w:val="006239B1"/>
    <w:rsid w:val="00625326"/>
    <w:rsid w:val="00627C05"/>
    <w:rsid w:val="006310F6"/>
    <w:rsid w:val="00631C86"/>
    <w:rsid w:val="00634D58"/>
    <w:rsid w:val="00635178"/>
    <w:rsid w:val="006356BF"/>
    <w:rsid w:val="006368E1"/>
    <w:rsid w:val="00636FFF"/>
    <w:rsid w:val="00637AD7"/>
    <w:rsid w:val="00637B74"/>
    <w:rsid w:val="00640D51"/>
    <w:rsid w:val="00641563"/>
    <w:rsid w:val="00641948"/>
    <w:rsid w:val="006448BB"/>
    <w:rsid w:val="006452AA"/>
    <w:rsid w:val="00645DBA"/>
    <w:rsid w:val="0064646E"/>
    <w:rsid w:val="0064650F"/>
    <w:rsid w:val="00646EE8"/>
    <w:rsid w:val="00647613"/>
    <w:rsid w:val="006476B3"/>
    <w:rsid w:val="00647ED1"/>
    <w:rsid w:val="006504F8"/>
    <w:rsid w:val="006507D1"/>
    <w:rsid w:val="00650F67"/>
    <w:rsid w:val="0065110D"/>
    <w:rsid w:val="006523EB"/>
    <w:rsid w:val="00656432"/>
    <w:rsid w:val="0065655A"/>
    <w:rsid w:val="00656893"/>
    <w:rsid w:val="00657DF6"/>
    <w:rsid w:val="00660B2D"/>
    <w:rsid w:val="00660DCF"/>
    <w:rsid w:val="0066415B"/>
    <w:rsid w:val="006661E7"/>
    <w:rsid w:val="00667520"/>
    <w:rsid w:val="0067056E"/>
    <w:rsid w:val="006715D2"/>
    <w:rsid w:val="00672DE1"/>
    <w:rsid w:val="0067458F"/>
    <w:rsid w:val="006749EE"/>
    <w:rsid w:val="00674DDA"/>
    <w:rsid w:val="00676764"/>
    <w:rsid w:val="00677005"/>
    <w:rsid w:val="006771EF"/>
    <w:rsid w:val="00677711"/>
    <w:rsid w:val="00677768"/>
    <w:rsid w:val="00677D49"/>
    <w:rsid w:val="006808A0"/>
    <w:rsid w:val="00680982"/>
    <w:rsid w:val="00680D70"/>
    <w:rsid w:val="00680E53"/>
    <w:rsid w:val="006816B1"/>
    <w:rsid w:val="00682500"/>
    <w:rsid w:val="006836B4"/>
    <w:rsid w:val="00683891"/>
    <w:rsid w:val="00684F69"/>
    <w:rsid w:val="0068575C"/>
    <w:rsid w:val="00685789"/>
    <w:rsid w:val="006878DB"/>
    <w:rsid w:val="00690C2F"/>
    <w:rsid w:val="00691D31"/>
    <w:rsid w:val="0069249A"/>
    <w:rsid w:val="00692B70"/>
    <w:rsid w:val="006939B2"/>
    <w:rsid w:val="006939F4"/>
    <w:rsid w:val="006947B1"/>
    <w:rsid w:val="006948B8"/>
    <w:rsid w:val="006950FD"/>
    <w:rsid w:val="00695A4A"/>
    <w:rsid w:val="00696B2A"/>
    <w:rsid w:val="00697B18"/>
    <w:rsid w:val="006A000E"/>
    <w:rsid w:val="006A11DE"/>
    <w:rsid w:val="006A12AA"/>
    <w:rsid w:val="006A1E62"/>
    <w:rsid w:val="006A26C6"/>
    <w:rsid w:val="006A2918"/>
    <w:rsid w:val="006A296B"/>
    <w:rsid w:val="006A3897"/>
    <w:rsid w:val="006A3B7F"/>
    <w:rsid w:val="006A40B3"/>
    <w:rsid w:val="006A41C0"/>
    <w:rsid w:val="006A53A0"/>
    <w:rsid w:val="006A673E"/>
    <w:rsid w:val="006A799E"/>
    <w:rsid w:val="006A7D04"/>
    <w:rsid w:val="006B0C1F"/>
    <w:rsid w:val="006B25AC"/>
    <w:rsid w:val="006B4ED0"/>
    <w:rsid w:val="006B52D2"/>
    <w:rsid w:val="006B60E4"/>
    <w:rsid w:val="006B718B"/>
    <w:rsid w:val="006C05E5"/>
    <w:rsid w:val="006C0A84"/>
    <w:rsid w:val="006C12A7"/>
    <w:rsid w:val="006C25F3"/>
    <w:rsid w:val="006C27AC"/>
    <w:rsid w:val="006C27E5"/>
    <w:rsid w:val="006C2B06"/>
    <w:rsid w:val="006C372A"/>
    <w:rsid w:val="006C505F"/>
    <w:rsid w:val="006C50C3"/>
    <w:rsid w:val="006C5AD3"/>
    <w:rsid w:val="006C7247"/>
    <w:rsid w:val="006D21DC"/>
    <w:rsid w:val="006D420B"/>
    <w:rsid w:val="006D48FE"/>
    <w:rsid w:val="006D4C36"/>
    <w:rsid w:val="006D5B44"/>
    <w:rsid w:val="006D5E0D"/>
    <w:rsid w:val="006D5FA1"/>
    <w:rsid w:val="006D6D79"/>
    <w:rsid w:val="006D719C"/>
    <w:rsid w:val="006D7249"/>
    <w:rsid w:val="006D742C"/>
    <w:rsid w:val="006D78A1"/>
    <w:rsid w:val="006E01D7"/>
    <w:rsid w:val="006E0966"/>
    <w:rsid w:val="006E125E"/>
    <w:rsid w:val="006E1A9B"/>
    <w:rsid w:val="006E2179"/>
    <w:rsid w:val="006E34F4"/>
    <w:rsid w:val="006E3C21"/>
    <w:rsid w:val="006E5507"/>
    <w:rsid w:val="006E58BD"/>
    <w:rsid w:val="006E5A51"/>
    <w:rsid w:val="006E5F24"/>
    <w:rsid w:val="006E7574"/>
    <w:rsid w:val="006E7CD2"/>
    <w:rsid w:val="006E7E7A"/>
    <w:rsid w:val="006F0D98"/>
    <w:rsid w:val="006F11D0"/>
    <w:rsid w:val="006F19B5"/>
    <w:rsid w:val="006F2C27"/>
    <w:rsid w:val="006F3D2F"/>
    <w:rsid w:val="006F4434"/>
    <w:rsid w:val="006F615B"/>
    <w:rsid w:val="006F6882"/>
    <w:rsid w:val="006F6E13"/>
    <w:rsid w:val="006F71F2"/>
    <w:rsid w:val="006F7AA6"/>
    <w:rsid w:val="007031CF"/>
    <w:rsid w:val="007046A9"/>
    <w:rsid w:val="00704857"/>
    <w:rsid w:val="0070568C"/>
    <w:rsid w:val="007068B1"/>
    <w:rsid w:val="00706A96"/>
    <w:rsid w:val="00707192"/>
    <w:rsid w:val="0070763E"/>
    <w:rsid w:val="0071017B"/>
    <w:rsid w:val="00710950"/>
    <w:rsid w:val="007109B5"/>
    <w:rsid w:val="007117FC"/>
    <w:rsid w:val="007120D8"/>
    <w:rsid w:val="00713B0D"/>
    <w:rsid w:val="00716ACD"/>
    <w:rsid w:val="00717930"/>
    <w:rsid w:val="00721496"/>
    <w:rsid w:val="007216F7"/>
    <w:rsid w:val="007225BC"/>
    <w:rsid w:val="007228CD"/>
    <w:rsid w:val="00723761"/>
    <w:rsid w:val="00723BD2"/>
    <w:rsid w:val="00724011"/>
    <w:rsid w:val="00724055"/>
    <w:rsid w:val="00724959"/>
    <w:rsid w:val="00725EC9"/>
    <w:rsid w:val="0072613A"/>
    <w:rsid w:val="00726792"/>
    <w:rsid w:val="007302EB"/>
    <w:rsid w:val="007318DE"/>
    <w:rsid w:val="007326E5"/>
    <w:rsid w:val="007334E4"/>
    <w:rsid w:val="00733DC8"/>
    <w:rsid w:val="00734212"/>
    <w:rsid w:val="007346D5"/>
    <w:rsid w:val="00734929"/>
    <w:rsid w:val="0073565B"/>
    <w:rsid w:val="0074310D"/>
    <w:rsid w:val="00743B21"/>
    <w:rsid w:val="007441D4"/>
    <w:rsid w:val="00745107"/>
    <w:rsid w:val="00746EE2"/>
    <w:rsid w:val="0075068A"/>
    <w:rsid w:val="007509E3"/>
    <w:rsid w:val="0075168F"/>
    <w:rsid w:val="0075267F"/>
    <w:rsid w:val="0075400F"/>
    <w:rsid w:val="00754AF9"/>
    <w:rsid w:val="00756B6A"/>
    <w:rsid w:val="00761DDC"/>
    <w:rsid w:val="00761DF6"/>
    <w:rsid w:val="00767E19"/>
    <w:rsid w:val="007703B5"/>
    <w:rsid w:val="00770576"/>
    <w:rsid w:val="007719AC"/>
    <w:rsid w:val="00771AB6"/>
    <w:rsid w:val="007720BE"/>
    <w:rsid w:val="007732D0"/>
    <w:rsid w:val="00774B2A"/>
    <w:rsid w:val="00775254"/>
    <w:rsid w:val="0077570E"/>
    <w:rsid w:val="00776A64"/>
    <w:rsid w:val="007813DA"/>
    <w:rsid w:val="00781457"/>
    <w:rsid w:val="00781D13"/>
    <w:rsid w:val="0078225E"/>
    <w:rsid w:val="00782AEA"/>
    <w:rsid w:val="00783344"/>
    <w:rsid w:val="007846A1"/>
    <w:rsid w:val="00784839"/>
    <w:rsid w:val="00784FB8"/>
    <w:rsid w:val="0078535B"/>
    <w:rsid w:val="0078536A"/>
    <w:rsid w:val="00785564"/>
    <w:rsid w:val="0078605D"/>
    <w:rsid w:val="00787097"/>
    <w:rsid w:val="007903D1"/>
    <w:rsid w:val="00790D07"/>
    <w:rsid w:val="007915A2"/>
    <w:rsid w:val="007916D1"/>
    <w:rsid w:val="00793030"/>
    <w:rsid w:val="00793BBE"/>
    <w:rsid w:val="00794498"/>
    <w:rsid w:val="00794D65"/>
    <w:rsid w:val="00795358"/>
    <w:rsid w:val="0079536E"/>
    <w:rsid w:val="00795D79"/>
    <w:rsid w:val="0079674E"/>
    <w:rsid w:val="00797906"/>
    <w:rsid w:val="00797E16"/>
    <w:rsid w:val="007A1327"/>
    <w:rsid w:val="007A156D"/>
    <w:rsid w:val="007A1C09"/>
    <w:rsid w:val="007A26CA"/>
    <w:rsid w:val="007A2F69"/>
    <w:rsid w:val="007A3D31"/>
    <w:rsid w:val="007A3F7F"/>
    <w:rsid w:val="007A47E5"/>
    <w:rsid w:val="007A5F75"/>
    <w:rsid w:val="007A69D3"/>
    <w:rsid w:val="007A70A5"/>
    <w:rsid w:val="007B00D5"/>
    <w:rsid w:val="007B0F50"/>
    <w:rsid w:val="007B27E0"/>
    <w:rsid w:val="007B3323"/>
    <w:rsid w:val="007B3373"/>
    <w:rsid w:val="007B3F0F"/>
    <w:rsid w:val="007B4AE2"/>
    <w:rsid w:val="007B7C1A"/>
    <w:rsid w:val="007B7CEE"/>
    <w:rsid w:val="007C531F"/>
    <w:rsid w:val="007C786F"/>
    <w:rsid w:val="007D04E6"/>
    <w:rsid w:val="007D0F45"/>
    <w:rsid w:val="007D19DB"/>
    <w:rsid w:val="007D38D6"/>
    <w:rsid w:val="007D3FE7"/>
    <w:rsid w:val="007D4017"/>
    <w:rsid w:val="007D43EB"/>
    <w:rsid w:val="007D4CFC"/>
    <w:rsid w:val="007D4E2A"/>
    <w:rsid w:val="007E299E"/>
    <w:rsid w:val="007E2F93"/>
    <w:rsid w:val="007E3449"/>
    <w:rsid w:val="007E41BD"/>
    <w:rsid w:val="007E4D20"/>
    <w:rsid w:val="007E5F0E"/>
    <w:rsid w:val="007E7099"/>
    <w:rsid w:val="007E79ED"/>
    <w:rsid w:val="007E7EF3"/>
    <w:rsid w:val="007F0B41"/>
    <w:rsid w:val="007F0DBA"/>
    <w:rsid w:val="007F3EBD"/>
    <w:rsid w:val="007F5541"/>
    <w:rsid w:val="007F5DC8"/>
    <w:rsid w:val="007F64C6"/>
    <w:rsid w:val="007F7331"/>
    <w:rsid w:val="007F7550"/>
    <w:rsid w:val="008001AD"/>
    <w:rsid w:val="00800AC7"/>
    <w:rsid w:val="008014E5"/>
    <w:rsid w:val="00801515"/>
    <w:rsid w:val="00801A83"/>
    <w:rsid w:val="00801DB6"/>
    <w:rsid w:val="008036EF"/>
    <w:rsid w:val="00803ACE"/>
    <w:rsid w:val="00804031"/>
    <w:rsid w:val="00804A5C"/>
    <w:rsid w:val="00805FE1"/>
    <w:rsid w:val="008064B5"/>
    <w:rsid w:val="008068CA"/>
    <w:rsid w:val="008077C7"/>
    <w:rsid w:val="00807891"/>
    <w:rsid w:val="00807C9E"/>
    <w:rsid w:val="00811541"/>
    <w:rsid w:val="00811B9D"/>
    <w:rsid w:val="00812013"/>
    <w:rsid w:val="00812022"/>
    <w:rsid w:val="00812CFF"/>
    <w:rsid w:val="00812D71"/>
    <w:rsid w:val="00814920"/>
    <w:rsid w:val="00814A85"/>
    <w:rsid w:val="00814D12"/>
    <w:rsid w:val="008151B8"/>
    <w:rsid w:val="00815557"/>
    <w:rsid w:val="00820060"/>
    <w:rsid w:val="00820D88"/>
    <w:rsid w:val="008212C4"/>
    <w:rsid w:val="0082191D"/>
    <w:rsid w:val="008231DE"/>
    <w:rsid w:val="008235B3"/>
    <w:rsid w:val="00825342"/>
    <w:rsid w:val="00825668"/>
    <w:rsid w:val="00825FA5"/>
    <w:rsid w:val="00827371"/>
    <w:rsid w:val="00827670"/>
    <w:rsid w:val="00830EA2"/>
    <w:rsid w:val="008319CE"/>
    <w:rsid w:val="00832170"/>
    <w:rsid w:val="008328F6"/>
    <w:rsid w:val="008342B4"/>
    <w:rsid w:val="00835F3D"/>
    <w:rsid w:val="00837259"/>
    <w:rsid w:val="008373B0"/>
    <w:rsid w:val="00840C00"/>
    <w:rsid w:val="0084154A"/>
    <w:rsid w:val="00841719"/>
    <w:rsid w:val="00841C96"/>
    <w:rsid w:val="00842C83"/>
    <w:rsid w:val="00843039"/>
    <w:rsid w:val="00843443"/>
    <w:rsid w:val="00843C6A"/>
    <w:rsid w:val="00844B79"/>
    <w:rsid w:val="00845E1C"/>
    <w:rsid w:val="008469E4"/>
    <w:rsid w:val="00846B24"/>
    <w:rsid w:val="00847E2F"/>
    <w:rsid w:val="0085060C"/>
    <w:rsid w:val="0085065B"/>
    <w:rsid w:val="008506EB"/>
    <w:rsid w:val="00850ECE"/>
    <w:rsid w:val="008511D5"/>
    <w:rsid w:val="008516D0"/>
    <w:rsid w:val="00852600"/>
    <w:rsid w:val="00853150"/>
    <w:rsid w:val="00853CBF"/>
    <w:rsid w:val="00853ED1"/>
    <w:rsid w:val="00854AC4"/>
    <w:rsid w:val="00855596"/>
    <w:rsid w:val="00857BFF"/>
    <w:rsid w:val="00862637"/>
    <w:rsid w:val="0086347A"/>
    <w:rsid w:val="00863B08"/>
    <w:rsid w:val="00864516"/>
    <w:rsid w:val="008662B6"/>
    <w:rsid w:val="008666A2"/>
    <w:rsid w:val="00867488"/>
    <w:rsid w:val="00867D93"/>
    <w:rsid w:val="0087030B"/>
    <w:rsid w:val="00872E41"/>
    <w:rsid w:val="00873D45"/>
    <w:rsid w:val="00874195"/>
    <w:rsid w:val="008749D4"/>
    <w:rsid w:val="00874A95"/>
    <w:rsid w:val="00875B17"/>
    <w:rsid w:val="00876264"/>
    <w:rsid w:val="00876426"/>
    <w:rsid w:val="00876485"/>
    <w:rsid w:val="00876E33"/>
    <w:rsid w:val="0087770A"/>
    <w:rsid w:val="008779A9"/>
    <w:rsid w:val="00877DF6"/>
    <w:rsid w:val="00882551"/>
    <w:rsid w:val="00883A45"/>
    <w:rsid w:val="0088477E"/>
    <w:rsid w:val="00884A41"/>
    <w:rsid w:val="0088603F"/>
    <w:rsid w:val="00886285"/>
    <w:rsid w:val="00886D77"/>
    <w:rsid w:val="00887331"/>
    <w:rsid w:val="00887AE9"/>
    <w:rsid w:val="00887B3C"/>
    <w:rsid w:val="0089077C"/>
    <w:rsid w:val="00890CB9"/>
    <w:rsid w:val="00891ADA"/>
    <w:rsid w:val="00891B99"/>
    <w:rsid w:val="00892DE5"/>
    <w:rsid w:val="00892E2A"/>
    <w:rsid w:val="008953DA"/>
    <w:rsid w:val="00896048"/>
    <w:rsid w:val="00896320"/>
    <w:rsid w:val="00896E84"/>
    <w:rsid w:val="008A08DA"/>
    <w:rsid w:val="008A2B25"/>
    <w:rsid w:val="008A2E62"/>
    <w:rsid w:val="008A3D58"/>
    <w:rsid w:val="008A517D"/>
    <w:rsid w:val="008B014C"/>
    <w:rsid w:val="008B13FE"/>
    <w:rsid w:val="008B4B9B"/>
    <w:rsid w:val="008B5133"/>
    <w:rsid w:val="008B543F"/>
    <w:rsid w:val="008B62BB"/>
    <w:rsid w:val="008B6702"/>
    <w:rsid w:val="008B683F"/>
    <w:rsid w:val="008B6BE2"/>
    <w:rsid w:val="008B6C36"/>
    <w:rsid w:val="008C077D"/>
    <w:rsid w:val="008C0DC0"/>
    <w:rsid w:val="008C175C"/>
    <w:rsid w:val="008C4375"/>
    <w:rsid w:val="008C4F02"/>
    <w:rsid w:val="008C61B1"/>
    <w:rsid w:val="008C6581"/>
    <w:rsid w:val="008D087A"/>
    <w:rsid w:val="008D0F53"/>
    <w:rsid w:val="008D1C31"/>
    <w:rsid w:val="008D1EBB"/>
    <w:rsid w:val="008D2450"/>
    <w:rsid w:val="008D2625"/>
    <w:rsid w:val="008D2DC3"/>
    <w:rsid w:val="008D3106"/>
    <w:rsid w:val="008D3C8E"/>
    <w:rsid w:val="008D406B"/>
    <w:rsid w:val="008D433C"/>
    <w:rsid w:val="008D4D57"/>
    <w:rsid w:val="008D5490"/>
    <w:rsid w:val="008D6C27"/>
    <w:rsid w:val="008D6EE6"/>
    <w:rsid w:val="008E0181"/>
    <w:rsid w:val="008E1010"/>
    <w:rsid w:val="008E281E"/>
    <w:rsid w:val="008E2C6D"/>
    <w:rsid w:val="008E2E44"/>
    <w:rsid w:val="008E319E"/>
    <w:rsid w:val="008E3453"/>
    <w:rsid w:val="008E3599"/>
    <w:rsid w:val="008E370D"/>
    <w:rsid w:val="008E3718"/>
    <w:rsid w:val="008E3C55"/>
    <w:rsid w:val="008E4161"/>
    <w:rsid w:val="008E6A8B"/>
    <w:rsid w:val="008E7015"/>
    <w:rsid w:val="008E7A08"/>
    <w:rsid w:val="008F0C68"/>
    <w:rsid w:val="008F0D2D"/>
    <w:rsid w:val="008F1380"/>
    <w:rsid w:val="008F13B7"/>
    <w:rsid w:val="008F1D41"/>
    <w:rsid w:val="008F1D8F"/>
    <w:rsid w:val="008F2A2D"/>
    <w:rsid w:val="008F33C6"/>
    <w:rsid w:val="008F357B"/>
    <w:rsid w:val="008F3B82"/>
    <w:rsid w:val="008F4347"/>
    <w:rsid w:val="008F43A9"/>
    <w:rsid w:val="008F4C56"/>
    <w:rsid w:val="0090141E"/>
    <w:rsid w:val="009028B6"/>
    <w:rsid w:val="00902FD5"/>
    <w:rsid w:val="00903762"/>
    <w:rsid w:val="00905071"/>
    <w:rsid w:val="009050E9"/>
    <w:rsid w:val="0090757F"/>
    <w:rsid w:val="009101FC"/>
    <w:rsid w:val="00910B9D"/>
    <w:rsid w:val="00911E99"/>
    <w:rsid w:val="00912840"/>
    <w:rsid w:val="0091393F"/>
    <w:rsid w:val="009146D6"/>
    <w:rsid w:val="00915D67"/>
    <w:rsid w:val="009164AD"/>
    <w:rsid w:val="009167A7"/>
    <w:rsid w:val="00917934"/>
    <w:rsid w:val="0092002D"/>
    <w:rsid w:val="0092035B"/>
    <w:rsid w:val="00921A90"/>
    <w:rsid w:val="00921D16"/>
    <w:rsid w:val="00922272"/>
    <w:rsid w:val="00923096"/>
    <w:rsid w:val="009231AE"/>
    <w:rsid w:val="009238EA"/>
    <w:rsid w:val="00924B5B"/>
    <w:rsid w:val="00925BDF"/>
    <w:rsid w:val="009266D1"/>
    <w:rsid w:val="0093040E"/>
    <w:rsid w:val="00931EC3"/>
    <w:rsid w:val="00932695"/>
    <w:rsid w:val="00932EEB"/>
    <w:rsid w:val="00933568"/>
    <w:rsid w:val="00933CD9"/>
    <w:rsid w:val="0093499F"/>
    <w:rsid w:val="00936E05"/>
    <w:rsid w:val="00937E6F"/>
    <w:rsid w:val="00940234"/>
    <w:rsid w:val="00940D07"/>
    <w:rsid w:val="0094326D"/>
    <w:rsid w:val="009440A6"/>
    <w:rsid w:val="00944E55"/>
    <w:rsid w:val="00947056"/>
    <w:rsid w:val="00947947"/>
    <w:rsid w:val="009513CE"/>
    <w:rsid w:val="00954B7A"/>
    <w:rsid w:val="00954DFA"/>
    <w:rsid w:val="0095526E"/>
    <w:rsid w:val="00955299"/>
    <w:rsid w:val="00955339"/>
    <w:rsid w:val="00956652"/>
    <w:rsid w:val="009604B3"/>
    <w:rsid w:val="00960787"/>
    <w:rsid w:val="00961A6E"/>
    <w:rsid w:val="0096258E"/>
    <w:rsid w:val="009635B6"/>
    <w:rsid w:val="00963C17"/>
    <w:rsid w:val="0096400A"/>
    <w:rsid w:val="0096533B"/>
    <w:rsid w:val="00966606"/>
    <w:rsid w:val="00966CF7"/>
    <w:rsid w:val="00966EB9"/>
    <w:rsid w:val="0096700B"/>
    <w:rsid w:val="00967445"/>
    <w:rsid w:val="0096788C"/>
    <w:rsid w:val="0097007F"/>
    <w:rsid w:val="009713C0"/>
    <w:rsid w:val="00971949"/>
    <w:rsid w:val="00971E37"/>
    <w:rsid w:val="009720D4"/>
    <w:rsid w:val="009721D5"/>
    <w:rsid w:val="009740B7"/>
    <w:rsid w:val="0097464B"/>
    <w:rsid w:val="009750A2"/>
    <w:rsid w:val="00975379"/>
    <w:rsid w:val="009753C1"/>
    <w:rsid w:val="009755C2"/>
    <w:rsid w:val="009768A5"/>
    <w:rsid w:val="00977B82"/>
    <w:rsid w:val="00977EFB"/>
    <w:rsid w:val="00980E72"/>
    <w:rsid w:val="0098156C"/>
    <w:rsid w:val="00981E13"/>
    <w:rsid w:val="00981E71"/>
    <w:rsid w:val="009823EA"/>
    <w:rsid w:val="009824B0"/>
    <w:rsid w:val="00982608"/>
    <w:rsid w:val="009827B0"/>
    <w:rsid w:val="00983304"/>
    <w:rsid w:val="00984A4C"/>
    <w:rsid w:val="00984AE7"/>
    <w:rsid w:val="00985557"/>
    <w:rsid w:val="0098568F"/>
    <w:rsid w:val="00985B52"/>
    <w:rsid w:val="0098651C"/>
    <w:rsid w:val="0098737A"/>
    <w:rsid w:val="009878E2"/>
    <w:rsid w:val="00987EB3"/>
    <w:rsid w:val="009912E7"/>
    <w:rsid w:val="00991A39"/>
    <w:rsid w:val="0099280C"/>
    <w:rsid w:val="0099303E"/>
    <w:rsid w:val="00993388"/>
    <w:rsid w:val="00993542"/>
    <w:rsid w:val="0099375A"/>
    <w:rsid w:val="00993E35"/>
    <w:rsid w:val="00994086"/>
    <w:rsid w:val="00994698"/>
    <w:rsid w:val="0099491E"/>
    <w:rsid w:val="00994FBD"/>
    <w:rsid w:val="00995501"/>
    <w:rsid w:val="009957A7"/>
    <w:rsid w:val="00995B76"/>
    <w:rsid w:val="00995CEF"/>
    <w:rsid w:val="009962C3"/>
    <w:rsid w:val="009967B7"/>
    <w:rsid w:val="00996AD0"/>
    <w:rsid w:val="00996E32"/>
    <w:rsid w:val="009A03F8"/>
    <w:rsid w:val="009A1671"/>
    <w:rsid w:val="009A24A0"/>
    <w:rsid w:val="009A292A"/>
    <w:rsid w:val="009A3993"/>
    <w:rsid w:val="009A499B"/>
    <w:rsid w:val="009A50BD"/>
    <w:rsid w:val="009A51B4"/>
    <w:rsid w:val="009A5338"/>
    <w:rsid w:val="009A64CE"/>
    <w:rsid w:val="009A6B23"/>
    <w:rsid w:val="009A6E39"/>
    <w:rsid w:val="009A7315"/>
    <w:rsid w:val="009A75AA"/>
    <w:rsid w:val="009A7BE3"/>
    <w:rsid w:val="009A7DA6"/>
    <w:rsid w:val="009B0525"/>
    <w:rsid w:val="009B0540"/>
    <w:rsid w:val="009B06B5"/>
    <w:rsid w:val="009B12F1"/>
    <w:rsid w:val="009B3150"/>
    <w:rsid w:val="009B33AE"/>
    <w:rsid w:val="009B3EF2"/>
    <w:rsid w:val="009B64AF"/>
    <w:rsid w:val="009B7C59"/>
    <w:rsid w:val="009C04B6"/>
    <w:rsid w:val="009C13B5"/>
    <w:rsid w:val="009C5095"/>
    <w:rsid w:val="009C574B"/>
    <w:rsid w:val="009C62F3"/>
    <w:rsid w:val="009C7DB8"/>
    <w:rsid w:val="009D0B2F"/>
    <w:rsid w:val="009D0B4D"/>
    <w:rsid w:val="009D1B7C"/>
    <w:rsid w:val="009D284C"/>
    <w:rsid w:val="009D2AFA"/>
    <w:rsid w:val="009D3161"/>
    <w:rsid w:val="009D5A93"/>
    <w:rsid w:val="009D5F71"/>
    <w:rsid w:val="009D61ED"/>
    <w:rsid w:val="009D748C"/>
    <w:rsid w:val="009E056A"/>
    <w:rsid w:val="009E0571"/>
    <w:rsid w:val="009E0C28"/>
    <w:rsid w:val="009E1CBC"/>
    <w:rsid w:val="009E2B93"/>
    <w:rsid w:val="009E35AE"/>
    <w:rsid w:val="009E3F3C"/>
    <w:rsid w:val="009E4CD3"/>
    <w:rsid w:val="009E5A74"/>
    <w:rsid w:val="009E6A54"/>
    <w:rsid w:val="009E7394"/>
    <w:rsid w:val="009E77EC"/>
    <w:rsid w:val="009E7C52"/>
    <w:rsid w:val="009F20BB"/>
    <w:rsid w:val="009F5F94"/>
    <w:rsid w:val="009F6429"/>
    <w:rsid w:val="009F6A44"/>
    <w:rsid w:val="009F7234"/>
    <w:rsid w:val="009F7345"/>
    <w:rsid w:val="009F7C15"/>
    <w:rsid w:val="00A0060D"/>
    <w:rsid w:val="00A019CC"/>
    <w:rsid w:val="00A0269E"/>
    <w:rsid w:val="00A0495F"/>
    <w:rsid w:val="00A04FA1"/>
    <w:rsid w:val="00A05107"/>
    <w:rsid w:val="00A05471"/>
    <w:rsid w:val="00A07B00"/>
    <w:rsid w:val="00A1019F"/>
    <w:rsid w:val="00A10A56"/>
    <w:rsid w:val="00A10FBA"/>
    <w:rsid w:val="00A11389"/>
    <w:rsid w:val="00A1167E"/>
    <w:rsid w:val="00A12E75"/>
    <w:rsid w:val="00A136C1"/>
    <w:rsid w:val="00A13E25"/>
    <w:rsid w:val="00A14B3D"/>
    <w:rsid w:val="00A17D19"/>
    <w:rsid w:val="00A17E01"/>
    <w:rsid w:val="00A20B05"/>
    <w:rsid w:val="00A300E6"/>
    <w:rsid w:val="00A3038C"/>
    <w:rsid w:val="00A30ED6"/>
    <w:rsid w:val="00A32ABB"/>
    <w:rsid w:val="00A32D32"/>
    <w:rsid w:val="00A33A83"/>
    <w:rsid w:val="00A34292"/>
    <w:rsid w:val="00A343C8"/>
    <w:rsid w:val="00A345E0"/>
    <w:rsid w:val="00A348D0"/>
    <w:rsid w:val="00A348EC"/>
    <w:rsid w:val="00A35895"/>
    <w:rsid w:val="00A36D20"/>
    <w:rsid w:val="00A36D24"/>
    <w:rsid w:val="00A42970"/>
    <w:rsid w:val="00A43302"/>
    <w:rsid w:val="00A43B09"/>
    <w:rsid w:val="00A43FC1"/>
    <w:rsid w:val="00A44B9F"/>
    <w:rsid w:val="00A44BBF"/>
    <w:rsid w:val="00A45EA5"/>
    <w:rsid w:val="00A45ED9"/>
    <w:rsid w:val="00A4609B"/>
    <w:rsid w:val="00A46EF7"/>
    <w:rsid w:val="00A50856"/>
    <w:rsid w:val="00A51658"/>
    <w:rsid w:val="00A51661"/>
    <w:rsid w:val="00A51ECA"/>
    <w:rsid w:val="00A524D8"/>
    <w:rsid w:val="00A52A8C"/>
    <w:rsid w:val="00A5400C"/>
    <w:rsid w:val="00A54452"/>
    <w:rsid w:val="00A544F6"/>
    <w:rsid w:val="00A54F4F"/>
    <w:rsid w:val="00A56046"/>
    <w:rsid w:val="00A562F0"/>
    <w:rsid w:val="00A57714"/>
    <w:rsid w:val="00A60C0B"/>
    <w:rsid w:val="00A60CFF"/>
    <w:rsid w:val="00A615D0"/>
    <w:rsid w:val="00A62CAE"/>
    <w:rsid w:val="00A636AA"/>
    <w:rsid w:val="00A63E5A"/>
    <w:rsid w:val="00A63EB9"/>
    <w:rsid w:val="00A6420F"/>
    <w:rsid w:val="00A64785"/>
    <w:rsid w:val="00A65827"/>
    <w:rsid w:val="00A65850"/>
    <w:rsid w:val="00A65A98"/>
    <w:rsid w:val="00A671BA"/>
    <w:rsid w:val="00A70113"/>
    <w:rsid w:val="00A70844"/>
    <w:rsid w:val="00A7180B"/>
    <w:rsid w:val="00A72090"/>
    <w:rsid w:val="00A722FD"/>
    <w:rsid w:val="00A737DB"/>
    <w:rsid w:val="00A75686"/>
    <w:rsid w:val="00A75EA3"/>
    <w:rsid w:val="00A7727D"/>
    <w:rsid w:val="00A77EE1"/>
    <w:rsid w:val="00A77F99"/>
    <w:rsid w:val="00A8037C"/>
    <w:rsid w:val="00A81997"/>
    <w:rsid w:val="00A822C3"/>
    <w:rsid w:val="00A83C14"/>
    <w:rsid w:val="00A83C1D"/>
    <w:rsid w:val="00A83DF6"/>
    <w:rsid w:val="00A83E29"/>
    <w:rsid w:val="00A84D61"/>
    <w:rsid w:val="00A86028"/>
    <w:rsid w:val="00A86BAA"/>
    <w:rsid w:val="00A87311"/>
    <w:rsid w:val="00A902FD"/>
    <w:rsid w:val="00A905D6"/>
    <w:rsid w:val="00A918B4"/>
    <w:rsid w:val="00A92B60"/>
    <w:rsid w:val="00A92FE6"/>
    <w:rsid w:val="00A930FB"/>
    <w:rsid w:val="00A9497F"/>
    <w:rsid w:val="00A963EE"/>
    <w:rsid w:val="00A964EE"/>
    <w:rsid w:val="00A968BD"/>
    <w:rsid w:val="00A9722C"/>
    <w:rsid w:val="00AA012B"/>
    <w:rsid w:val="00AA09F1"/>
    <w:rsid w:val="00AA2391"/>
    <w:rsid w:val="00AA2B84"/>
    <w:rsid w:val="00AA34B9"/>
    <w:rsid w:val="00AA3D94"/>
    <w:rsid w:val="00AA3E37"/>
    <w:rsid w:val="00AA3F28"/>
    <w:rsid w:val="00AA57E5"/>
    <w:rsid w:val="00AA5E85"/>
    <w:rsid w:val="00AA6AEA"/>
    <w:rsid w:val="00AA6B12"/>
    <w:rsid w:val="00AA6EE5"/>
    <w:rsid w:val="00AA7357"/>
    <w:rsid w:val="00AB2068"/>
    <w:rsid w:val="00AB27D9"/>
    <w:rsid w:val="00AB4125"/>
    <w:rsid w:val="00AB52FF"/>
    <w:rsid w:val="00AB55B3"/>
    <w:rsid w:val="00AB5B39"/>
    <w:rsid w:val="00AB5DF9"/>
    <w:rsid w:val="00AC0498"/>
    <w:rsid w:val="00AC05A7"/>
    <w:rsid w:val="00AC0EA0"/>
    <w:rsid w:val="00AC1F8E"/>
    <w:rsid w:val="00AC2011"/>
    <w:rsid w:val="00AC28BA"/>
    <w:rsid w:val="00AC3221"/>
    <w:rsid w:val="00AC3429"/>
    <w:rsid w:val="00AC38CF"/>
    <w:rsid w:val="00AC3A61"/>
    <w:rsid w:val="00AC43E7"/>
    <w:rsid w:val="00AC4BD5"/>
    <w:rsid w:val="00AC6EC7"/>
    <w:rsid w:val="00AC7A6E"/>
    <w:rsid w:val="00AD01C2"/>
    <w:rsid w:val="00AD0478"/>
    <w:rsid w:val="00AD05E3"/>
    <w:rsid w:val="00AD1340"/>
    <w:rsid w:val="00AD206E"/>
    <w:rsid w:val="00AD2871"/>
    <w:rsid w:val="00AD321F"/>
    <w:rsid w:val="00AD3942"/>
    <w:rsid w:val="00AD3E95"/>
    <w:rsid w:val="00AD3F68"/>
    <w:rsid w:val="00AD5BF7"/>
    <w:rsid w:val="00AD5F30"/>
    <w:rsid w:val="00AD66C4"/>
    <w:rsid w:val="00AD73BF"/>
    <w:rsid w:val="00AE0DFA"/>
    <w:rsid w:val="00AE0F97"/>
    <w:rsid w:val="00AE2C61"/>
    <w:rsid w:val="00AE2D7E"/>
    <w:rsid w:val="00AE45D6"/>
    <w:rsid w:val="00AE7186"/>
    <w:rsid w:val="00AE7C04"/>
    <w:rsid w:val="00AF0FC2"/>
    <w:rsid w:val="00AF1FA0"/>
    <w:rsid w:val="00AF23EE"/>
    <w:rsid w:val="00AF2632"/>
    <w:rsid w:val="00AF3701"/>
    <w:rsid w:val="00AF48D6"/>
    <w:rsid w:val="00AF5C65"/>
    <w:rsid w:val="00AF5D15"/>
    <w:rsid w:val="00AF6077"/>
    <w:rsid w:val="00AF6C6F"/>
    <w:rsid w:val="00AF6F9B"/>
    <w:rsid w:val="00AF747E"/>
    <w:rsid w:val="00AF7833"/>
    <w:rsid w:val="00AF7BE0"/>
    <w:rsid w:val="00AF7FA6"/>
    <w:rsid w:val="00B0127A"/>
    <w:rsid w:val="00B02DEA"/>
    <w:rsid w:val="00B0343E"/>
    <w:rsid w:val="00B04028"/>
    <w:rsid w:val="00B045B7"/>
    <w:rsid w:val="00B048C1"/>
    <w:rsid w:val="00B062A6"/>
    <w:rsid w:val="00B0667E"/>
    <w:rsid w:val="00B07DBF"/>
    <w:rsid w:val="00B1089A"/>
    <w:rsid w:val="00B10DC5"/>
    <w:rsid w:val="00B11537"/>
    <w:rsid w:val="00B12235"/>
    <w:rsid w:val="00B13034"/>
    <w:rsid w:val="00B1343C"/>
    <w:rsid w:val="00B13C3E"/>
    <w:rsid w:val="00B13D38"/>
    <w:rsid w:val="00B147B8"/>
    <w:rsid w:val="00B147E1"/>
    <w:rsid w:val="00B152B7"/>
    <w:rsid w:val="00B15858"/>
    <w:rsid w:val="00B15FD5"/>
    <w:rsid w:val="00B17229"/>
    <w:rsid w:val="00B17399"/>
    <w:rsid w:val="00B17D12"/>
    <w:rsid w:val="00B21026"/>
    <w:rsid w:val="00B21586"/>
    <w:rsid w:val="00B21C3F"/>
    <w:rsid w:val="00B21FAC"/>
    <w:rsid w:val="00B2323F"/>
    <w:rsid w:val="00B23C26"/>
    <w:rsid w:val="00B23E1C"/>
    <w:rsid w:val="00B244C0"/>
    <w:rsid w:val="00B2714A"/>
    <w:rsid w:val="00B27908"/>
    <w:rsid w:val="00B30B9F"/>
    <w:rsid w:val="00B320D6"/>
    <w:rsid w:val="00B32CF7"/>
    <w:rsid w:val="00B339E7"/>
    <w:rsid w:val="00B37254"/>
    <w:rsid w:val="00B405C1"/>
    <w:rsid w:val="00B410CC"/>
    <w:rsid w:val="00B42008"/>
    <w:rsid w:val="00B42119"/>
    <w:rsid w:val="00B43326"/>
    <w:rsid w:val="00B4383F"/>
    <w:rsid w:val="00B43A65"/>
    <w:rsid w:val="00B43B34"/>
    <w:rsid w:val="00B440DE"/>
    <w:rsid w:val="00B45945"/>
    <w:rsid w:val="00B459FF"/>
    <w:rsid w:val="00B464AE"/>
    <w:rsid w:val="00B46B68"/>
    <w:rsid w:val="00B46D95"/>
    <w:rsid w:val="00B46E2C"/>
    <w:rsid w:val="00B47BBC"/>
    <w:rsid w:val="00B50612"/>
    <w:rsid w:val="00B507AB"/>
    <w:rsid w:val="00B51141"/>
    <w:rsid w:val="00B513FC"/>
    <w:rsid w:val="00B52DE3"/>
    <w:rsid w:val="00B53042"/>
    <w:rsid w:val="00B53259"/>
    <w:rsid w:val="00B53FAD"/>
    <w:rsid w:val="00B570B8"/>
    <w:rsid w:val="00B57B98"/>
    <w:rsid w:val="00B57D93"/>
    <w:rsid w:val="00B60133"/>
    <w:rsid w:val="00B6046D"/>
    <w:rsid w:val="00B60479"/>
    <w:rsid w:val="00B60B78"/>
    <w:rsid w:val="00B6162B"/>
    <w:rsid w:val="00B61789"/>
    <w:rsid w:val="00B61EE3"/>
    <w:rsid w:val="00B62BEA"/>
    <w:rsid w:val="00B635D1"/>
    <w:rsid w:val="00B63A8F"/>
    <w:rsid w:val="00B646A0"/>
    <w:rsid w:val="00B65FE4"/>
    <w:rsid w:val="00B66369"/>
    <w:rsid w:val="00B669C4"/>
    <w:rsid w:val="00B66F62"/>
    <w:rsid w:val="00B673D2"/>
    <w:rsid w:val="00B674E8"/>
    <w:rsid w:val="00B67DFC"/>
    <w:rsid w:val="00B67FA3"/>
    <w:rsid w:val="00B702B7"/>
    <w:rsid w:val="00B708AE"/>
    <w:rsid w:val="00B70A1C"/>
    <w:rsid w:val="00B70CB7"/>
    <w:rsid w:val="00B70E11"/>
    <w:rsid w:val="00B71941"/>
    <w:rsid w:val="00B727D4"/>
    <w:rsid w:val="00B728F5"/>
    <w:rsid w:val="00B72DAE"/>
    <w:rsid w:val="00B72EB1"/>
    <w:rsid w:val="00B7407A"/>
    <w:rsid w:val="00B749B2"/>
    <w:rsid w:val="00B76007"/>
    <w:rsid w:val="00B77E38"/>
    <w:rsid w:val="00B8072D"/>
    <w:rsid w:val="00B809EC"/>
    <w:rsid w:val="00B810DD"/>
    <w:rsid w:val="00B82135"/>
    <w:rsid w:val="00B82604"/>
    <w:rsid w:val="00B82F74"/>
    <w:rsid w:val="00B84A2B"/>
    <w:rsid w:val="00B84AF6"/>
    <w:rsid w:val="00B861B6"/>
    <w:rsid w:val="00B87CB2"/>
    <w:rsid w:val="00B9022C"/>
    <w:rsid w:val="00B912D8"/>
    <w:rsid w:val="00B91C72"/>
    <w:rsid w:val="00B920C2"/>
    <w:rsid w:val="00B923C2"/>
    <w:rsid w:val="00B930A5"/>
    <w:rsid w:val="00B93A94"/>
    <w:rsid w:val="00B94D21"/>
    <w:rsid w:val="00B96F89"/>
    <w:rsid w:val="00B9753D"/>
    <w:rsid w:val="00BA217D"/>
    <w:rsid w:val="00BA4EF6"/>
    <w:rsid w:val="00BA5621"/>
    <w:rsid w:val="00BA5A73"/>
    <w:rsid w:val="00BA647E"/>
    <w:rsid w:val="00BA685B"/>
    <w:rsid w:val="00BA6B81"/>
    <w:rsid w:val="00BB0239"/>
    <w:rsid w:val="00BB2FD6"/>
    <w:rsid w:val="00BB36E7"/>
    <w:rsid w:val="00BB39F8"/>
    <w:rsid w:val="00BB55E5"/>
    <w:rsid w:val="00BB5722"/>
    <w:rsid w:val="00BB623D"/>
    <w:rsid w:val="00BB6327"/>
    <w:rsid w:val="00BB68E5"/>
    <w:rsid w:val="00BB6EA4"/>
    <w:rsid w:val="00BB6F92"/>
    <w:rsid w:val="00BC01A1"/>
    <w:rsid w:val="00BC03CC"/>
    <w:rsid w:val="00BC0807"/>
    <w:rsid w:val="00BC0AF1"/>
    <w:rsid w:val="00BC1AB9"/>
    <w:rsid w:val="00BC268B"/>
    <w:rsid w:val="00BC2CC4"/>
    <w:rsid w:val="00BC3290"/>
    <w:rsid w:val="00BC3AC4"/>
    <w:rsid w:val="00BC4002"/>
    <w:rsid w:val="00BC4F12"/>
    <w:rsid w:val="00BC54B8"/>
    <w:rsid w:val="00BC5A27"/>
    <w:rsid w:val="00BC5DC4"/>
    <w:rsid w:val="00BC6ACD"/>
    <w:rsid w:val="00BC72C5"/>
    <w:rsid w:val="00BC7D7E"/>
    <w:rsid w:val="00BD0EB4"/>
    <w:rsid w:val="00BD1AD3"/>
    <w:rsid w:val="00BD385B"/>
    <w:rsid w:val="00BD50EA"/>
    <w:rsid w:val="00BD7E0C"/>
    <w:rsid w:val="00BE0218"/>
    <w:rsid w:val="00BE1394"/>
    <w:rsid w:val="00BE1B84"/>
    <w:rsid w:val="00BE1D2F"/>
    <w:rsid w:val="00BE24D2"/>
    <w:rsid w:val="00BE35E1"/>
    <w:rsid w:val="00BE3796"/>
    <w:rsid w:val="00BE5DA2"/>
    <w:rsid w:val="00BE707A"/>
    <w:rsid w:val="00BE7868"/>
    <w:rsid w:val="00BE7FD4"/>
    <w:rsid w:val="00BF0182"/>
    <w:rsid w:val="00BF04DA"/>
    <w:rsid w:val="00BF10E4"/>
    <w:rsid w:val="00BF1BB8"/>
    <w:rsid w:val="00BF1C6E"/>
    <w:rsid w:val="00BF2228"/>
    <w:rsid w:val="00BF2D84"/>
    <w:rsid w:val="00BF489E"/>
    <w:rsid w:val="00BF4A67"/>
    <w:rsid w:val="00BF4C1D"/>
    <w:rsid w:val="00BF53F8"/>
    <w:rsid w:val="00BF6D24"/>
    <w:rsid w:val="00C0077F"/>
    <w:rsid w:val="00C00EF4"/>
    <w:rsid w:val="00C018EF"/>
    <w:rsid w:val="00C01D9C"/>
    <w:rsid w:val="00C021B6"/>
    <w:rsid w:val="00C023DB"/>
    <w:rsid w:val="00C02AE0"/>
    <w:rsid w:val="00C03381"/>
    <w:rsid w:val="00C05917"/>
    <w:rsid w:val="00C05A2B"/>
    <w:rsid w:val="00C05A4D"/>
    <w:rsid w:val="00C05B53"/>
    <w:rsid w:val="00C066AA"/>
    <w:rsid w:val="00C076A1"/>
    <w:rsid w:val="00C10256"/>
    <w:rsid w:val="00C10D6E"/>
    <w:rsid w:val="00C117A0"/>
    <w:rsid w:val="00C11AF9"/>
    <w:rsid w:val="00C12102"/>
    <w:rsid w:val="00C12C56"/>
    <w:rsid w:val="00C13080"/>
    <w:rsid w:val="00C13301"/>
    <w:rsid w:val="00C13FFB"/>
    <w:rsid w:val="00C141E1"/>
    <w:rsid w:val="00C14F77"/>
    <w:rsid w:val="00C16CE3"/>
    <w:rsid w:val="00C17D38"/>
    <w:rsid w:val="00C209F0"/>
    <w:rsid w:val="00C212EE"/>
    <w:rsid w:val="00C221D5"/>
    <w:rsid w:val="00C22850"/>
    <w:rsid w:val="00C2287D"/>
    <w:rsid w:val="00C24466"/>
    <w:rsid w:val="00C250E0"/>
    <w:rsid w:val="00C256B2"/>
    <w:rsid w:val="00C25BC9"/>
    <w:rsid w:val="00C25EED"/>
    <w:rsid w:val="00C31284"/>
    <w:rsid w:val="00C3169A"/>
    <w:rsid w:val="00C31820"/>
    <w:rsid w:val="00C33C1D"/>
    <w:rsid w:val="00C33E21"/>
    <w:rsid w:val="00C34362"/>
    <w:rsid w:val="00C3488F"/>
    <w:rsid w:val="00C34A7D"/>
    <w:rsid w:val="00C35689"/>
    <w:rsid w:val="00C357E5"/>
    <w:rsid w:val="00C35FA8"/>
    <w:rsid w:val="00C36628"/>
    <w:rsid w:val="00C36BFF"/>
    <w:rsid w:val="00C41AD7"/>
    <w:rsid w:val="00C43AA0"/>
    <w:rsid w:val="00C44692"/>
    <w:rsid w:val="00C44F1F"/>
    <w:rsid w:val="00C45336"/>
    <w:rsid w:val="00C453EB"/>
    <w:rsid w:val="00C46801"/>
    <w:rsid w:val="00C469DB"/>
    <w:rsid w:val="00C46F92"/>
    <w:rsid w:val="00C5129F"/>
    <w:rsid w:val="00C52194"/>
    <w:rsid w:val="00C52853"/>
    <w:rsid w:val="00C52913"/>
    <w:rsid w:val="00C53055"/>
    <w:rsid w:val="00C53D20"/>
    <w:rsid w:val="00C54516"/>
    <w:rsid w:val="00C545B4"/>
    <w:rsid w:val="00C5461D"/>
    <w:rsid w:val="00C54B3B"/>
    <w:rsid w:val="00C55B1C"/>
    <w:rsid w:val="00C55C13"/>
    <w:rsid w:val="00C56AC7"/>
    <w:rsid w:val="00C57370"/>
    <w:rsid w:val="00C57909"/>
    <w:rsid w:val="00C608A0"/>
    <w:rsid w:val="00C6289B"/>
    <w:rsid w:val="00C63643"/>
    <w:rsid w:val="00C63C22"/>
    <w:rsid w:val="00C640E2"/>
    <w:rsid w:val="00C64759"/>
    <w:rsid w:val="00C64A89"/>
    <w:rsid w:val="00C6754F"/>
    <w:rsid w:val="00C714ED"/>
    <w:rsid w:val="00C74ACE"/>
    <w:rsid w:val="00C74C1F"/>
    <w:rsid w:val="00C751A6"/>
    <w:rsid w:val="00C76198"/>
    <w:rsid w:val="00C76C0A"/>
    <w:rsid w:val="00C7707F"/>
    <w:rsid w:val="00C77973"/>
    <w:rsid w:val="00C77C26"/>
    <w:rsid w:val="00C80F6D"/>
    <w:rsid w:val="00C82D5E"/>
    <w:rsid w:val="00C83479"/>
    <w:rsid w:val="00C8678A"/>
    <w:rsid w:val="00C8705F"/>
    <w:rsid w:val="00C904A6"/>
    <w:rsid w:val="00C90F65"/>
    <w:rsid w:val="00C911D4"/>
    <w:rsid w:val="00C912F3"/>
    <w:rsid w:val="00C9184A"/>
    <w:rsid w:val="00C9274A"/>
    <w:rsid w:val="00C93258"/>
    <w:rsid w:val="00C94821"/>
    <w:rsid w:val="00C95337"/>
    <w:rsid w:val="00C9609F"/>
    <w:rsid w:val="00CA0FB1"/>
    <w:rsid w:val="00CA1D86"/>
    <w:rsid w:val="00CA1DD3"/>
    <w:rsid w:val="00CA1E3A"/>
    <w:rsid w:val="00CA269C"/>
    <w:rsid w:val="00CA2A72"/>
    <w:rsid w:val="00CA2FC8"/>
    <w:rsid w:val="00CA2FD9"/>
    <w:rsid w:val="00CA3244"/>
    <w:rsid w:val="00CA4577"/>
    <w:rsid w:val="00CA49FD"/>
    <w:rsid w:val="00CA4A94"/>
    <w:rsid w:val="00CA52F6"/>
    <w:rsid w:val="00CA6293"/>
    <w:rsid w:val="00CA65EE"/>
    <w:rsid w:val="00CA668F"/>
    <w:rsid w:val="00CA6C0B"/>
    <w:rsid w:val="00CB1095"/>
    <w:rsid w:val="00CB1122"/>
    <w:rsid w:val="00CB25EF"/>
    <w:rsid w:val="00CB3F26"/>
    <w:rsid w:val="00CB4282"/>
    <w:rsid w:val="00CB6309"/>
    <w:rsid w:val="00CB6C37"/>
    <w:rsid w:val="00CB70E6"/>
    <w:rsid w:val="00CB7445"/>
    <w:rsid w:val="00CB7A3C"/>
    <w:rsid w:val="00CC06B0"/>
    <w:rsid w:val="00CC1156"/>
    <w:rsid w:val="00CC1162"/>
    <w:rsid w:val="00CC1D29"/>
    <w:rsid w:val="00CC1DBF"/>
    <w:rsid w:val="00CC2AED"/>
    <w:rsid w:val="00CC3BB4"/>
    <w:rsid w:val="00CC40D5"/>
    <w:rsid w:val="00CC44A8"/>
    <w:rsid w:val="00CC4E34"/>
    <w:rsid w:val="00CC5709"/>
    <w:rsid w:val="00CC69B6"/>
    <w:rsid w:val="00CC7496"/>
    <w:rsid w:val="00CC7A7F"/>
    <w:rsid w:val="00CD0EAB"/>
    <w:rsid w:val="00CD1010"/>
    <w:rsid w:val="00CD1D6B"/>
    <w:rsid w:val="00CD1F00"/>
    <w:rsid w:val="00CD530A"/>
    <w:rsid w:val="00CD641E"/>
    <w:rsid w:val="00CD6CC1"/>
    <w:rsid w:val="00CE09E4"/>
    <w:rsid w:val="00CE13BE"/>
    <w:rsid w:val="00CE1DBC"/>
    <w:rsid w:val="00CE2375"/>
    <w:rsid w:val="00CE2A81"/>
    <w:rsid w:val="00CE3461"/>
    <w:rsid w:val="00CE41DD"/>
    <w:rsid w:val="00CE423B"/>
    <w:rsid w:val="00CE423E"/>
    <w:rsid w:val="00CE48E0"/>
    <w:rsid w:val="00CE4923"/>
    <w:rsid w:val="00CE55DE"/>
    <w:rsid w:val="00CE58E9"/>
    <w:rsid w:val="00CE6F42"/>
    <w:rsid w:val="00CE7664"/>
    <w:rsid w:val="00CF0238"/>
    <w:rsid w:val="00CF1289"/>
    <w:rsid w:val="00CF15AD"/>
    <w:rsid w:val="00CF17B8"/>
    <w:rsid w:val="00CF2C0C"/>
    <w:rsid w:val="00CF3021"/>
    <w:rsid w:val="00CF3983"/>
    <w:rsid w:val="00CF4374"/>
    <w:rsid w:val="00CF4525"/>
    <w:rsid w:val="00CF4826"/>
    <w:rsid w:val="00CF55D6"/>
    <w:rsid w:val="00CF57C1"/>
    <w:rsid w:val="00CF59B0"/>
    <w:rsid w:val="00CF5CFA"/>
    <w:rsid w:val="00CF6387"/>
    <w:rsid w:val="00CF72C4"/>
    <w:rsid w:val="00CF77A8"/>
    <w:rsid w:val="00CF7B39"/>
    <w:rsid w:val="00D00312"/>
    <w:rsid w:val="00D003A7"/>
    <w:rsid w:val="00D01711"/>
    <w:rsid w:val="00D02075"/>
    <w:rsid w:val="00D02885"/>
    <w:rsid w:val="00D03641"/>
    <w:rsid w:val="00D0367C"/>
    <w:rsid w:val="00D03F05"/>
    <w:rsid w:val="00D0444D"/>
    <w:rsid w:val="00D04A91"/>
    <w:rsid w:val="00D055E6"/>
    <w:rsid w:val="00D05C99"/>
    <w:rsid w:val="00D07608"/>
    <w:rsid w:val="00D10954"/>
    <w:rsid w:val="00D10CC0"/>
    <w:rsid w:val="00D1113B"/>
    <w:rsid w:val="00D11484"/>
    <w:rsid w:val="00D117BD"/>
    <w:rsid w:val="00D12761"/>
    <w:rsid w:val="00D14603"/>
    <w:rsid w:val="00D149A4"/>
    <w:rsid w:val="00D14BB8"/>
    <w:rsid w:val="00D14D8C"/>
    <w:rsid w:val="00D15079"/>
    <w:rsid w:val="00D15E65"/>
    <w:rsid w:val="00D16511"/>
    <w:rsid w:val="00D175BD"/>
    <w:rsid w:val="00D17B7A"/>
    <w:rsid w:val="00D2009C"/>
    <w:rsid w:val="00D200EE"/>
    <w:rsid w:val="00D2039D"/>
    <w:rsid w:val="00D2090C"/>
    <w:rsid w:val="00D228AB"/>
    <w:rsid w:val="00D22ECB"/>
    <w:rsid w:val="00D23236"/>
    <w:rsid w:val="00D23E5D"/>
    <w:rsid w:val="00D2449A"/>
    <w:rsid w:val="00D254D4"/>
    <w:rsid w:val="00D2739F"/>
    <w:rsid w:val="00D27D38"/>
    <w:rsid w:val="00D27F0D"/>
    <w:rsid w:val="00D3094D"/>
    <w:rsid w:val="00D31315"/>
    <w:rsid w:val="00D31843"/>
    <w:rsid w:val="00D31F4F"/>
    <w:rsid w:val="00D32FA6"/>
    <w:rsid w:val="00D34DC4"/>
    <w:rsid w:val="00D3766A"/>
    <w:rsid w:val="00D406AF"/>
    <w:rsid w:val="00D40E09"/>
    <w:rsid w:val="00D42776"/>
    <w:rsid w:val="00D427CB"/>
    <w:rsid w:val="00D42EB1"/>
    <w:rsid w:val="00D44C02"/>
    <w:rsid w:val="00D44E63"/>
    <w:rsid w:val="00D45A1B"/>
    <w:rsid w:val="00D464BE"/>
    <w:rsid w:val="00D46A3A"/>
    <w:rsid w:val="00D46A93"/>
    <w:rsid w:val="00D470EB"/>
    <w:rsid w:val="00D4720B"/>
    <w:rsid w:val="00D476B6"/>
    <w:rsid w:val="00D501D6"/>
    <w:rsid w:val="00D50D19"/>
    <w:rsid w:val="00D51D7E"/>
    <w:rsid w:val="00D52914"/>
    <w:rsid w:val="00D53F65"/>
    <w:rsid w:val="00D53FFA"/>
    <w:rsid w:val="00D541C9"/>
    <w:rsid w:val="00D55208"/>
    <w:rsid w:val="00D56CE4"/>
    <w:rsid w:val="00D56E90"/>
    <w:rsid w:val="00D57048"/>
    <w:rsid w:val="00D600CD"/>
    <w:rsid w:val="00D61472"/>
    <w:rsid w:val="00D618BB"/>
    <w:rsid w:val="00D641F6"/>
    <w:rsid w:val="00D644F7"/>
    <w:rsid w:val="00D65D0C"/>
    <w:rsid w:val="00D67B19"/>
    <w:rsid w:val="00D70788"/>
    <w:rsid w:val="00D7080A"/>
    <w:rsid w:val="00D74126"/>
    <w:rsid w:val="00D755E4"/>
    <w:rsid w:val="00D75692"/>
    <w:rsid w:val="00D76528"/>
    <w:rsid w:val="00D76E85"/>
    <w:rsid w:val="00D774F5"/>
    <w:rsid w:val="00D77B49"/>
    <w:rsid w:val="00D77F23"/>
    <w:rsid w:val="00D77FE2"/>
    <w:rsid w:val="00D8053F"/>
    <w:rsid w:val="00D80F72"/>
    <w:rsid w:val="00D81693"/>
    <w:rsid w:val="00D81A43"/>
    <w:rsid w:val="00D81AE8"/>
    <w:rsid w:val="00D848D9"/>
    <w:rsid w:val="00D85BAF"/>
    <w:rsid w:val="00D86A39"/>
    <w:rsid w:val="00D902D3"/>
    <w:rsid w:val="00D92842"/>
    <w:rsid w:val="00D92AE4"/>
    <w:rsid w:val="00D93E4A"/>
    <w:rsid w:val="00D94C11"/>
    <w:rsid w:val="00D95C9E"/>
    <w:rsid w:val="00D96DEC"/>
    <w:rsid w:val="00D978AE"/>
    <w:rsid w:val="00DA0243"/>
    <w:rsid w:val="00DA032C"/>
    <w:rsid w:val="00DA0EB6"/>
    <w:rsid w:val="00DA133E"/>
    <w:rsid w:val="00DA160B"/>
    <w:rsid w:val="00DA31ED"/>
    <w:rsid w:val="00DA358F"/>
    <w:rsid w:val="00DA5F9E"/>
    <w:rsid w:val="00DA62D6"/>
    <w:rsid w:val="00DA6E5F"/>
    <w:rsid w:val="00DA7468"/>
    <w:rsid w:val="00DB1D7E"/>
    <w:rsid w:val="00DB1F38"/>
    <w:rsid w:val="00DB2B14"/>
    <w:rsid w:val="00DB496E"/>
    <w:rsid w:val="00DB4F95"/>
    <w:rsid w:val="00DB6E9D"/>
    <w:rsid w:val="00DB78F6"/>
    <w:rsid w:val="00DB7B70"/>
    <w:rsid w:val="00DB7D23"/>
    <w:rsid w:val="00DC083E"/>
    <w:rsid w:val="00DC239C"/>
    <w:rsid w:val="00DC23FC"/>
    <w:rsid w:val="00DC3451"/>
    <w:rsid w:val="00DC3FAD"/>
    <w:rsid w:val="00DC4988"/>
    <w:rsid w:val="00DC4BA2"/>
    <w:rsid w:val="00DC5ACB"/>
    <w:rsid w:val="00DC6C0B"/>
    <w:rsid w:val="00DC76CE"/>
    <w:rsid w:val="00DC7978"/>
    <w:rsid w:val="00DD0104"/>
    <w:rsid w:val="00DD1136"/>
    <w:rsid w:val="00DD183D"/>
    <w:rsid w:val="00DD1FA3"/>
    <w:rsid w:val="00DD3169"/>
    <w:rsid w:val="00DD472C"/>
    <w:rsid w:val="00DD4F8B"/>
    <w:rsid w:val="00DD4FF8"/>
    <w:rsid w:val="00DD5F68"/>
    <w:rsid w:val="00DD6515"/>
    <w:rsid w:val="00DD6BBE"/>
    <w:rsid w:val="00DD7525"/>
    <w:rsid w:val="00DD7A95"/>
    <w:rsid w:val="00DE09A3"/>
    <w:rsid w:val="00DE09C8"/>
    <w:rsid w:val="00DE620D"/>
    <w:rsid w:val="00DE6D76"/>
    <w:rsid w:val="00DE7D25"/>
    <w:rsid w:val="00DF033E"/>
    <w:rsid w:val="00DF27A7"/>
    <w:rsid w:val="00DF32B1"/>
    <w:rsid w:val="00DF3BF9"/>
    <w:rsid w:val="00DF3EAE"/>
    <w:rsid w:val="00DF4984"/>
    <w:rsid w:val="00DF6205"/>
    <w:rsid w:val="00DF6EC7"/>
    <w:rsid w:val="00DF6F0B"/>
    <w:rsid w:val="00DF73A4"/>
    <w:rsid w:val="00E0026E"/>
    <w:rsid w:val="00E005DE"/>
    <w:rsid w:val="00E01B4C"/>
    <w:rsid w:val="00E02008"/>
    <w:rsid w:val="00E020EE"/>
    <w:rsid w:val="00E03BF8"/>
    <w:rsid w:val="00E041C5"/>
    <w:rsid w:val="00E04260"/>
    <w:rsid w:val="00E0437A"/>
    <w:rsid w:val="00E04552"/>
    <w:rsid w:val="00E0491F"/>
    <w:rsid w:val="00E05599"/>
    <w:rsid w:val="00E057DC"/>
    <w:rsid w:val="00E06069"/>
    <w:rsid w:val="00E06374"/>
    <w:rsid w:val="00E06ABB"/>
    <w:rsid w:val="00E073A2"/>
    <w:rsid w:val="00E073BE"/>
    <w:rsid w:val="00E07F7A"/>
    <w:rsid w:val="00E11245"/>
    <w:rsid w:val="00E121EB"/>
    <w:rsid w:val="00E1238B"/>
    <w:rsid w:val="00E12417"/>
    <w:rsid w:val="00E130FA"/>
    <w:rsid w:val="00E1407E"/>
    <w:rsid w:val="00E14666"/>
    <w:rsid w:val="00E15AA6"/>
    <w:rsid w:val="00E16AD3"/>
    <w:rsid w:val="00E20DD8"/>
    <w:rsid w:val="00E211BA"/>
    <w:rsid w:val="00E23099"/>
    <w:rsid w:val="00E230B9"/>
    <w:rsid w:val="00E24318"/>
    <w:rsid w:val="00E24838"/>
    <w:rsid w:val="00E24990"/>
    <w:rsid w:val="00E2578E"/>
    <w:rsid w:val="00E30519"/>
    <w:rsid w:val="00E308BD"/>
    <w:rsid w:val="00E3099E"/>
    <w:rsid w:val="00E3177D"/>
    <w:rsid w:val="00E31CAF"/>
    <w:rsid w:val="00E32944"/>
    <w:rsid w:val="00E32FDF"/>
    <w:rsid w:val="00E34343"/>
    <w:rsid w:val="00E34B87"/>
    <w:rsid w:val="00E350AA"/>
    <w:rsid w:val="00E373C3"/>
    <w:rsid w:val="00E40476"/>
    <w:rsid w:val="00E4048C"/>
    <w:rsid w:val="00E40AEC"/>
    <w:rsid w:val="00E40B16"/>
    <w:rsid w:val="00E40DC3"/>
    <w:rsid w:val="00E40F15"/>
    <w:rsid w:val="00E41622"/>
    <w:rsid w:val="00E43208"/>
    <w:rsid w:val="00E43A2B"/>
    <w:rsid w:val="00E43C11"/>
    <w:rsid w:val="00E43EF6"/>
    <w:rsid w:val="00E44167"/>
    <w:rsid w:val="00E444A9"/>
    <w:rsid w:val="00E446DC"/>
    <w:rsid w:val="00E4664C"/>
    <w:rsid w:val="00E46AAA"/>
    <w:rsid w:val="00E47839"/>
    <w:rsid w:val="00E47BB3"/>
    <w:rsid w:val="00E50EBB"/>
    <w:rsid w:val="00E51640"/>
    <w:rsid w:val="00E51BAA"/>
    <w:rsid w:val="00E54540"/>
    <w:rsid w:val="00E54E7C"/>
    <w:rsid w:val="00E5591D"/>
    <w:rsid w:val="00E56E89"/>
    <w:rsid w:val="00E604EE"/>
    <w:rsid w:val="00E6150D"/>
    <w:rsid w:val="00E61695"/>
    <w:rsid w:val="00E61D3F"/>
    <w:rsid w:val="00E630D7"/>
    <w:rsid w:val="00E640AE"/>
    <w:rsid w:val="00E64A0F"/>
    <w:rsid w:val="00E66C03"/>
    <w:rsid w:val="00E66E98"/>
    <w:rsid w:val="00E67223"/>
    <w:rsid w:val="00E67448"/>
    <w:rsid w:val="00E67918"/>
    <w:rsid w:val="00E67D0A"/>
    <w:rsid w:val="00E7071D"/>
    <w:rsid w:val="00E7079D"/>
    <w:rsid w:val="00E72821"/>
    <w:rsid w:val="00E72CAE"/>
    <w:rsid w:val="00E7335A"/>
    <w:rsid w:val="00E74A1A"/>
    <w:rsid w:val="00E757A6"/>
    <w:rsid w:val="00E75E17"/>
    <w:rsid w:val="00E76E9E"/>
    <w:rsid w:val="00E772D7"/>
    <w:rsid w:val="00E77578"/>
    <w:rsid w:val="00E80147"/>
    <w:rsid w:val="00E812D9"/>
    <w:rsid w:val="00E81E30"/>
    <w:rsid w:val="00E8282F"/>
    <w:rsid w:val="00E82B96"/>
    <w:rsid w:val="00E84289"/>
    <w:rsid w:val="00E8429C"/>
    <w:rsid w:val="00E84627"/>
    <w:rsid w:val="00E84B15"/>
    <w:rsid w:val="00E84CB3"/>
    <w:rsid w:val="00E86289"/>
    <w:rsid w:val="00E8681D"/>
    <w:rsid w:val="00E870F9"/>
    <w:rsid w:val="00E877FF"/>
    <w:rsid w:val="00E87898"/>
    <w:rsid w:val="00E87D6D"/>
    <w:rsid w:val="00E91337"/>
    <w:rsid w:val="00E919FC"/>
    <w:rsid w:val="00E931D4"/>
    <w:rsid w:val="00E93CC9"/>
    <w:rsid w:val="00E9650F"/>
    <w:rsid w:val="00EA018B"/>
    <w:rsid w:val="00EA07C6"/>
    <w:rsid w:val="00EA11C6"/>
    <w:rsid w:val="00EA1271"/>
    <w:rsid w:val="00EA2062"/>
    <w:rsid w:val="00EA2442"/>
    <w:rsid w:val="00EA285D"/>
    <w:rsid w:val="00EA2B6F"/>
    <w:rsid w:val="00EA3B0B"/>
    <w:rsid w:val="00EA519C"/>
    <w:rsid w:val="00EA586D"/>
    <w:rsid w:val="00EA6015"/>
    <w:rsid w:val="00EA6541"/>
    <w:rsid w:val="00EA7F34"/>
    <w:rsid w:val="00EB05CC"/>
    <w:rsid w:val="00EB06BF"/>
    <w:rsid w:val="00EB10AC"/>
    <w:rsid w:val="00EB124A"/>
    <w:rsid w:val="00EB2282"/>
    <w:rsid w:val="00EB3149"/>
    <w:rsid w:val="00EB37A5"/>
    <w:rsid w:val="00EB37DB"/>
    <w:rsid w:val="00EB3870"/>
    <w:rsid w:val="00EB65CA"/>
    <w:rsid w:val="00EB79AD"/>
    <w:rsid w:val="00EB7E42"/>
    <w:rsid w:val="00EC1BFC"/>
    <w:rsid w:val="00EC24B1"/>
    <w:rsid w:val="00EC3482"/>
    <w:rsid w:val="00EC388D"/>
    <w:rsid w:val="00EC4C68"/>
    <w:rsid w:val="00EC628A"/>
    <w:rsid w:val="00EC66DC"/>
    <w:rsid w:val="00EC76F1"/>
    <w:rsid w:val="00EC78BC"/>
    <w:rsid w:val="00ED0899"/>
    <w:rsid w:val="00ED74FC"/>
    <w:rsid w:val="00EE2CB2"/>
    <w:rsid w:val="00EE386C"/>
    <w:rsid w:val="00EE6647"/>
    <w:rsid w:val="00EE66B7"/>
    <w:rsid w:val="00EE6839"/>
    <w:rsid w:val="00EE75F9"/>
    <w:rsid w:val="00EF17F6"/>
    <w:rsid w:val="00EF1C6B"/>
    <w:rsid w:val="00EF32E0"/>
    <w:rsid w:val="00EF3792"/>
    <w:rsid w:val="00EF459D"/>
    <w:rsid w:val="00EF4606"/>
    <w:rsid w:val="00EF4BCB"/>
    <w:rsid w:val="00EF7C30"/>
    <w:rsid w:val="00F00D23"/>
    <w:rsid w:val="00F023A6"/>
    <w:rsid w:val="00F03CA9"/>
    <w:rsid w:val="00F03E42"/>
    <w:rsid w:val="00F0480E"/>
    <w:rsid w:val="00F053F8"/>
    <w:rsid w:val="00F067A8"/>
    <w:rsid w:val="00F07AED"/>
    <w:rsid w:val="00F1018B"/>
    <w:rsid w:val="00F105CB"/>
    <w:rsid w:val="00F10EEC"/>
    <w:rsid w:val="00F10F84"/>
    <w:rsid w:val="00F114DD"/>
    <w:rsid w:val="00F11883"/>
    <w:rsid w:val="00F12199"/>
    <w:rsid w:val="00F12304"/>
    <w:rsid w:val="00F126DE"/>
    <w:rsid w:val="00F12F94"/>
    <w:rsid w:val="00F13016"/>
    <w:rsid w:val="00F13595"/>
    <w:rsid w:val="00F13EAC"/>
    <w:rsid w:val="00F15669"/>
    <w:rsid w:val="00F1579F"/>
    <w:rsid w:val="00F1588A"/>
    <w:rsid w:val="00F16FE0"/>
    <w:rsid w:val="00F1737C"/>
    <w:rsid w:val="00F17A5C"/>
    <w:rsid w:val="00F21600"/>
    <w:rsid w:val="00F21D21"/>
    <w:rsid w:val="00F22567"/>
    <w:rsid w:val="00F229FC"/>
    <w:rsid w:val="00F24174"/>
    <w:rsid w:val="00F24327"/>
    <w:rsid w:val="00F24394"/>
    <w:rsid w:val="00F24789"/>
    <w:rsid w:val="00F24935"/>
    <w:rsid w:val="00F24AFB"/>
    <w:rsid w:val="00F2543D"/>
    <w:rsid w:val="00F2555A"/>
    <w:rsid w:val="00F26CD3"/>
    <w:rsid w:val="00F32653"/>
    <w:rsid w:val="00F3280E"/>
    <w:rsid w:val="00F33071"/>
    <w:rsid w:val="00F33BCD"/>
    <w:rsid w:val="00F35120"/>
    <w:rsid w:val="00F3549F"/>
    <w:rsid w:val="00F35F45"/>
    <w:rsid w:val="00F36337"/>
    <w:rsid w:val="00F36CD5"/>
    <w:rsid w:val="00F3751D"/>
    <w:rsid w:val="00F37813"/>
    <w:rsid w:val="00F40799"/>
    <w:rsid w:val="00F416C3"/>
    <w:rsid w:val="00F41A4B"/>
    <w:rsid w:val="00F41FE4"/>
    <w:rsid w:val="00F44DD1"/>
    <w:rsid w:val="00F450C7"/>
    <w:rsid w:val="00F46C0A"/>
    <w:rsid w:val="00F473A8"/>
    <w:rsid w:val="00F47629"/>
    <w:rsid w:val="00F50878"/>
    <w:rsid w:val="00F51FCF"/>
    <w:rsid w:val="00F5356E"/>
    <w:rsid w:val="00F552BF"/>
    <w:rsid w:val="00F572BE"/>
    <w:rsid w:val="00F576E8"/>
    <w:rsid w:val="00F57EC8"/>
    <w:rsid w:val="00F626A4"/>
    <w:rsid w:val="00F6290E"/>
    <w:rsid w:val="00F62C21"/>
    <w:rsid w:val="00F670AD"/>
    <w:rsid w:val="00F67196"/>
    <w:rsid w:val="00F70623"/>
    <w:rsid w:val="00F706CE"/>
    <w:rsid w:val="00F71034"/>
    <w:rsid w:val="00F72D03"/>
    <w:rsid w:val="00F7317C"/>
    <w:rsid w:val="00F737E4"/>
    <w:rsid w:val="00F73A4C"/>
    <w:rsid w:val="00F74337"/>
    <w:rsid w:val="00F7457C"/>
    <w:rsid w:val="00F74771"/>
    <w:rsid w:val="00F74C92"/>
    <w:rsid w:val="00F74CAF"/>
    <w:rsid w:val="00F75345"/>
    <w:rsid w:val="00F75D03"/>
    <w:rsid w:val="00F77887"/>
    <w:rsid w:val="00F80615"/>
    <w:rsid w:val="00F81401"/>
    <w:rsid w:val="00F81791"/>
    <w:rsid w:val="00F81990"/>
    <w:rsid w:val="00F81CDD"/>
    <w:rsid w:val="00F82131"/>
    <w:rsid w:val="00F82686"/>
    <w:rsid w:val="00F82CAE"/>
    <w:rsid w:val="00F834D5"/>
    <w:rsid w:val="00F8542A"/>
    <w:rsid w:val="00F859BF"/>
    <w:rsid w:val="00F85BF9"/>
    <w:rsid w:val="00F85E7E"/>
    <w:rsid w:val="00F87F8E"/>
    <w:rsid w:val="00F91691"/>
    <w:rsid w:val="00F91C38"/>
    <w:rsid w:val="00F92363"/>
    <w:rsid w:val="00F925C4"/>
    <w:rsid w:val="00F9271C"/>
    <w:rsid w:val="00F92B88"/>
    <w:rsid w:val="00F94C02"/>
    <w:rsid w:val="00F95598"/>
    <w:rsid w:val="00F95FB5"/>
    <w:rsid w:val="00F96942"/>
    <w:rsid w:val="00FA1F41"/>
    <w:rsid w:val="00FA2504"/>
    <w:rsid w:val="00FA295E"/>
    <w:rsid w:val="00FA4769"/>
    <w:rsid w:val="00FA5AA8"/>
    <w:rsid w:val="00FA7C29"/>
    <w:rsid w:val="00FB2D73"/>
    <w:rsid w:val="00FB4DE0"/>
    <w:rsid w:val="00FB59C3"/>
    <w:rsid w:val="00FB679D"/>
    <w:rsid w:val="00FB694C"/>
    <w:rsid w:val="00FB7A3E"/>
    <w:rsid w:val="00FC0103"/>
    <w:rsid w:val="00FC224E"/>
    <w:rsid w:val="00FC247E"/>
    <w:rsid w:val="00FC2BB5"/>
    <w:rsid w:val="00FC374F"/>
    <w:rsid w:val="00FC56A9"/>
    <w:rsid w:val="00FC5F90"/>
    <w:rsid w:val="00FC5FEC"/>
    <w:rsid w:val="00FC6598"/>
    <w:rsid w:val="00FC68A3"/>
    <w:rsid w:val="00FC6F8A"/>
    <w:rsid w:val="00FC7A08"/>
    <w:rsid w:val="00FD1625"/>
    <w:rsid w:val="00FD182A"/>
    <w:rsid w:val="00FD1C40"/>
    <w:rsid w:val="00FD2CE7"/>
    <w:rsid w:val="00FD384C"/>
    <w:rsid w:val="00FD40A5"/>
    <w:rsid w:val="00FD4FB6"/>
    <w:rsid w:val="00FD54E1"/>
    <w:rsid w:val="00FD5E57"/>
    <w:rsid w:val="00FD6FA4"/>
    <w:rsid w:val="00FE1532"/>
    <w:rsid w:val="00FE1D57"/>
    <w:rsid w:val="00FE25AC"/>
    <w:rsid w:val="00FE3247"/>
    <w:rsid w:val="00FE3BB7"/>
    <w:rsid w:val="00FE4C6F"/>
    <w:rsid w:val="00FE558C"/>
    <w:rsid w:val="00FE59A4"/>
    <w:rsid w:val="00FE603F"/>
    <w:rsid w:val="00FE7244"/>
    <w:rsid w:val="00FE782E"/>
    <w:rsid w:val="00FF093B"/>
    <w:rsid w:val="00FF1292"/>
    <w:rsid w:val="00FF3A9E"/>
    <w:rsid w:val="00FF402D"/>
    <w:rsid w:val="00FF4C9E"/>
    <w:rsid w:val="00FF5093"/>
    <w:rsid w:val="00FF55D4"/>
    <w:rsid w:val="00FF5642"/>
    <w:rsid w:val="00FF565D"/>
    <w:rsid w:val="00FF7459"/>
    <w:rsid w:val="00FF7B5C"/>
    <w:rsid w:val="00FF7BD9"/>
    <w:rsid w:val="00FF7F4B"/>
    <w:rsid w:val="014D9258"/>
    <w:rsid w:val="0161EA8D"/>
    <w:rsid w:val="01A3B394"/>
    <w:rsid w:val="05E732BE"/>
    <w:rsid w:val="09563B5B"/>
    <w:rsid w:val="0A7505AE"/>
    <w:rsid w:val="0BFE1867"/>
    <w:rsid w:val="0CFBE012"/>
    <w:rsid w:val="0D2571E0"/>
    <w:rsid w:val="0DF01A91"/>
    <w:rsid w:val="0E962FE8"/>
    <w:rsid w:val="128F1C9E"/>
    <w:rsid w:val="12981AB7"/>
    <w:rsid w:val="14043C26"/>
    <w:rsid w:val="148C0B6F"/>
    <w:rsid w:val="16B222CF"/>
    <w:rsid w:val="1806D33A"/>
    <w:rsid w:val="198A22C6"/>
    <w:rsid w:val="1E9F94CE"/>
    <w:rsid w:val="225E4884"/>
    <w:rsid w:val="2507780E"/>
    <w:rsid w:val="29EA9B5E"/>
    <w:rsid w:val="2BCC9B8D"/>
    <w:rsid w:val="2E486747"/>
    <w:rsid w:val="2E5ABDB3"/>
    <w:rsid w:val="2E94BFEB"/>
    <w:rsid w:val="2F0CB94C"/>
    <w:rsid w:val="2F52C143"/>
    <w:rsid w:val="33B3DCBE"/>
    <w:rsid w:val="35556316"/>
    <w:rsid w:val="3A59E98C"/>
    <w:rsid w:val="3A8F8D09"/>
    <w:rsid w:val="3E252C81"/>
    <w:rsid w:val="3FC853FA"/>
    <w:rsid w:val="427DCBA1"/>
    <w:rsid w:val="48585D7B"/>
    <w:rsid w:val="4898BAB5"/>
    <w:rsid w:val="48A206C3"/>
    <w:rsid w:val="4CF8BD21"/>
    <w:rsid w:val="5719E258"/>
    <w:rsid w:val="59D41839"/>
    <w:rsid w:val="5C66CEF4"/>
    <w:rsid w:val="60DD24A1"/>
    <w:rsid w:val="62723891"/>
    <w:rsid w:val="62BDFE30"/>
    <w:rsid w:val="63197085"/>
    <w:rsid w:val="63463EA5"/>
    <w:rsid w:val="657C52E2"/>
    <w:rsid w:val="6AEDA9C6"/>
    <w:rsid w:val="6B79E008"/>
    <w:rsid w:val="6BBDE3F4"/>
    <w:rsid w:val="70E5DDF4"/>
    <w:rsid w:val="72F58504"/>
    <w:rsid w:val="7442D2A7"/>
    <w:rsid w:val="74A0BBC8"/>
    <w:rsid w:val="79DEBF53"/>
    <w:rsid w:val="79E61577"/>
    <w:rsid w:val="7D6505F8"/>
    <w:rsid w:val="7E1B5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F6956"/>
  <w15:docId w15:val="{B9786097-2576-4C7B-B302-E764CCDF4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1D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1D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01D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D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1D9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01D9C"/>
    <w:rPr>
      <w:rFonts w:ascii="Times New Roman" w:eastAsia="Times New Roman" w:hAnsi="Times New Roman" w:cs="Times New Roman"/>
      <w:b/>
      <w:bCs/>
      <w:sz w:val="24"/>
      <w:szCs w:val="24"/>
    </w:rPr>
  </w:style>
  <w:style w:type="character" w:styleId="Emphasis">
    <w:name w:val="Emphasis"/>
    <w:basedOn w:val="DefaultParagraphFont"/>
    <w:uiPriority w:val="20"/>
    <w:qFormat/>
    <w:rsid w:val="00C01D9C"/>
    <w:rPr>
      <w:i/>
      <w:iCs/>
    </w:rPr>
  </w:style>
  <w:style w:type="paragraph" w:styleId="NormalWeb">
    <w:name w:val="Normal (Web)"/>
    <w:basedOn w:val="Normal"/>
    <w:uiPriority w:val="99"/>
    <w:unhideWhenUsed/>
    <w:rsid w:val="00C01D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01D9C"/>
    <w:rPr>
      <w:color w:val="0000FF" w:themeColor="hyperlink"/>
      <w:u w:val="single"/>
    </w:rPr>
  </w:style>
  <w:style w:type="paragraph" w:styleId="ListParagraph">
    <w:name w:val="List Paragraph"/>
    <w:basedOn w:val="Normal"/>
    <w:uiPriority w:val="34"/>
    <w:qFormat/>
    <w:rsid w:val="00C01D9C"/>
    <w:pPr>
      <w:ind w:left="720"/>
      <w:contextualSpacing/>
    </w:pPr>
  </w:style>
  <w:style w:type="paragraph" w:customStyle="1" w:styleId="ICCENormalText1stparagraph">
    <w:name w:val="ICCE Normal Text (1st paragraph)"/>
    <w:basedOn w:val="Normal"/>
    <w:rsid w:val="00456BDE"/>
    <w:pPr>
      <w:overflowPunct w:val="0"/>
      <w:autoSpaceDE w:val="0"/>
      <w:autoSpaceDN w:val="0"/>
      <w:adjustRightInd w:val="0"/>
      <w:spacing w:after="0" w:line="240" w:lineRule="auto"/>
      <w:jc w:val="both"/>
      <w:textAlignment w:val="baseline"/>
    </w:pPr>
    <w:rPr>
      <w:rFonts w:ascii="Times New Roman" w:eastAsia="PMingLiU" w:hAnsi="Times New Roman" w:cs="Times New Roman"/>
      <w:sz w:val="24"/>
      <w:szCs w:val="24"/>
      <w:lang w:eastAsia="en-US"/>
    </w:rPr>
  </w:style>
  <w:style w:type="character" w:styleId="CommentReference">
    <w:name w:val="annotation reference"/>
    <w:uiPriority w:val="99"/>
    <w:semiHidden/>
    <w:unhideWhenUsed/>
    <w:rsid w:val="00875B17"/>
    <w:rPr>
      <w:sz w:val="16"/>
      <w:szCs w:val="16"/>
    </w:rPr>
  </w:style>
  <w:style w:type="paragraph" w:styleId="CommentText">
    <w:name w:val="annotation text"/>
    <w:basedOn w:val="Normal"/>
    <w:link w:val="CommentTextChar"/>
    <w:uiPriority w:val="99"/>
    <w:unhideWhenUsed/>
    <w:rsid w:val="00875B17"/>
    <w:pPr>
      <w:spacing w:after="0" w:line="240" w:lineRule="auto"/>
      <w:ind w:left="924" w:hanging="357"/>
      <w:jc w:val="both"/>
    </w:pPr>
    <w:rPr>
      <w:rFonts w:ascii="Times New Roman" w:eastAsia="PMingLiU" w:hAnsi="Times New Roman" w:cs="Times New Roman"/>
      <w:sz w:val="20"/>
      <w:szCs w:val="20"/>
    </w:rPr>
  </w:style>
  <w:style w:type="character" w:customStyle="1" w:styleId="CommentTextChar">
    <w:name w:val="Comment Text Char"/>
    <w:basedOn w:val="DefaultParagraphFont"/>
    <w:link w:val="CommentText"/>
    <w:uiPriority w:val="99"/>
    <w:rsid w:val="00875B17"/>
    <w:rPr>
      <w:rFonts w:ascii="Times New Roman" w:eastAsia="PMingLiU" w:hAnsi="Times New Roman" w:cs="Times New Roman"/>
      <w:sz w:val="20"/>
      <w:szCs w:val="20"/>
    </w:rPr>
  </w:style>
  <w:style w:type="character" w:styleId="UnresolvedMention">
    <w:name w:val="Unresolved Mention"/>
    <w:basedOn w:val="DefaultParagraphFont"/>
    <w:uiPriority w:val="99"/>
    <w:semiHidden/>
    <w:unhideWhenUsed/>
    <w:rsid w:val="00D80F72"/>
    <w:rPr>
      <w:color w:val="605E5C"/>
      <w:shd w:val="clear" w:color="auto" w:fill="E1DFDD"/>
    </w:rPr>
  </w:style>
  <w:style w:type="paragraph" w:styleId="Revision">
    <w:name w:val="Revision"/>
    <w:hidden/>
    <w:uiPriority w:val="99"/>
    <w:semiHidden/>
    <w:rsid w:val="00CC4E34"/>
    <w:pPr>
      <w:spacing w:after="0" w:line="240" w:lineRule="auto"/>
    </w:pPr>
  </w:style>
  <w:style w:type="paragraph" w:styleId="CommentSubject">
    <w:name w:val="annotation subject"/>
    <w:basedOn w:val="CommentText"/>
    <w:next w:val="CommentText"/>
    <w:link w:val="CommentSubjectChar"/>
    <w:uiPriority w:val="99"/>
    <w:semiHidden/>
    <w:unhideWhenUsed/>
    <w:rsid w:val="00CC4E34"/>
    <w:pPr>
      <w:spacing w:after="200"/>
      <w:ind w:left="0" w:firstLine="0"/>
      <w:jc w:val="left"/>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CC4E34"/>
    <w:rPr>
      <w:rFonts w:ascii="Times New Roman" w:eastAsia="PMingLiU" w:hAnsi="Times New Roman" w:cs="Times New Roman"/>
      <w:b/>
      <w:bCs/>
      <w:sz w:val="20"/>
      <w:szCs w:val="20"/>
    </w:rPr>
  </w:style>
  <w:style w:type="table" w:styleId="TableGrid">
    <w:name w:val="Table Grid"/>
    <w:basedOn w:val="TableNormal"/>
    <w:uiPriority w:val="39"/>
    <w:rsid w:val="001A1A6B"/>
    <w:pPr>
      <w:spacing w:after="0" w:line="240" w:lineRule="auto"/>
    </w:pPr>
    <w:rPr>
      <w:rFonts w:eastAsia="Calibri"/>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D53F65"/>
    <w:pPr>
      <w:spacing w:after="0" w:line="240" w:lineRule="auto"/>
    </w:pPr>
    <w:rPr>
      <w:rFonts w:eastAsia="Calibri"/>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D53F65"/>
    <w:pPr>
      <w:spacing w:after="0" w:line="240" w:lineRule="auto"/>
    </w:pPr>
    <w:rPr>
      <w:rFonts w:eastAsia="Calibri"/>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07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0788"/>
  </w:style>
  <w:style w:type="paragraph" w:styleId="Footer">
    <w:name w:val="footer"/>
    <w:basedOn w:val="Normal"/>
    <w:link w:val="FooterChar"/>
    <w:uiPriority w:val="99"/>
    <w:unhideWhenUsed/>
    <w:rsid w:val="00D707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07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56507">
      <w:bodyDiv w:val="1"/>
      <w:marLeft w:val="0"/>
      <w:marRight w:val="0"/>
      <w:marTop w:val="0"/>
      <w:marBottom w:val="0"/>
      <w:divBdr>
        <w:top w:val="none" w:sz="0" w:space="0" w:color="auto"/>
        <w:left w:val="none" w:sz="0" w:space="0" w:color="auto"/>
        <w:bottom w:val="none" w:sz="0" w:space="0" w:color="auto"/>
        <w:right w:val="none" w:sz="0" w:space="0" w:color="auto"/>
      </w:divBdr>
      <w:divsChild>
        <w:div w:id="1854345898">
          <w:marLeft w:val="0"/>
          <w:marRight w:val="0"/>
          <w:marTop w:val="0"/>
          <w:marBottom w:val="0"/>
          <w:divBdr>
            <w:top w:val="single" w:sz="2" w:space="0" w:color="D9D9E3"/>
            <w:left w:val="single" w:sz="2" w:space="0" w:color="D9D9E3"/>
            <w:bottom w:val="single" w:sz="2" w:space="0" w:color="D9D9E3"/>
            <w:right w:val="single" w:sz="2" w:space="0" w:color="D9D9E3"/>
          </w:divBdr>
          <w:divsChild>
            <w:div w:id="1375422071">
              <w:marLeft w:val="0"/>
              <w:marRight w:val="0"/>
              <w:marTop w:val="0"/>
              <w:marBottom w:val="0"/>
              <w:divBdr>
                <w:top w:val="single" w:sz="2" w:space="0" w:color="D9D9E3"/>
                <w:left w:val="single" w:sz="2" w:space="0" w:color="D9D9E3"/>
                <w:bottom w:val="single" w:sz="2" w:space="0" w:color="D9D9E3"/>
                <w:right w:val="single" w:sz="2" w:space="0" w:color="D9D9E3"/>
              </w:divBdr>
              <w:divsChild>
                <w:div w:id="2030598641">
                  <w:marLeft w:val="0"/>
                  <w:marRight w:val="0"/>
                  <w:marTop w:val="0"/>
                  <w:marBottom w:val="0"/>
                  <w:divBdr>
                    <w:top w:val="single" w:sz="2" w:space="0" w:color="D9D9E3"/>
                    <w:left w:val="single" w:sz="2" w:space="0" w:color="D9D9E3"/>
                    <w:bottom w:val="single" w:sz="2" w:space="0" w:color="D9D9E3"/>
                    <w:right w:val="single" w:sz="2" w:space="0" w:color="D9D9E3"/>
                  </w:divBdr>
                  <w:divsChild>
                    <w:div w:id="828790259">
                      <w:marLeft w:val="0"/>
                      <w:marRight w:val="0"/>
                      <w:marTop w:val="0"/>
                      <w:marBottom w:val="0"/>
                      <w:divBdr>
                        <w:top w:val="single" w:sz="2" w:space="0" w:color="D9D9E3"/>
                        <w:left w:val="single" w:sz="2" w:space="0" w:color="D9D9E3"/>
                        <w:bottom w:val="single" w:sz="2" w:space="0" w:color="D9D9E3"/>
                        <w:right w:val="single" w:sz="2" w:space="0" w:color="D9D9E3"/>
                      </w:divBdr>
                      <w:divsChild>
                        <w:div w:id="1436169364">
                          <w:marLeft w:val="0"/>
                          <w:marRight w:val="0"/>
                          <w:marTop w:val="0"/>
                          <w:marBottom w:val="0"/>
                          <w:divBdr>
                            <w:top w:val="single" w:sz="2" w:space="0" w:color="auto"/>
                            <w:left w:val="single" w:sz="2" w:space="0" w:color="auto"/>
                            <w:bottom w:val="single" w:sz="6" w:space="0" w:color="auto"/>
                            <w:right w:val="single" w:sz="2" w:space="0" w:color="auto"/>
                          </w:divBdr>
                          <w:divsChild>
                            <w:div w:id="1313563390">
                              <w:marLeft w:val="0"/>
                              <w:marRight w:val="0"/>
                              <w:marTop w:val="100"/>
                              <w:marBottom w:val="100"/>
                              <w:divBdr>
                                <w:top w:val="single" w:sz="2" w:space="0" w:color="D9D9E3"/>
                                <w:left w:val="single" w:sz="2" w:space="0" w:color="D9D9E3"/>
                                <w:bottom w:val="single" w:sz="2" w:space="0" w:color="D9D9E3"/>
                                <w:right w:val="single" w:sz="2" w:space="0" w:color="D9D9E3"/>
                              </w:divBdr>
                              <w:divsChild>
                                <w:div w:id="1675569400">
                                  <w:marLeft w:val="0"/>
                                  <w:marRight w:val="0"/>
                                  <w:marTop w:val="0"/>
                                  <w:marBottom w:val="0"/>
                                  <w:divBdr>
                                    <w:top w:val="single" w:sz="2" w:space="0" w:color="D9D9E3"/>
                                    <w:left w:val="single" w:sz="2" w:space="0" w:color="D9D9E3"/>
                                    <w:bottom w:val="single" w:sz="2" w:space="0" w:color="D9D9E3"/>
                                    <w:right w:val="single" w:sz="2" w:space="0" w:color="D9D9E3"/>
                                  </w:divBdr>
                                  <w:divsChild>
                                    <w:div w:id="248470066">
                                      <w:marLeft w:val="0"/>
                                      <w:marRight w:val="0"/>
                                      <w:marTop w:val="0"/>
                                      <w:marBottom w:val="0"/>
                                      <w:divBdr>
                                        <w:top w:val="single" w:sz="2" w:space="0" w:color="D9D9E3"/>
                                        <w:left w:val="single" w:sz="2" w:space="0" w:color="D9D9E3"/>
                                        <w:bottom w:val="single" w:sz="2" w:space="0" w:color="D9D9E3"/>
                                        <w:right w:val="single" w:sz="2" w:space="0" w:color="D9D9E3"/>
                                      </w:divBdr>
                                      <w:divsChild>
                                        <w:div w:id="596645706">
                                          <w:marLeft w:val="0"/>
                                          <w:marRight w:val="0"/>
                                          <w:marTop w:val="0"/>
                                          <w:marBottom w:val="0"/>
                                          <w:divBdr>
                                            <w:top w:val="single" w:sz="2" w:space="0" w:color="D9D9E3"/>
                                            <w:left w:val="single" w:sz="2" w:space="0" w:color="D9D9E3"/>
                                            <w:bottom w:val="single" w:sz="2" w:space="0" w:color="D9D9E3"/>
                                            <w:right w:val="single" w:sz="2" w:space="0" w:color="D9D9E3"/>
                                          </w:divBdr>
                                          <w:divsChild>
                                            <w:div w:id="851528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4088939">
          <w:marLeft w:val="0"/>
          <w:marRight w:val="0"/>
          <w:marTop w:val="0"/>
          <w:marBottom w:val="0"/>
          <w:divBdr>
            <w:top w:val="none" w:sz="0" w:space="0" w:color="auto"/>
            <w:left w:val="none" w:sz="0" w:space="0" w:color="auto"/>
            <w:bottom w:val="none" w:sz="0" w:space="0" w:color="auto"/>
            <w:right w:val="none" w:sz="0" w:space="0" w:color="auto"/>
          </w:divBdr>
          <w:divsChild>
            <w:div w:id="1616674723">
              <w:marLeft w:val="0"/>
              <w:marRight w:val="0"/>
              <w:marTop w:val="0"/>
              <w:marBottom w:val="0"/>
              <w:divBdr>
                <w:top w:val="single" w:sz="2" w:space="0" w:color="D9D9E3"/>
                <w:left w:val="single" w:sz="2" w:space="0" w:color="D9D9E3"/>
                <w:bottom w:val="single" w:sz="2" w:space="0" w:color="D9D9E3"/>
                <w:right w:val="single" w:sz="2" w:space="0" w:color="D9D9E3"/>
              </w:divBdr>
              <w:divsChild>
                <w:div w:id="120850131">
                  <w:marLeft w:val="0"/>
                  <w:marRight w:val="0"/>
                  <w:marTop w:val="0"/>
                  <w:marBottom w:val="0"/>
                  <w:divBdr>
                    <w:top w:val="single" w:sz="2" w:space="0" w:color="D9D9E3"/>
                    <w:left w:val="single" w:sz="2" w:space="0" w:color="D9D9E3"/>
                    <w:bottom w:val="single" w:sz="2" w:space="0" w:color="D9D9E3"/>
                    <w:right w:val="single" w:sz="2" w:space="0" w:color="D9D9E3"/>
                  </w:divBdr>
                  <w:divsChild>
                    <w:div w:id="290592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378261">
      <w:bodyDiv w:val="1"/>
      <w:marLeft w:val="0"/>
      <w:marRight w:val="0"/>
      <w:marTop w:val="0"/>
      <w:marBottom w:val="0"/>
      <w:divBdr>
        <w:top w:val="none" w:sz="0" w:space="0" w:color="auto"/>
        <w:left w:val="none" w:sz="0" w:space="0" w:color="auto"/>
        <w:bottom w:val="none" w:sz="0" w:space="0" w:color="auto"/>
        <w:right w:val="none" w:sz="0" w:space="0" w:color="auto"/>
      </w:divBdr>
      <w:divsChild>
        <w:div w:id="866137334">
          <w:marLeft w:val="0"/>
          <w:marRight w:val="0"/>
          <w:marTop w:val="0"/>
          <w:marBottom w:val="0"/>
          <w:divBdr>
            <w:top w:val="single" w:sz="2" w:space="0" w:color="D9D9E3"/>
            <w:left w:val="single" w:sz="2" w:space="0" w:color="D9D9E3"/>
            <w:bottom w:val="single" w:sz="2" w:space="0" w:color="D9D9E3"/>
            <w:right w:val="single" w:sz="2" w:space="0" w:color="D9D9E3"/>
          </w:divBdr>
          <w:divsChild>
            <w:div w:id="486944436">
              <w:marLeft w:val="0"/>
              <w:marRight w:val="0"/>
              <w:marTop w:val="0"/>
              <w:marBottom w:val="0"/>
              <w:divBdr>
                <w:top w:val="single" w:sz="2" w:space="0" w:color="D9D9E3"/>
                <w:left w:val="single" w:sz="2" w:space="0" w:color="D9D9E3"/>
                <w:bottom w:val="single" w:sz="2" w:space="0" w:color="D9D9E3"/>
                <w:right w:val="single" w:sz="2" w:space="0" w:color="D9D9E3"/>
              </w:divBdr>
              <w:divsChild>
                <w:div w:id="2067096974">
                  <w:marLeft w:val="0"/>
                  <w:marRight w:val="0"/>
                  <w:marTop w:val="0"/>
                  <w:marBottom w:val="0"/>
                  <w:divBdr>
                    <w:top w:val="single" w:sz="2" w:space="0" w:color="D9D9E3"/>
                    <w:left w:val="single" w:sz="2" w:space="0" w:color="D9D9E3"/>
                    <w:bottom w:val="single" w:sz="2" w:space="0" w:color="D9D9E3"/>
                    <w:right w:val="single" w:sz="2" w:space="0" w:color="D9D9E3"/>
                  </w:divBdr>
                  <w:divsChild>
                    <w:div w:id="1427573877">
                      <w:marLeft w:val="0"/>
                      <w:marRight w:val="0"/>
                      <w:marTop w:val="0"/>
                      <w:marBottom w:val="0"/>
                      <w:divBdr>
                        <w:top w:val="single" w:sz="2" w:space="0" w:color="D9D9E3"/>
                        <w:left w:val="single" w:sz="2" w:space="0" w:color="D9D9E3"/>
                        <w:bottom w:val="single" w:sz="2" w:space="0" w:color="D9D9E3"/>
                        <w:right w:val="single" w:sz="2" w:space="0" w:color="D9D9E3"/>
                      </w:divBdr>
                      <w:divsChild>
                        <w:div w:id="1139882100">
                          <w:marLeft w:val="0"/>
                          <w:marRight w:val="0"/>
                          <w:marTop w:val="0"/>
                          <w:marBottom w:val="0"/>
                          <w:divBdr>
                            <w:top w:val="single" w:sz="2" w:space="0" w:color="auto"/>
                            <w:left w:val="single" w:sz="2" w:space="0" w:color="auto"/>
                            <w:bottom w:val="single" w:sz="6" w:space="0" w:color="auto"/>
                            <w:right w:val="single" w:sz="2" w:space="0" w:color="auto"/>
                          </w:divBdr>
                          <w:divsChild>
                            <w:div w:id="1490093885">
                              <w:marLeft w:val="0"/>
                              <w:marRight w:val="0"/>
                              <w:marTop w:val="100"/>
                              <w:marBottom w:val="100"/>
                              <w:divBdr>
                                <w:top w:val="single" w:sz="2" w:space="0" w:color="D9D9E3"/>
                                <w:left w:val="single" w:sz="2" w:space="0" w:color="D9D9E3"/>
                                <w:bottom w:val="single" w:sz="2" w:space="0" w:color="D9D9E3"/>
                                <w:right w:val="single" w:sz="2" w:space="0" w:color="D9D9E3"/>
                              </w:divBdr>
                              <w:divsChild>
                                <w:div w:id="744035965">
                                  <w:marLeft w:val="0"/>
                                  <w:marRight w:val="0"/>
                                  <w:marTop w:val="0"/>
                                  <w:marBottom w:val="0"/>
                                  <w:divBdr>
                                    <w:top w:val="single" w:sz="2" w:space="0" w:color="D9D9E3"/>
                                    <w:left w:val="single" w:sz="2" w:space="0" w:color="D9D9E3"/>
                                    <w:bottom w:val="single" w:sz="2" w:space="0" w:color="D9D9E3"/>
                                    <w:right w:val="single" w:sz="2" w:space="0" w:color="D9D9E3"/>
                                  </w:divBdr>
                                  <w:divsChild>
                                    <w:div w:id="634797975">
                                      <w:marLeft w:val="0"/>
                                      <w:marRight w:val="0"/>
                                      <w:marTop w:val="0"/>
                                      <w:marBottom w:val="0"/>
                                      <w:divBdr>
                                        <w:top w:val="single" w:sz="2" w:space="0" w:color="D9D9E3"/>
                                        <w:left w:val="single" w:sz="2" w:space="0" w:color="D9D9E3"/>
                                        <w:bottom w:val="single" w:sz="2" w:space="0" w:color="D9D9E3"/>
                                        <w:right w:val="single" w:sz="2" w:space="0" w:color="D9D9E3"/>
                                      </w:divBdr>
                                      <w:divsChild>
                                        <w:div w:id="1583877776">
                                          <w:marLeft w:val="0"/>
                                          <w:marRight w:val="0"/>
                                          <w:marTop w:val="0"/>
                                          <w:marBottom w:val="0"/>
                                          <w:divBdr>
                                            <w:top w:val="single" w:sz="2" w:space="0" w:color="D9D9E3"/>
                                            <w:left w:val="single" w:sz="2" w:space="0" w:color="D9D9E3"/>
                                            <w:bottom w:val="single" w:sz="2" w:space="0" w:color="D9D9E3"/>
                                            <w:right w:val="single" w:sz="2" w:space="0" w:color="D9D9E3"/>
                                          </w:divBdr>
                                          <w:divsChild>
                                            <w:div w:id="1038241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26814551">
          <w:marLeft w:val="0"/>
          <w:marRight w:val="0"/>
          <w:marTop w:val="0"/>
          <w:marBottom w:val="0"/>
          <w:divBdr>
            <w:top w:val="none" w:sz="0" w:space="0" w:color="auto"/>
            <w:left w:val="none" w:sz="0" w:space="0" w:color="auto"/>
            <w:bottom w:val="none" w:sz="0" w:space="0" w:color="auto"/>
            <w:right w:val="none" w:sz="0" w:space="0" w:color="auto"/>
          </w:divBdr>
        </w:div>
      </w:divsChild>
    </w:div>
    <w:div w:id="166673246">
      <w:bodyDiv w:val="1"/>
      <w:marLeft w:val="0"/>
      <w:marRight w:val="0"/>
      <w:marTop w:val="0"/>
      <w:marBottom w:val="0"/>
      <w:divBdr>
        <w:top w:val="none" w:sz="0" w:space="0" w:color="auto"/>
        <w:left w:val="none" w:sz="0" w:space="0" w:color="auto"/>
        <w:bottom w:val="none" w:sz="0" w:space="0" w:color="auto"/>
        <w:right w:val="none" w:sz="0" w:space="0" w:color="auto"/>
      </w:divBdr>
      <w:divsChild>
        <w:div w:id="932082365">
          <w:marLeft w:val="0"/>
          <w:marRight w:val="0"/>
          <w:marTop w:val="0"/>
          <w:marBottom w:val="0"/>
          <w:divBdr>
            <w:top w:val="single" w:sz="2" w:space="0" w:color="D9D9E3"/>
            <w:left w:val="single" w:sz="2" w:space="0" w:color="D9D9E3"/>
            <w:bottom w:val="single" w:sz="2" w:space="0" w:color="D9D9E3"/>
            <w:right w:val="single" w:sz="2" w:space="0" w:color="D9D9E3"/>
          </w:divBdr>
          <w:divsChild>
            <w:div w:id="554320972">
              <w:marLeft w:val="0"/>
              <w:marRight w:val="0"/>
              <w:marTop w:val="0"/>
              <w:marBottom w:val="0"/>
              <w:divBdr>
                <w:top w:val="single" w:sz="2" w:space="0" w:color="D9D9E3"/>
                <w:left w:val="single" w:sz="2" w:space="0" w:color="D9D9E3"/>
                <w:bottom w:val="single" w:sz="2" w:space="0" w:color="D9D9E3"/>
                <w:right w:val="single" w:sz="2" w:space="0" w:color="D9D9E3"/>
              </w:divBdr>
              <w:divsChild>
                <w:div w:id="417755044">
                  <w:marLeft w:val="0"/>
                  <w:marRight w:val="0"/>
                  <w:marTop w:val="0"/>
                  <w:marBottom w:val="0"/>
                  <w:divBdr>
                    <w:top w:val="single" w:sz="2" w:space="0" w:color="D9D9E3"/>
                    <w:left w:val="single" w:sz="2" w:space="0" w:color="D9D9E3"/>
                    <w:bottom w:val="single" w:sz="2" w:space="0" w:color="D9D9E3"/>
                    <w:right w:val="single" w:sz="2" w:space="0" w:color="D9D9E3"/>
                  </w:divBdr>
                  <w:divsChild>
                    <w:div w:id="1617715774">
                      <w:marLeft w:val="0"/>
                      <w:marRight w:val="0"/>
                      <w:marTop w:val="0"/>
                      <w:marBottom w:val="0"/>
                      <w:divBdr>
                        <w:top w:val="single" w:sz="2" w:space="0" w:color="D9D9E3"/>
                        <w:left w:val="single" w:sz="2" w:space="0" w:color="D9D9E3"/>
                        <w:bottom w:val="single" w:sz="2" w:space="0" w:color="D9D9E3"/>
                        <w:right w:val="single" w:sz="2" w:space="0" w:color="D9D9E3"/>
                      </w:divBdr>
                      <w:divsChild>
                        <w:div w:id="130026559">
                          <w:marLeft w:val="0"/>
                          <w:marRight w:val="0"/>
                          <w:marTop w:val="0"/>
                          <w:marBottom w:val="0"/>
                          <w:divBdr>
                            <w:top w:val="single" w:sz="2" w:space="0" w:color="auto"/>
                            <w:left w:val="single" w:sz="2" w:space="0" w:color="auto"/>
                            <w:bottom w:val="single" w:sz="6" w:space="0" w:color="auto"/>
                            <w:right w:val="single" w:sz="2" w:space="0" w:color="auto"/>
                          </w:divBdr>
                          <w:divsChild>
                            <w:div w:id="1533684752">
                              <w:marLeft w:val="0"/>
                              <w:marRight w:val="0"/>
                              <w:marTop w:val="100"/>
                              <w:marBottom w:val="100"/>
                              <w:divBdr>
                                <w:top w:val="single" w:sz="2" w:space="0" w:color="D9D9E3"/>
                                <w:left w:val="single" w:sz="2" w:space="0" w:color="D9D9E3"/>
                                <w:bottom w:val="single" w:sz="2" w:space="0" w:color="D9D9E3"/>
                                <w:right w:val="single" w:sz="2" w:space="0" w:color="D9D9E3"/>
                              </w:divBdr>
                              <w:divsChild>
                                <w:div w:id="573592154">
                                  <w:marLeft w:val="0"/>
                                  <w:marRight w:val="0"/>
                                  <w:marTop w:val="0"/>
                                  <w:marBottom w:val="0"/>
                                  <w:divBdr>
                                    <w:top w:val="single" w:sz="2" w:space="0" w:color="D9D9E3"/>
                                    <w:left w:val="single" w:sz="2" w:space="0" w:color="D9D9E3"/>
                                    <w:bottom w:val="single" w:sz="2" w:space="0" w:color="D9D9E3"/>
                                    <w:right w:val="single" w:sz="2" w:space="0" w:color="D9D9E3"/>
                                  </w:divBdr>
                                  <w:divsChild>
                                    <w:div w:id="295834953">
                                      <w:marLeft w:val="0"/>
                                      <w:marRight w:val="0"/>
                                      <w:marTop w:val="0"/>
                                      <w:marBottom w:val="0"/>
                                      <w:divBdr>
                                        <w:top w:val="single" w:sz="2" w:space="0" w:color="D9D9E3"/>
                                        <w:left w:val="single" w:sz="2" w:space="0" w:color="D9D9E3"/>
                                        <w:bottom w:val="single" w:sz="2" w:space="0" w:color="D9D9E3"/>
                                        <w:right w:val="single" w:sz="2" w:space="0" w:color="D9D9E3"/>
                                      </w:divBdr>
                                      <w:divsChild>
                                        <w:div w:id="1632830198">
                                          <w:marLeft w:val="0"/>
                                          <w:marRight w:val="0"/>
                                          <w:marTop w:val="0"/>
                                          <w:marBottom w:val="0"/>
                                          <w:divBdr>
                                            <w:top w:val="single" w:sz="2" w:space="0" w:color="D9D9E3"/>
                                            <w:left w:val="single" w:sz="2" w:space="0" w:color="D9D9E3"/>
                                            <w:bottom w:val="single" w:sz="2" w:space="0" w:color="D9D9E3"/>
                                            <w:right w:val="single" w:sz="2" w:space="0" w:color="D9D9E3"/>
                                          </w:divBdr>
                                          <w:divsChild>
                                            <w:div w:id="771124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11593660">
          <w:marLeft w:val="0"/>
          <w:marRight w:val="0"/>
          <w:marTop w:val="0"/>
          <w:marBottom w:val="0"/>
          <w:divBdr>
            <w:top w:val="none" w:sz="0" w:space="0" w:color="auto"/>
            <w:left w:val="none" w:sz="0" w:space="0" w:color="auto"/>
            <w:bottom w:val="none" w:sz="0" w:space="0" w:color="auto"/>
            <w:right w:val="none" w:sz="0" w:space="0" w:color="auto"/>
          </w:divBdr>
        </w:div>
      </w:divsChild>
    </w:div>
    <w:div w:id="325322130">
      <w:bodyDiv w:val="1"/>
      <w:marLeft w:val="0"/>
      <w:marRight w:val="0"/>
      <w:marTop w:val="0"/>
      <w:marBottom w:val="0"/>
      <w:divBdr>
        <w:top w:val="none" w:sz="0" w:space="0" w:color="auto"/>
        <w:left w:val="none" w:sz="0" w:space="0" w:color="auto"/>
        <w:bottom w:val="none" w:sz="0" w:space="0" w:color="auto"/>
        <w:right w:val="none" w:sz="0" w:space="0" w:color="auto"/>
      </w:divBdr>
    </w:div>
    <w:div w:id="536044454">
      <w:bodyDiv w:val="1"/>
      <w:marLeft w:val="0"/>
      <w:marRight w:val="0"/>
      <w:marTop w:val="0"/>
      <w:marBottom w:val="0"/>
      <w:divBdr>
        <w:top w:val="none" w:sz="0" w:space="0" w:color="auto"/>
        <w:left w:val="none" w:sz="0" w:space="0" w:color="auto"/>
        <w:bottom w:val="none" w:sz="0" w:space="0" w:color="auto"/>
        <w:right w:val="none" w:sz="0" w:space="0" w:color="auto"/>
      </w:divBdr>
      <w:divsChild>
        <w:div w:id="1713995088">
          <w:marLeft w:val="0"/>
          <w:marRight w:val="0"/>
          <w:marTop w:val="0"/>
          <w:marBottom w:val="0"/>
          <w:divBdr>
            <w:top w:val="single" w:sz="2" w:space="0" w:color="D9D9E3"/>
            <w:left w:val="single" w:sz="2" w:space="0" w:color="D9D9E3"/>
            <w:bottom w:val="single" w:sz="2" w:space="0" w:color="D9D9E3"/>
            <w:right w:val="single" w:sz="2" w:space="0" w:color="D9D9E3"/>
          </w:divBdr>
          <w:divsChild>
            <w:div w:id="1570265994">
              <w:marLeft w:val="0"/>
              <w:marRight w:val="0"/>
              <w:marTop w:val="0"/>
              <w:marBottom w:val="0"/>
              <w:divBdr>
                <w:top w:val="single" w:sz="2" w:space="0" w:color="D9D9E3"/>
                <w:left w:val="single" w:sz="2" w:space="0" w:color="D9D9E3"/>
                <w:bottom w:val="single" w:sz="2" w:space="0" w:color="D9D9E3"/>
                <w:right w:val="single" w:sz="2" w:space="0" w:color="D9D9E3"/>
              </w:divBdr>
              <w:divsChild>
                <w:div w:id="1281648833">
                  <w:marLeft w:val="0"/>
                  <w:marRight w:val="0"/>
                  <w:marTop w:val="0"/>
                  <w:marBottom w:val="0"/>
                  <w:divBdr>
                    <w:top w:val="single" w:sz="2" w:space="0" w:color="D9D9E3"/>
                    <w:left w:val="single" w:sz="2" w:space="0" w:color="D9D9E3"/>
                    <w:bottom w:val="single" w:sz="2" w:space="0" w:color="D9D9E3"/>
                    <w:right w:val="single" w:sz="2" w:space="0" w:color="D9D9E3"/>
                  </w:divBdr>
                  <w:divsChild>
                    <w:div w:id="952828299">
                      <w:marLeft w:val="0"/>
                      <w:marRight w:val="0"/>
                      <w:marTop w:val="0"/>
                      <w:marBottom w:val="0"/>
                      <w:divBdr>
                        <w:top w:val="single" w:sz="2" w:space="0" w:color="D9D9E3"/>
                        <w:left w:val="single" w:sz="2" w:space="0" w:color="D9D9E3"/>
                        <w:bottom w:val="single" w:sz="2" w:space="0" w:color="D9D9E3"/>
                        <w:right w:val="single" w:sz="2" w:space="0" w:color="D9D9E3"/>
                      </w:divBdr>
                      <w:divsChild>
                        <w:div w:id="1000699827">
                          <w:marLeft w:val="0"/>
                          <w:marRight w:val="0"/>
                          <w:marTop w:val="0"/>
                          <w:marBottom w:val="0"/>
                          <w:divBdr>
                            <w:top w:val="single" w:sz="2" w:space="0" w:color="auto"/>
                            <w:left w:val="single" w:sz="2" w:space="0" w:color="auto"/>
                            <w:bottom w:val="single" w:sz="6" w:space="0" w:color="auto"/>
                            <w:right w:val="single" w:sz="2" w:space="0" w:color="auto"/>
                          </w:divBdr>
                          <w:divsChild>
                            <w:div w:id="95059118">
                              <w:marLeft w:val="0"/>
                              <w:marRight w:val="0"/>
                              <w:marTop w:val="100"/>
                              <w:marBottom w:val="100"/>
                              <w:divBdr>
                                <w:top w:val="single" w:sz="2" w:space="0" w:color="D9D9E3"/>
                                <w:left w:val="single" w:sz="2" w:space="0" w:color="D9D9E3"/>
                                <w:bottom w:val="single" w:sz="2" w:space="0" w:color="D9D9E3"/>
                                <w:right w:val="single" w:sz="2" w:space="0" w:color="D9D9E3"/>
                              </w:divBdr>
                              <w:divsChild>
                                <w:div w:id="918951754">
                                  <w:marLeft w:val="0"/>
                                  <w:marRight w:val="0"/>
                                  <w:marTop w:val="0"/>
                                  <w:marBottom w:val="0"/>
                                  <w:divBdr>
                                    <w:top w:val="single" w:sz="2" w:space="0" w:color="D9D9E3"/>
                                    <w:left w:val="single" w:sz="2" w:space="0" w:color="D9D9E3"/>
                                    <w:bottom w:val="single" w:sz="2" w:space="0" w:color="D9D9E3"/>
                                    <w:right w:val="single" w:sz="2" w:space="0" w:color="D9D9E3"/>
                                  </w:divBdr>
                                  <w:divsChild>
                                    <w:div w:id="202795867">
                                      <w:marLeft w:val="0"/>
                                      <w:marRight w:val="0"/>
                                      <w:marTop w:val="0"/>
                                      <w:marBottom w:val="0"/>
                                      <w:divBdr>
                                        <w:top w:val="single" w:sz="2" w:space="0" w:color="D9D9E3"/>
                                        <w:left w:val="single" w:sz="2" w:space="0" w:color="D9D9E3"/>
                                        <w:bottom w:val="single" w:sz="2" w:space="0" w:color="D9D9E3"/>
                                        <w:right w:val="single" w:sz="2" w:space="0" w:color="D9D9E3"/>
                                      </w:divBdr>
                                      <w:divsChild>
                                        <w:div w:id="849566219">
                                          <w:marLeft w:val="0"/>
                                          <w:marRight w:val="0"/>
                                          <w:marTop w:val="0"/>
                                          <w:marBottom w:val="0"/>
                                          <w:divBdr>
                                            <w:top w:val="single" w:sz="2" w:space="0" w:color="D9D9E3"/>
                                            <w:left w:val="single" w:sz="2" w:space="0" w:color="D9D9E3"/>
                                            <w:bottom w:val="single" w:sz="2" w:space="0" w:color="D9D9E3"/>
                                            <w:right w:val="single" w:sz="2" w:space="0" w:color="D9D9E3"/>
                                          </w:divBdr>
                                          <w:divsChild>
                                            <w:div w:id="1996372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91756926">
          <w:marLeft w:val="0"/>
          <w:marRight w:val="0"/>
          <w:marTop w:val="0"/>
          <w:marBottom w:val="0"/>
          <w:divBdr>
            <w:top w:val="none" w:sz="0" w:space="0" w:color="auto"/>
            <w:left w:val="none" w:sz="0" w:space="0" w:color="auto"/>
            <w:bottom w:val="none" w:sz="0" w:space="0" w:color="auto"/>
            <w:right w:val="none" w:sz="0" w:space="0" w:color="auto"/>
          </w:divBdr>
          <w:divsChild>
            <w:div w:id="171920985">
              <w:marLeft w:val="0"/>
              <w:marRight w:val="0"/>
              <w:marTop w:val="0"/>
              <w:marBottom w:val="0"/>
              <w:divBdr>
                <w:top w:val="single" w:sz="2" w:space="0" w:color="D9D9E3"/>
                <w:left w:val="single" w:sz="2" w:space="0" w:color="D9D9E3"/>
                <w:bottom w:val="single" w:sz="2" w:space="0" w:color="D9D9E3"/>
                <w:right w:val="single" w:sz="2" w:space="0" w:color="D9D9E3"/>
              </w:divBdr>
              <w:divsChild>
                <w:div w:id="1257787508">
                  <w:marLeft w:val="0"/>
                  <w:marRight w:val="0"/>
                  <w:marTop w:val="0"/>
                  <w:marBottom w:val="0"/>
                  <w:divBdr>
                    <w:top w:val="single" w:sz="2" w:space="0" w:color="D9D9E3"/>
                    <w:left w:val="single" w:sz="2" w:space="0" w:color="D9D9E3"/>
                    <w:bottom w:val="single" w:sz="2" w:space="0" w:color="D9D9E3"/>
                    <w:right w:val="single" w:sz="2" w:space="0" w:color="D9D9E3"/>
                  </w:divBdr>
                  <w:divsChild>
                    <w:div w:id="257103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7172047">
      <w:bodyDiv w:val="1"/>
      <w:marLeft w:val="0"/>
      <w:marRight w:val="0"/>
      <w:marTop w:val="0"/>
      <w:marBottom w:val="0"/>
      <w:divBdr>
        <w:top w:val="none" w:sz="0" w:space="0" w:color="auto"/>
        <w:left w:val="none" w:sz="0" w:space="0" w:color="auto"/>
        <w:bottom w:val="none" w:sz="0" w:space="0" w:color="auto"/>
        <w:right w:val="none" w:sz="0" w:space="0" w:color="auto"/>
      </w:divBdr>
      <w:divsChild>
        <w:div w:id="16658124">
          <w:marLeft w:val="0"/>
          <w:marRight w:val="0"/>
          <w:marTop w:val="0"/>
          <w:marBottom w:val="0"/>
          <w:divBdr>
            <w:top w:val="single" w:sz="2" w:space="0" w:color="D9D9E3"/>
            <w:left w:val="single" w:sz="2" w:space="0" w:color="D9D9E3"/>
            <w:bottom w:val="single" w:sz="2" w:space="0" w:color="D9D9E3"/>
            <w:right w:val="single" w:sz="2" w:space="0" w:color="D9D9E3"/>
          </w:divBdr>
          <w:divsChild>
            <w:div w:id="1174414128">
              <w:marLeft w:val="0"/>
              <w:marRight w:val="0"/>
              <w:marTop w:val="0"/>
              <w:marBottom w:val="0"/>
              <w:divBdr>
                <w:top w:val="single" w:sz="2" w:space="0" w:color="D9D9E3"/>
                <w:left w:val="single" w:sz="2" w:space="0" w:color="D9D9E3"/>
                <w:bottom w:val="single" w:sz="2" w:space="0" w:color="D9D9E3"/>
                <w:right w:val="single" w:sz="2" w:space="0" w:color="D9D9E3"/>
              </w:divBdr>
              <w:divsChild>
                <w:div w:id="1451364959">
                  <w:marLeft w:val="0"/>
                  <w:marRight w:val="0"/>
                  <w:marTop w:val="0"/>
                  <w:marBottom w:val="0"/>
                  <w:divBdr>
                    <w:top w:val="single" w:sz="2" w:space="0" w:color="D9D9E3"/>
                    <w:left w:val="single" w:sz="2" w:space="0" w:color="D9D9E3"/>
                    <w:bottom w:val="single" w:sz="2" w:space="0" w:color="D9D9E3"/>
                    <w:right w:val="single" w:sz="2" w:space="0" w:color="D9D9E3"/>
                  </w:divBdr>
                  <w:divsChild>
                    <w:div w:id="188032181">
                      <w:marLeft w:val="0"/>
                      <w:marRight w:val="0"/>
                      <w:marTop w:val="0"/>
                      <w:marBottom w:val="0"/>
                      <w:divBdr>
                        <w:top w:val="single" w:sz="2" w:space="0" w:color="D9D9E3"/>
                        <w:left w:val="single" w:sz="2" w:space="0" w:color="D9D9E3"/>
                        <w:bottom w:val="single" w:sz="2" w:space="0" w:color="D9D9E3"/>
                        <w:right w:val="single" w:sz="2" w:space="0" w:color="D9D9E3"/>
                      </w:divBdr>
                      <w:divsChild>
                        <w:div w:id="838928101">
                          <w:marLeft w:val="0"/>
                          <w:marRight w:val="0"/>
                          <w:marTop w:val="0"/>
                          <w:marBottom w:val="0"/>
                          <w:divBdr>
                            <w:top w:val="single" w:sz="2" w:space="0" w:color="auto"/>
                            <w:left w:val="single" w:sz="2" w:space="0" w:color="auto"/>
                            <w:bottom w:val="single" w:sz="6" w:space="0" w:color="auto"/>
                            <w:right w:val="single" w:sz="2" w:space="0" w:color="auto"/>
                          </w:divBdr>
                          <w:divsChild>
                            <w:div w:id="2680059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699135">
                                  <w:marLeft w:val="0"/>
                                  <w:marRight w:val="0"/>
                                  <w:marTop w:val="0"/>
                                  <w:marBottom w:val="0"/>
                                  <w:divBdr>
                                    <w:top w:val="single" w:sz="2" w:space="0" w:color="D9D9E3"/>
                                    <w:left w:val="single" w:sz="2" w:space="0" w:color="D9D9E3"/>
                                    <w:bottom w:val="single" w:sz="2" w:space="0" w:color="D9D9E3"/>
                                    <w:right w:val="single" w:sz="2" w:space="0" w:color="D9D9E3"/>
                                  </w:divBdr>
                                  <w:divsChild>
                                    <w:div w:id="1653678159">
                                      <w:marLeft w:val="0"/>
                                      <w:marRight w:val="0"/>
                                      <w:marTop w:val="0"/>
                                      <w:marBottom w:val="0"/>
                                      <w:divBdr>
                                        <w:top w:val="single" w:sz="2" w:space="0" w:color="D9D9E3"/>
                                        <w:left w:val="single" w:sz="2" w:space="0" w:color="D9D9E3"/>
                                        <w:bottom w:val="single" w:sz="2" w:space="0" w:color="D9D9E3"/>
                                        <w:right w:val="single" w:sz="2" w:space="0" w:color="D9D9E3"/>
                                      </w:divBdr>
                                      <w:divsChild>
                                        <w:div w:id="124275049">
                                          <w:marLeft w:val="0"/>
                                          <w:marRight w:val="0"/>
                                          <w:marTop w:val="0"/>
                                          <w:marBottom w:val="0"/>
                                          <w:divBdr>
                                            <w:top w:val="single" w:sz="2" w:space="0" w:color="D9D9E3"/>
                                            <w:left w:val="single" w:sz="2" w:space="0" w:color="D9D9E3"/>
                                            <w:bottom w:val="single" w:sz="2" w:space="0" w:color="D9D9E3"/>
                                            <w:right w:val="single" w:sz="2" w:space="0" w:color="D9D9E3"/>
                                          </w:divBdr>
                                          <w:divsChild>
                                            <w:div w:id="1608544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19401104">
          <w:marLeft w:val="0"/>
          <w:marRight w:val="0"/>
          <w:marTop w:val="0"/>
          <w:marBottom w:val="0"/>
          <w:divBdr>
            <w:top w:val="none" w:sz="0" w:space="0" w:color="auto"/>
            <w:left w:val="none" w:sz="0" w:space="0" w:color="auto"/>
            <w:bottom w:val="none" w:sz="0" w:space="0" w:color="auto"/>
            <w:right w:val="none" w:sz="0" w:space="0" w:color="auto"/>
          </w:divBdr>
          <w:divsChild>
            <w:div w:id="757093566">
              <w:marLeft w:val="0"/>
              <w:marRight w:val="0"/>
              <w:marTop w:val="0"/>
              <w:marBottom w:val="0"/>
              <w:divBdr>
                <w:top w:val="single" w:sz="2" w:space="0" w:color="D9D9E3"/>
                <w:left w:val="single" w:sz="2" w:space="0" w:color="D9D9E3"/>
                <w:bottom w:val="single" w:sz="2" w:space="0" w:color="D9D9E3"/>
                <w:right w:val="single" w:sz="2" w:space="0" w:color="D9D9E3"/>
              </w:divBdr>
              <w:divsChild>
                <w:div w:id="703940771">
                  <w:marLeft w:val="0"/>
                  <w:marRight w:val="0"/>
                  <w:marTop w:val="0"/>
                  <w:marBottom w:val="0"/>
                  <w:divBdr>
                    <w:top w:val="single" w:sz="2" w:space="0" w:color="D9D9E3"/>
                    <w:left w:val="single" w:sz="2" w:space="0" w:color="D9D9E3"/>
                    <w:bottom w:val="single" w:sz="2" w:space="0" w:color="D9D9E3"/>
                    <w:right w:val="single" w:sz="2" w:space="0" w:color="D9D9E3"/>
                  </w:divBdr>
                  <w:divsChild>
                    <w:div w:id="1658874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8958753">
      <w:bodyDiv w:val="1"/>
      <w:marLeft w:val="0"/>
      <w:marRight w:val="0"/>
      <w:marTop w:val="0"/>
      <w:marBottom w:val="0"/>
      <w:divBdr>
        <w:top w:val="none" w:sz="0" w:space="0" w:color="auto"/>
        <w:left w:val="none" w:sz="0" w:space="0" w:color="auto"/>
        <w:bottom w:val="none" w:sz="0" w:space="0" w:color="auto"/>
        <w:right w:val="none" w:sz="0" w:space="0" w:color="auto"/>
      </w:divBdr>
    </w:div>
    <w:div w:id="1276673926">
      <w:bodyDiv w:val="1"/>
      <w:marLeft w:val="0"/>
      <w:marRight w:val="0"/>
      <w:marTop w:val="0"/>
      <w:marBottom w:val="0"/>
      <w:divBdr>
        <w:top w:val="none" w:sz="0" w:space="0" w:color="auto"/>
        <w:left w:val="none" w:sz="0" w:space="0" w:color="auto"/>
        <w:bottom w:val="none" w:sz="0" w:space="0" w:color="auto"/>
        <w:right w:val="none" w:sz="0" w:space="0" w:color="auto"/>
      </w:divBdr>
      <w:divsChild>
        <w:div w:id="1440250138">
          <w:marLeft w:val="0"/>
          <w:marRight w:val="0"/>
          <w:marTop w:val="0"/>
          <w:marBottom w:val="0"/>
          <w:divBdr>
            <w:top w:val="single" w:sz="2" w:space="0" w:color="D9D9E3"/>
            <w:left w:val="single" w:sz="2" w:space="0" w:color="D9D9E3"/>
            <w:bottom w:val="single" w:sz="2" w:space="0" w:color="D9D9E3"/>
            <w:right w:val="single" w:sz="2" w:space="0" w:color="D9D9E3"/>
          </w:divBdr>
          <w:divsChild>
            <w:div w:id="1701658791">
              <w:marLeft w:val="0"/>
              <w:marRight w:val="0"/>
              <w:marTop w:val="0"/>
              <w:marBottom w:val="0"/>
              <w:divBdr>
                <w:top w:val="single" w:sz="2" w:space="0" w:color="D9D9E3"/>
                <w:left w:val="single" w:sz="2" w:space="0" w:color="D9D9E3"/>
                <w:bottom w:val="single" w:sz="2" w:space="0" w:color="D9D9E3"/>
                <w:right w:val="single" w:sz="2" w:space="0" w:color="D9D9E3"/>
              </w:divBdr>
              <w:divsChild>
                <w:div w:id="2114857482">
                  <w:marLeft w:val="0"/>
                  <w:marRight w:val="0"/>
                  <w:marTop w:val="0"/>
                  <w:marBottom w:val="0"/>
                  <w:divBdr>
                    <w:top w:val="single" w:sz="2" w:space="0" w:color="D9D9E3"/>
                    <w:left w:val="single" w:sz="2" w:space="0" w:color="D9D9E3"/>
                    <w:bottom w:val="single" w:sz="2" w:space="0" w:color="D9D9E3"/>
                    <w:right w:val="single" w:sz="2" w:space="0" w:color="D9D9E3"/>
                  </w:divBdr>
                  <w:divsChild>
                    <w:div w:id="397793">
                      <w:marLeft w:val="0"/>
                      <w:marRight w:val="0"/>
                      <w:marTop w:val="0"/>
                      <w:marBottom w:val="0"/>
                      <w:divBdr>
                        <w:top w:val="single" w:sz="2" w:space="0" w:color="D9D9E3"/>
                        <w:left w:val="single" w:sz="2" w:space="0" w:color="D9D9E3"/>
                        <w:bottom w:val="single" w:sz="2" w:space="0" w:color="D9D9E3"/>
                        <w:right w:val="single" w:sz="2" w:space="0" w:color="D9D9E3"/>
                      </w:divBdr>
                      <w:divsChild>
                        <w:div w:id="1468354369">
                          <w:marLeft w:val="0"/>
                          <w:marRight w:val="0"/>
                          <w:marTop w:val="0"/>
                          <w:marBottom w:val="0"/>
                          <w:divBdr>
                            <w:top w:val="single" w:sz="2" w:space="0" w:color="auto"/>
                            <w:left w:val="single" w:sz="2" w:space="0" w:color="auto"/>
                            <w:bottom w:val="single" w:sz="6" w:space="0" w:color="auto"/>
                            <w:right w:val="single" w:sz="2" w:space="0" w:color="auto"/>
                          </w:divBdr>
                          <w:divsChild>
                            <w:div w:id="1930654043">
                              <w:marLeft w:val="0"/>
                              <w:marRight w:val="0"/>
                              <w:marTop w:val="100"/>
                              <w:marBottom w:val="100"/>
                              <w:divBdr>
                                <w:top w:val="single" w:sz="2" w:space="0" w:color="D9D9E3"/>
                                <w:left w:val="single" w:sz="2" w:space="0" w:color="D9D9E3"/>
                                <w:bottom w:val="single" w:sz="2" w:space="0" w:color="D9D9E3"/>
                                <w:right w:val="single" w:sz="2" w:space="0" w:color="D9D9E3"/>
                              </w:divBdr>
                              <w:divsChild>
                                <w:div w:id="111442589">
                                  <w:marLeft w:val="0"/>
                                  <w:marRight w:val="0"/>
                                  <w:marTop w:val="0"/>
                                  <w:marBottom w:val="0"/>
                                  <w:divBdr>
                                    <w:top w:val="single" w:sz="2" w:space="0" w:color="D9D9E3"/>
                                    <w:left w:val="single" w:sz="2" w:space="0" w:color="D9D9E3"/>
                                    <w:bottom w:val="single" w:sz="2" w:space="0" w:color="D9D9E3"/>
                                    <w:right w:val="single" w:sz="2" w:space="0" w:color="D9D9E3"/>
                                  </w:divBdr>
                                  <w:divsChild>
                                    <w:div w:id="206575444">
                                      <w:marLeft w:val="0"/>
                                      <w:marRight w:val="0"/>
                                      <w:marTop w:val="0"/>
                                      <w:marBottom w:val="0"/>
                                      <w:divBdr>
                                        <w:top w:val="single" w:sz="2" w:space="0" w:color="D9D9E3"/>
                                        <w:left w:val="single" w:sz="2" w:space="0" w:color="D9D9E3"/>
                                        <w:bottom w:val="single" w:sz="2" w:space="0" w:color="D9D9E3"/>
                                        <w:right w:val="single" w:sz="2" w:space="0" w:color="D9D9E3"/>
                                      </w:divBdr>
                                      <w:divsChild>
                                        <w:div w:id="385572137">
                                          <w:marLeft w:val="0"/>
                                          <w:marRight w:val="0"/>
                                          <w:marTop w:val="0"/>
                                          <w:marBottom w:val="0"/>
                                          <w:divBdr>
                                            <w:top w:val="single" w:sz="2" w:space="0" w:color="D9D9E3"/>
                                            <w:left w:val="single" w:sz="2" w:space="0" w:color="D9D9E3"/>
                                            <w:bottom w:val="single" w:sz="2" w:space="0" w:color="D9D9E3"/>
                                            <w:right w:val="single" w:sz="2" w:space="0" w:color="D9D9E3"/>
                                          </w:divBdr>
                                          <w:divsChild>
                                            <w:div w:id="369573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43941889">
          <w:marLeft w:val="0"/>
          <w:marRight w:val="0"/>
          <w:marTop w:val="0"/>
          <w:marBottom w:val="0"/>
          <w:divBdr>
            <w:top w:val="none" w:sz="0" w:space="0" w:color="auto"/>
            <w:left w:val="none" w:sz="0" w:space="0" w:color="auto"/>
            <w:bottom w:val="none" w:sz="0" w:space="0" w:color="auto"/>
            <w:right w:val="none" w:sz="0" w:space="0" w:color="auto"/>
          </w:divBdr>
        </w:div>
      </w:divsChild>
    </w:div>
    <w:div w:id="1278181072">
      <w:bodyDiv w:val="1"/>
      <w:marLeft w:val="0"/>
      <w:marRight w:val="0"/>
      <w:marTop w:val="0"/>
      <w:marBottom w:val="0"/>
      <w:divBdr>
        <w:top w:val="none" w:sz="0" w:space="0" w:color="auto"/>
        <w:left w:val="none" w:sz="0" w:space="0" w:color="auto"/>
        <w:bottom w:val="none" w:sz="0" w:space="0" w:color="auto"/>
        <w:right w:val="none" w:sz="0" w:space="0" w:color="auto"/>
      </w:divBdr>
    </w:div>
    <w:div w:id="1358308897">
      <w:bodyDiv w:val="1"/>
      <w:marLeft w:val="0"/>
      <w:marRight w:val="0"/>
      <w:marTop w:val="0"/>
      <w:marBottom w:val="0"/>
      <w:divBdr>
        <w:top w:val="none" w:sz="0" w:space="0" w:color="auto"/>
        <w:left w:val="none" w:sz="0" w:space="0" w:color="auto"/>
        <w:bottom w:val="none" w:sz="0" w:space="0" w:color="auto"/>
        <w:right w:val="none" w:sz="0" w:space="0" w:color="auto"/>
      </w:divBdr>
      <w:divsChild>
        <w:div w:id="935332883">
          <w:marLeft w:val="0"/>
          <w:marRight w:val="0"/>
          <w:marTop w:val="0"/>
          <w:marBottom w:val="0"/>
          <w:divBdr>
            <w:top w:val="single" w:sz="2" w:space="0" w:color="D9D9E3"/>
            <w:left w:val="single" w:sz="2" w:space="0" w:color="D9D9E3"/>
            <w:bottom w:val="single" w:sz="2" w:space="0" w:color="D9D9E3"/>
            <w:right w:val="single" w:sz="2" w:space="0" w:color="D9D9E3"/>
          </w:divBdr>
          <w:divsChild>
            <w:div w:id="119034203">
              <w:marLeft w:val="0"/>
              <w:marRight w:val="0"/>
              <w:marTop w:val="0"/>
              <w:marBottom w:val="0"/>
              <w:divBdr>
                <w:top w:val="single" w:sz="2" w:space="0" w:color="D9D9E3"/>
                <w:left w:val="single" w:sz="2" w:space="0" w:color="D9D9E3"/>
                <w:bottom w:val="single" w:sz="2" w:space="0" w:color="D9D9E3"/>
                <w:right w:val="single" w:sz="2" w:space="0" w:color="D9D9E3"/>
              </w:divBdr>
              <w:divsChild>
                <w:div w:id="883911464">
                  <w:marLeft w:val="0"/>
                  <w:marRight w:val="0"/>
                  <w:marTop w:val="0"/>
                  <w:marBottom w:val="0"/>
                  <w:divBdr>
                    <w:top w:val="single" w:sz="2" w:space="0" w:color="D9D9E3"/>
                    <w:left w:val="single" w:sz="2" w:space="0" w:color="D9D9E3"/>
                    <w:bottom w:val="single" w:sz="2" w:space="0" w:color="D9D9E3"/>
                    <w:right w:val="single" w:sz="2" w:space="0" w:color="D9D9E3"/>
                  </w:divBdr>
                  <w:divsChild>
                    <w:div w:id="1502312131">
                      <w:marLeft w:val="0"/>
                      <w:marRight w:val="0"/>
                      <w:marTop w:val="0"/>
                      <w:marBottom w:val="0"/>
                      <w:divBdr>
                        <w:top w:val="single" w:sz="2" w:space="0" w:color="D9D9E3"/>
                        <w:left w:val="single" w:sz="2" w:space="0" w:color="D9D9E3"/>
                        <w:bottom w:val="single" w:sz="2" w:space="0" w:color="D9D9E3"/>
                        <w:right w:val="single" w:sz="2" w:space="0" w:color="D9D9E3"/>
                      </w:divBdr>
                      <w:divsChild>
                        <w:div w:id="752702696">
                          <w:marLeft w:val="0"/>
                          <w:marRight w:val="0"/>
                          <w:marTop w:val="0"/>
                          <w:marBottom w:val="0"/>
                          <w:divBdr>
                            <w:top w:val="single" w:sz="2" w:space="0" w:color="auto"/>
                            <w:left w:val="single" w:sz="2" w:space="0" w:color="auto"/>
                            <w:bottom w:val="single" w:sz="6" w:space="0" w:color="auto"/>
                            <w:right w:val="single" w:sz="2" w:space="0" w:color="auto"/>
                          </w:divBdr>
                          <w:divsChild>
                            <w:div w:id="744766853">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859388">
                                  <w:marLeft w:val="0"/>
                                  <w:marRight w:val="0"/>
                                  <w:marTop w:val="0"/>
                                  <w:marBottom w:val="0"/>
                                  <w:divBdr>
                                    <w:top w:val="single" w:sz="2" w:space="0" w:color="D9D9E3"/>
                                    <w:left w:val="single" w:sz="2" w:space="0" w:color="D9D9E3"/>
                                    <w:bottom w:val="single" w:sz="2" w:space="0" w:color="D9D9E3"/>
                                    <w:right w:val="single" w:sz="2" w:space="0" w:color="D9D9E3"/>
                                  </w:divBdr>
                                  <w:divsChild>
                                    <w:div w:id="1595748808">
                                      <w:marLeft w:val="0"/>
                                      <w:marRight w:val="0"/>
                                      <w:marTop w:val="0"/>
                                      <w:marBottom w:val="0"/>
                                      <w:divBdr>
                                        <w:top w:val="single" w:sz="2" w:space="0" w:color="D9D9E3"/>
                                        <w:left w:val="single" w:sz="2" w:space="0" w:color="D9D9E3"/>
                                        <w:bottom w:val="single" w:sz="2" w:space="0" w:color="D9D9E3"/>
                                        <w:right w:val="single" w:sz="2" w:space="0" w:color="D9D9E3"/>
                                      </w:divBdr>
                                      <w:divsChild>
                                        <w:div w:id="494107382">
                                          <w:marLeft w:val="0"/>
                                          <w:marRight w:val="0"/>
                                          <w:marTop w:val="0"/>
                                          <w:marBottom w:val="0"/>
                                          <w:divBdr>
                                            <w:top w:val="single" w:sz="2" w:space="0" w:color="D9D9E3"/>
                                            <w:left w:val="single" w:sz="2" w:space="0" w:color="D9D9E3"/>
                                            <w:bottom w:val="single" w:sz="2" w:space="0" w:color="D9D9E3"/>
                                            <w:right w:val="single" w:sz="2" w:space="0" w:color="D9D9E3"/>
                                          </w:divBdr>
                                          <w:divsChild>
                                            <w:div w:id="1792624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07080849">
          <w:marLeft w:val="0"/>
          <w:marRight w:val="0"/>
          <w:marTop w:val="0"/>
          <w:marBottom w:val="0"/>
          <w:divBdr>
            <w:top w:val="none" w:sz="0" w:space="0" w:color="auto"/>
            <w:left w:val="none" w:sz="0" w:space="0" w:color="auto"/>
            <w:bottom w:val="none" w:sz="0" w:space="0" w:color="auto"/>
            <w:right w:val="none" w:sz="0" w:space="0" w:color="auto"/>
          </w:divBdr>
          <w:divsChild>
            <w:div w:id="2118676856">
              <w:marLeft w:val="0"/>
              <w:marRight w:val="0"/>
              <w:marTop w:val="0"/>
              <w:marBottom w:val="0"/>
              <w:divBdr>
                <w:top w:val="single" w:sz="2" w:space="0" w:color="D9D9E3"/>
                <w:left w:val="single" w:sz="2" w:space="0" w:color="D9D9E3"/>
                <w:bottom w:val="single" w:sz="2" w:space="0" w:color="D9D9E3"/>
                <w:right w:val="single" w:sz="2" w:space="0" w:color="D9D9E3"/>
              </w:divBdr>
              <w:divsChild>
                <w:div w:id="61367700">
                  <w:marLeft w:val="0"/>
                  <w:marRight w:val="0"/>
                  <w:marTop w:val="0"/>
                  <w:marBottom w:val="0"/>
                  <w:divBdr>
                    <w:top w:val="single" w:sz="2" w:space="0" w:color="D9D9E3"/>
                    <w:left w:val="single" w:sz="2" w:space="0" w:color="D9D9E3"/>
                    <w:bottom w:val="single" w:sz="2" w:space="0" w:color="D9D9E3"/>
                    <w:right w:val="single" w:sz="2" w:space="0" w:color="D9D9E3"/>
                  </w:divBdr>
                  <w:divsChild>
                    <w:div w:id="855584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2943899">
      <w:bodyDiv w:val="1"/>
      <w:marLeft w:val="0"/>
      <w:marRight w:val="0"/>
      <w:marTop w:val="0"/>
      <w:marBottom w:val="0"/>
      <w:divBdr>
        <w:top w:val="none" w:sz="0" w:space="0" w:color="auto"/>
        <w:left w:val="none" w:sz="0" w:space="0" w:color="auto"/>
        <w:bottom w:val="none" w:sz="0" w:space="0" w:color="auto"/>
        <w:right w:val="none" w:sz="0" w:space="0" w:color="auto"/>
      </w:divBdr>
      <w:divsChild>
        <w:div w:id="1817332284">
          <w:marLeft w:val="0"/>
          <w:marRight w:val="0"/>
          <w:marTop w:val="0"/>
          <w:marBottom w:val="0"/>
          <w:divBdr>
            <w:top w:val="single" w:sz="2" w:space="0" w:color="D9D9E3"/>
            <w:left w:val="single" w:sz="2" w:space="0" w:color="D9D9E3"/>
            <w:bottom w:val="single" w:sz="2" w:space="0" w:color="D9D9E3"/>
            <w:right w:val="single" w:sz="2" w:space="0" w:color="D9D9E3"/>
          </w:divBdr>
          <w:divsChild>
            <w:div w:id="1542091697">
              <w:marLeft w:val="0"/>
              <w:marRight w:val="0"/>
              <w:marTop w:val="0"/>
              <w:marBottom w:val="0"/>
              <w:divBdr>
                <w:top w:val="single" w:sz="2" w:space="0" w:color="D9D9E3"/>
                <w:left w:val="single" w:sz="2" w:space="0" w:color="D9D9E3"/>
                <w:bottom w:val="single" w:sz="2" w:space="0" w:color="D9D9E3"/>
                <w:right w:val="single" w:sz="2" w:space="0" w:color="D9D9E3"/>
              </w:divBdr>
              <w:divsChild>
                <w:div w:id="1926112534">
                  <w:marLeft w:val="0"/>
                  <w:marRight w:val="0"/>
                  <w:marTop w:val="0"/>
                  <w:marBottom w:val="0"/>
                  <w:divBdr>
                    <w:top w:val="single" w:sz="2" w:space="0" w:color="D9D9E3"/>
                    <w:left w:val="single" w:sz="2" w:space="0" w:color="D9D9E3"/>
                    <w:bottom w:val="single" w:sz="2" w:space="0" w:color="D9D9E3"/>
                    <w:right w:val="single" w:sz="2" w:space="0" w:color="D9D9E3"/>
                  </w:divBdr>
                  <w:divsChild>
                    <w:div w:id="2029603021">
                      <w:marLeft w:val="0"/>
                      <w:marRight w:val="0"/>
                      <w:marTop w:val="0"/>
                      <w:marBottom w:val="0"/>
                      <w:divBdr>
                        <w:top w:val="single" w:sz="2" w:space="0" w:color="D9D9E3"/>
                        <w:left w:val="single" w:sz="2" w:space="0" w:color="D9D9E3"/>
                        <w:bottom w:val="single" w:sz="2" w:space="0" w:color="D9D9E3"/>
                        <w:right w:val="single" w:sz="2" w:space="0" w:color="D9D9E3"/>
                      </w:divBdr>
                      <w:divsChild>
                        <w:div w:id="1935674836">
                          <w:marLeft w:val="0"/>
                          <w:marRight w:val="0"/>
                          <w:marTop w:val="0"/>
                          <w:marBottom w:val="0"/>
                          <w:divBdr>
                            <w:top w:val="single" w:sz="2" w:space="0" w:color="auto"/>
                            <w:left w:val="single" w:sz="2" w:space="0" w:color="auto"/>
                            <w:bottom w:val="single" w:sz="6" w:space="0" w:color="auto"/>
                            <w:right w:val="single" w:sz="2" w:space="0" w:color="auto"/>
                          </w:divBdr>
                          <w:divsChild>
                            <w:div w:id="561331414">
                              <w:marLeft w:val="0"/>
                              <w:marRight w:val="0"/>
                              <w:marTop w:val="100"/>
                              <w:marBottom w:val="100"/>
                              <w:divBdr>
                                <w:top w:val="single" w:sz="2" w:space="0" w:color="D9D9E3"/>
                                <w:left w:val="single" w:sz="2" w:space="0" w:color="D9D9E3"/>
                                <w:bottom w:val="single" w:sz="2" w:space="0" w:color="D9D9E3"/>
                                <w:right w:val="single" w:sz="2" w:space="0" w:color="D9D9E3"/>
                              </w:divBdr>
                              <w:divsChild>
                                <w:div w:id="642126043">
                                  <w:marLeft w:val="0"/>
                                  <w:marRight w:val="0"/>
                                  <w:marTop w:val="0"/>
                                  <w:marBottom w:val="0"/>
                                  <w:divBdr>
                                    <w:top w:val="single" w:sz="2" w:space="0" w:color="D9D9E3"/>
                                    <w:left w:val="single" w:sz="2" w:space="0" w:color="D9D9E3"/>
                                    <w:bottom w:val="single" w:sz="2" w:space="0" w:color="D9D9E3"/>
                                    <w:right w:val="single" w:sz="2" w:space="0" w:color="D9D9E3"/>
                                  </w:divBdr>
                                  <w:divsChild>
                                    <w:div w:id="923732633">
                                      <w:marLeft w:val="0"/>
                                      <w:marRight w:val="0"/>
                                      <w:marTop w:val="0"/>
                                      <w:marBottom w:val="0"/>
                                      <w:divBdr>
                                        <w:top w:val="single" w:sz="2" w:space="0" w:color="D9D9E3"/>
                                        <w:left w:val="single" w:sz="2" w:space="0" w:color="D9D9E3"/>
                                        <w:bottom w:val="single" w:sz="2" w:space="0" w:color="D9D9E3"/>
                                        <w:right w:val="single" w:sz="2" w:space="0" w:color="D9D9E3"/>
                                      </w:divBdr>
                                      <w:divsChild>
                                        <w:div w:id="529535425">
                                          <w:marLeft w:val="0"/>
                                          <w:marRight w:val="0"/>
                                          <w:marTop w:val="0"/>
                                          <w:marBottom w:val="0"/>
                                          <w:divBdr>
                                            <w:top w:val="single" w:sz="2" w:space="0" w:color="D9D9E3"/>
                                            <w:left w:val="single" w:sz="2" w:space="0" w:color="D9D9E3"/>
                                            <w:bottom w:val="single" w:sz="2" w:space="0" w:color="D9D9E3"/>
                                            <w:right w:val="single" w:sz="2" w:space="0" w:color="D9D9E3"/>
                                          </w:divBdr>
                                          <w:divsChild>
                                            <w:div w:id="820734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13818171">
          <w:marLeft w:val="0"/>
          <w:marRight w:val="0"/>
          <w:marTop w:val="0"/>
          <w:marBottom w:val="0"/>
          <w:divBdr>
            <w:top w:val="none" w:sz="0" w:space="0" w:color="auto"/>
            <w:left w:val="none" w:sz="0" w:space="0" w:color="auto"/>
            <w:bottom w:val="none" w:sz="0" w:space="0" w:color="auto"/>
            <w:right w:val="none" w:sz="0" w:space="0" w:color="auto"/>
          </w:divBdr>
        </w:div>
      </w:divsChild>
    </w:div>
    <w:div w:id="1478303928">
      <w:bodyDiv w:val="1"/>
      <w:marLeft w:val="0"/>
      <w:marRight w:val="0"/>
      <w:marTop w:val="0"/>
      <w:marBottom w:val="0"/>
      <w:divBdr>
        <w:top w:val="none" w:sz="0" w:space="0" w:color="auto"/>
        <w:left w:val="none" w:sz="0" w:space="0" w:color="auto"/>
        <w:bottom w:val="none" w:sz="0" w:space="0" w:color="auto"/>
        <w:right w:val="none" w:sz="0" w:space="0" w:color="auto"/>
      </w:divBdr>
    </w:div>
    <w:div w:id="1561818907">
      <w:bodyDiv w:val="1"/>
      <w:marLeft w:val="0"/>
      <w:marRight w:val="0"/>
      <w:marTop w:val="0"/>
      <w:marBottom w:val="0"/>
      <w:divBdr>
        <w:top w:val="none" w:sz="0" w:space="0" w:color="auto"/>
        <w:left w:val="none" w:sz="0" w:space="0" w:color="auto"/>
        <w:bottom w:val="none" w:sz="0" w:space="0" w:color="auto"/>
        <w:right w:val="none" w:sz="0" w:space="0" w:color="auto"/>
      </w:divBdr>
      <w:divsChild>
        <w:div w:id="837042759">
          <w:marLeft w:val="0"/>
          <w:marRight w:val="0"/>
          <w:marTop w:val="0"/>
          <w:marBottom w:val="0"/>
          <w:divBdr>
            <w:top w:val="single" w:sz="2" w:space="0" w:color="D9D9E3"/>
            <w:left w:val="single" w:sz="2" w:space="0" w:color="D9D9E3"/>
            <w:bottom w:val="single" w:sz="2" w:space="0" w:color="D9D9E3"/>
            <w:right w:val="single" w:sz="2" w:space="0" w:color="D9D9E3"/>
          </w:divBdr>
          <w:divsChild>
            <w:div w:id="1581714000">
              <w:marLeft w:val="0"/>
              <w:marRight w:val="0"/>
              <w:marTop w:val="0"/>
              <w:marBottom w:val="0"/>
              <w:divBdr>
                <w:top w:val="single" w:sz="2" w:space="0" w:color="D9D9E3"/>
                <w:left w:val="single" w:sz="2" w:space="0" w:color="D9D9E3"/>
                <w:bottom w:val="single" w:sz="2" w:space="0" w:color="D9D9E3"/>
                <w:right w:val="single" w:sz="2" w:space="0" w:color="D9D9E3"/>
              </w:divBdr>
              <w:divsChild>
                <w:div w:id="1770420765">
                  <w:marLeft w:val="0"/>
                  <w:marRight w:val="0"/>
                  <w:marTop w:val="0"/>
                  <w:marBottom w:val="0"/>
                  <w:divBdr>
                    <w:top w:val="single" w:sz="2" w:space="0" w:color="D9D9E3"/>
                    <w:left w:val="single" w:sz="2" w:space="0" w:color="D9D9E3"/>
                    <w:bottom w:val="single" w:sz="2" w:space="0" w:color="D9D9E3"/>
                    <w:right w:val="single" w:sz="2" w:space="0" w:color="D9D9E3"/>
                  </w:divBdr>
                  <w:divsChild>
                    <w:div w:id="606349344">
                      <w:marLeft w:val="0"/>
                      <w:marRight w:val="0"/>
                      <w:marTop w:val="0"/>
                      <w:marBottom w:val="0"/>
                      <w:divBdr>
                        <w:top w:val="single" w:sz="2" w:space="0" w:color="D9D9E3"/>
                        <w:left w:val="single" w:sz="2" w:space="0" w:color="D9D9E3"/>
                        <w:bottom w:val="single" w:sz="2" w:space="0" w:color="D9D9E3"/>
                        <w:right w:val="single" w:sz="2" w:space="0" w:color="D9D9E3"/>
                      </w:divBdr>
                      <w:divsChild>
                        <w:div w:id="855534664">
                          <w:marLeft w:val="0"/>
                          <w:marRight w:val="0"/>
                          <w:marTop w:val="0"/>
                          <w:marBottom w:val="0"/>
                          <w:divBdr>
                            <w:top w:val="single" w:sz="2" w:space="0" w:color="auto"/>
                            <w:left w:val="single" w:sz="2" w:space="0" w:color="auto"/>
                            <w:bottom w:val="single" w:sz="6" w:space="0" w:color="auto"/>
                            <w:right w:val="single" w:sz="2" w:space="0" w:color="auto"/>
                          </w:divBdr>
                          <w:divsChild>
                            <w:div w:id="2079326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955933">
                                  <w:marLeft w:val="0"/>
                                  <w:marRight w:val="0"/>
                                  <w:marTop w:val="0"/>
                                  <w:marBottom w:val="0"/>
                                  <w:divBdr>
                                    <w:top w:val="single" w:sz="2" w:space="0" w:color="D9D9E3"/>
                                    <w:left w:val="single" w:sz="2" w:space="0" w:color="D9D9E3"/>
                                    <w:bottom w:val="single" w:sz="2" w:space="0" w:color="D9D9E3"/>
                                    <w:right w:val="single" w:sz="2" w:space="0" w:color="D9D9E3"/>
                                  </w:divBdr>
                                  <w:divsChild>
                                    <w:div w:id="26418217">
                                      <w:marLeft w:val="0"/>
                                      <w:marRight w:val="0"/>
                                      <w:marTop w:val="0"/>
                                      <w:marBottom w:val="0"/>
                                      <w:divBdr>
                                        <w:top w:val="single" w:sz="2" w:space="0" w:color="D9D9E3"/>
                                        <w:left w:val="single" w:sz="2" w:space="0" w:color="D9D9E3"/>
                                        <w:bottom w:val="single" w:sz="2" w:space="0" w:color="D9D9E3"/>
                                        <w:right w:val="single" w:sz="2" w:space="0" w:color="D9D9E3"/>
                                      </w:divBdr>
                                      <w:divsChild>
                                        <w:div w:id="299649973">
                                          <w:marLeft w:val="0"/>
                                          <w:marRight w:val="0"/>
                                          <w:marTop w:val="0"/>
                                          <w:marBottom w:val="0"/>
                                          <w:divBdr>
                                            <w:top w:val="single" w:sz="2" w:space="0" w:color="D9D9E3"/>
                                            <w:left w:val="single" w:sz="2" w:space="0" w:color="D9D9E3"/>
                                            <w:bottom w:val="single" w:sz="2" w:space="0" w:color="D9D9E3"/>
                                            <w:right w:val="single" w:sz="2" w:space="0" w:color="D9D9E3"/>
                                          </w:divBdr>
                                          <w:divsChild>
                                            <w:div w:id="1540236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4566654">
          <w:marLeft w:val="0"/>
          <w:marRight w:val="0"/>
          <w:marTop w:val="0"/>
          <w:marBottom w:val="0"/>
          <w:divBdr>
            <w:top w:val="none" w:sz="0" w:space="0" w:color="auto"/>
            <w:left w:val="none" w:sz="0" w:space="0" w:color="auto"/>
            <w:bottom w:val="none" w:sz="0" w:space="0" w:color="auto"/>
            <w:right w:val="none" w:sz="0" w:space="0" w:color="auto"/>
          </w:divBdr>
        </w:div>
      </w:divsChild>
    </w:div>
    <w:div w:id="1632591531">
      <w:bodyDiv w:val="1"/>
      <w:marLeft w:val="0"/>
      <w:marRight w:val="0"/>
      <w:marTop w:val="0"/>
      <w:marBottom w:val="0"/>
      <w:divBdr>
        <w:top w:val="none" w:sz="0" w:space="0" w:color="auto"/>
        <w:left w:val="none" w:sz="0" w:space="0" w:color="auto"/>
        <w:bottom w:val="none" w:sz="0" w:space="0" w:color="auto"/>
        <w:right w:val="none" w:sz="0" w:space="0" w:color="auto"/>
      </w:divBdr>
      <w:divsChild>
        <w:div w:id="2053990990">
          <w:marLeft w:val="0"/>
          <w:marRight w:val="0"/>
          <w:marTop w:val="0"/>
          <w:marBottom w:val="0"/>
          <w:divBdr>
            <w:top w:val="single" w:sz="2" w:space="0" w:color="D9D9E3"/>
            <w:left w:val="single" w:sz="2" w:space="0" w:color="D9D9E3"/>
            <w:bottom w:val="single" w:sz="2" w:space="0" w:color="D9D9E3"/>
            <w:right w:val="single" w:sz="2" w:space="0" w:color="D9D9E3"/>
          </w:divBdr>
          <w:divsChild>
            <w:div w:id="726537574">
              <w:marLeft w:val="0"/>
              <w:marRight w:val="0"/>
              <w:marTop w:val="0"/>
              <w:marBottom w:val="0"/>
              <w:divBdr>
                <w:top w:val="single" w:sz="2" w:space="0" w:color="D9D9E3"/>
                <w:left w:val="single" w:sz="2" w:space="0" w:color="D9D9E3"/>
                <w:bottom w:val="single" w:sz="2" w:space="0" w:color="D9D9E3"/>
                <w:right w:val="single" w:sz="2" w:space="0" w:color="D9D9E3"/>
              </w:divBdr>
              <w:divsChild>
                <w:div w:id="2134977013">
                  <w:marLeft w:val="0"/>
                  <w:marRight w:val="0"/>
                  <w:marTop w:val="0"/>
                  <w:marBottom w:val="0"/>
                  <w:divBdr>
                    <w:top w:val="single" w:sz="2" w:space="0" w:color="D9D9E3"/>
                    <w:left w:val="single" w:sz="2" w:space="0" w:color="D9D9E3"/>
                    <w:bottom w:val="single" w:sz="2" w:space="0" w:color="D9D9E3"/>
                    <w:right w:val="single" w:sz="2" w:space="0" w:color="D9D9E3"/>
                  </w:divBdr>
                  <w:divsChild>
                    <w:div w:id="117141295">
                      <w:marLeft w:val="0"/>
                      <w:marRight w:val="0"/>
                      <w:marTop w:val="0"/>
                      <w:marBottom w:val="0"/>
                      <w:divBdr>
                        <w:top w:val="single" w:sz="2" w:space="0" w:color="D9D9E3"/>
                        <w:left w:val="single" w:sz="2" w:space="0" w:color="D9D9E3"/>
                        <w:bottom w:val="single" w:sz="2" w:space="0" w:color="D9D9E3"/>
                        <w:right w:val="single" w:sz="2" w:space="0" w:color="D9D9E3"/>
                      </w:divBdr>
                      <w:divsChild>
                        <w:div w:id="1615865385">
                          <w:marLeft w:val="0"/>
                          <w:marRight w:val="0"/>
                          <w:marTop w:val="0"/>
                          <w:marBottom w:val="0"/>
                          <w:divBdr>
                            <w:top w:val="single" w:sz="2" w:space="0" w:color="auto"/>
                            <w:left w:val="single" w:sz="2" w:space="0" w:color="auto"/>
                            <w:bottom w:val="single" w:sz="6" w:space="0" w:color="auto"/>
                            <w:right w:val="single" w:sz="2" w:space="0" w:color="auto"/>
                          </w:divBdr>
                          <w:divsChild>
                            <w:div w:id="550961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610233303">
                                  <w:marLeft w:val="0"/>
                                  <w:marRight w:val="0"/>
                                  <w:marTop w:val="0"/>
                                  <w:marBottom w:val="0"/>
                                  <w:divBdr>
                                    <w:top w:val="single" w:sz="2" w:space="0" w:color="D9D9E3"/>
                                    <w:left w:val="single" w:sz="2" w:space="0" w:color="D9D9E3"/>
                                    <w:bottom w:val="single" w:sz="2" w:space="0" w:color="D9D9E3"/>
                                    <w:right w:val="single" w:sz="2" w:space="0" w:color="D9D9E3"/>
                                  </w:divBdr>
                                  <w:divsChild>
                                    <w:div w:id="1606838222">
                                      <w:marLeft w:val="0"/>
                                      <w:marRight w:val="0"/>
                                      <w:marTop w:val="0"/>
                                      <w:marBottom w:val="0"/>
                                      <w:divBdr>
                                        <w:top w:val="single" w:sz="2" w:space="0" w:color="D9D9E3"/>
                                        <w:left w:val="single" w:sz="2" w:space="0" w:color="D9D9E3"/>
                                        <w:bottom w:val="single" w:sz="2" w:space="0" w:color="D9D9E3"/>
                                        <w:right w:val="single" w:sz="2" w:space="0" w:color="D9D9E3"/>
                                      </w:divBdr>
                                      <w:divsChild>
                                        <w:div w:id="1666741722">
                                          <w:marLeft w:val="0"/>
                                          <w:marRight w:val="0"/>
                                          <w:marTop w:val="0"/>
                                          <w:marBottom w:val="0"/>
                                          <w:divBdr>
                                            <w:top w:val="single" w:sz="2" w:space="0" w:color="D9D9E3"/>
                                            <w:left w:val="single" w:sz="2" w:space="0" w:color="D9D9E3"/>
                                            <w:bottom w:val="single" w:sz="2" w:space="0" w:color="D9D9E3"/>
                                            <w:right w:val="single" w:sz="2" w:space="0" w:color="D9D9E3"/>
                                          </w:divBdr>
                                          <w:divsChild>
                                            <w:div w:id="598224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275803">
          <w:marLeft w:val="0"/>
          <w:marRight w:val="0"/>
          <w:marTop w:val="0"/>
          <w:marBottom w:val="0"/>
          <w:divBdr>
            <w:top w:val="none" w:sz="0" w:space="0" w:color="auto"/>
            <w:left w:val="none" w:sz="0" w:space="0" w:color="auto"/>
            <w:bottom w:val="none" w:sz="0" w:space="0" w:color="auto"/>
            <w:right w:val="none" w:sz="0" w:space="0" w:color="auto"/>
          </w:divBdr>
        </w:div>
      </w:divsChild>
    </w:div>
    <w:div w:id="1634092924">
      <w:bodyDiv w:val="1"/>
      <w:marLeft w:val="0"/>
      <w:marRight w:val="0"/>
      <w:marTop w:val="0"/>
      <w:marBottom w:val="0"/>
      <w:divBdr>
        <w:top w:val="none" w:sz="0" w:space="0" w:color="auto"/>
        <w:left w:val="none" w:sz="0" w:space="0" w:color="auto"/>
        <w:bottom w:val="none" w:sz="0" w:space="0" w:color="auto"/>
        <w:right w:val="none" w:sz="0" w:space="0" w:color="auto"/>
      </w:divBdr>
    </w:div>
    <w:div w:id="1708722366">
      <w:bodyDiv w:val="1"/>
      <w:marLeft w:val="0"/>
      <w:marRight w:val="0"/>
      <w:marTop w:val="0"/>
      <w:marBottom w:val="0"/>
      <w:divBdr>
        <w:top w:val="none" w:sz="0" w:space="0" w:color="auto"/>
        <w:left w:val="none" w:sz="0" w:space="0" w:color="auto"/>
        <w:bottom w:val="none" w:sz="0" w:space="0" w:color="auto"/>
        <w:right w:val="none" w:sz="0" w:space="0" w:color="auto"/>
      </w:divBdr>
      <w:divsChild>
        <w:div w:id="1296132524">
          <w:marLeft w:val="0"/>
          <w:marRight w:val="0"/>
          <w:marTop w:val="600"/>
          <w:marBottom w:val="300"/>
          <w:divBdr>
            <w:top w:val="none" w:sz="0" w:space="0" w:color="auto"/>
            <w:left w:val="none" w:sz="0" w:space="0" w:color="auto"/>
            <w:bottom w:val="single" w:sz="6" w:space="7" w:color="EEEEEE"/>
            <w:right w:val="none" w:sz="0" w:space="0" w:color="auto"/>
          </w:divBdr>
        </w:div>
      </w:divsChild>
    </w:div>
    <w:div w:id="1717316687">
      <w:bodyDiv w:val="1"/>
      <w:marLeft w:val="0"/>
      <w:marRight w:val="0"/>
      <w:marTop w:val="0"/>
      <w:marBottom w:val="0"/>
      <w:divBdr>
        <w:top w:val="none" w:sz="0" w:space="0" w:color="auto"/>
        <w:left w:val="none" w:sz="0" w:space="0" w:color="auto"/>
        <w:bottom w:val="none" w:sz="0" w:space="0" w:color="auto"/>
        <w:right w:val="none" w:sz="0" w:space="0" w:color="auto"/>
      </w:divBdr>
      <w:divsChild>
        <w:div w:id="719935934">
          <w:marLeft w:val="0"/>
          <w:marRight w:val="0"/>
          <w:marTop w:val="0"/>
          <w:marBottom w:val="0"/>
          <w:divBdr>
            <w:top w:val="single" w:sz="2" w:space="0" w:color="D9D9E3"/>
            <w:left w:val="single" w:sz="2" w:space="0" w:color="D9D9E3"/>
            <w:bottom w:val="single" w:sz="2" w:space="0" w:color="D9D9E3"/>
            <w:right w:val="single" w:sz="2" w:space="0" w:color="D9D9E3"/>
          </w:divBdr>
          <w:divsChild>
            <w:div w:id="1882597083">
              <w:marLeft w:val="0"/>
              <w:marRight w:val="0"/>
              <w:marTop w:val="0"/>
              <w:marBottom w:val="0"/>
              <w:divBdr>
                <w:top w:val="single" w:sz="2" w:space="0" w:color="D9D9E3"/>
                <w:left w:val="single" w:sz="2" w:space="0" w:color="D9D9E3"/>
                <w:bottom w:val="single" w:sz="2" w:space="0" w:color="D9D9E3"/>
                <w:right w:val="single" w:sz="2" w:space="0" w:color="D9D9E3"/>
              </w:divBdr>
              <w:divsChild>
                <w:div w:id="2010252515">
                  <w:marLeft w:val="0"/>
                  <w:marRight w:val="0"/>
                  <w:marTop w:val="0"/>
                  <w:marBottom w:val="0"/>
                  <w:divBdr>
                    <w:top w:val="single" w:sz="2" w:space="0" w:color="D9D9E3"/>
                    <w:left w:val="single" w:sz="2" w:space="0" w:color="D9D9E3"/>
                    <w:bottom w:val="single" w:sz="2" w:space="0" w:color="D9D9E3"/>
                    <w:right w:val="single" w:sz="2" w:space="0" w:color="D9D9E3"/>
                  </w:divBdr>
                  <w:divsChild>
                    <w:div w:id="1907956824">
                      <w:marLeft w:val="0"/>
                      <w:marRight w:val="0"/>
                      <w:marTop w:val="0"/>
                      <w:marBottom w:val="0"/>
                      <w:divBdr>
                        <w:top w:val="single" w:sz="2" w:space="0" w:color="D9D9E3"/>
                        <w:left w:val="single" w:sz="2" w:space="0" w:color="D9D9E3"/>
                        <w:bottom w:val="single" w:sz="2" w:space="0" w:color="D9D9E3"/>
                        <w:right w:val="single" w:sz="2" w:space="0" w:color="D9D9E3"/>
                      </w:divBdr>
                      <w:divsChild>
                        <w:div w:id="951667026">
                          <w:marLeft w:val="0"/>
                          <w:marRight w:val="0"/>
                          <w:marTop w:val="0"/>
                          <w:marBottom w:val="0"/>
                          <w:divBdr>
                            <w:top w:val="single" w:sz="2" w:space="0" w:color="auto"/>
                            <w:left w:val="single" w:sz="2" w:space="0" w:color="auto"/>
                            <w:bottom w:val="single" w:sz="6" w:space="0" w:color="auto"/>
                            <w:right w:val="single" w:sz="2" w:space="0" w:color="auto"/>
                          </w:divBdr>
                          <w:divsChild>
                            <w:div w:id="402993814">
                              <w:marLeft w:val="0"/>
                              <w:marRight w:val="0"/>
                              <w:marTop w:val="100"/>
                              <w:marBottom w:val="100"/>
                              <w:divBdr>
                                <w:top w:val="single" w:sz="2" w:space="0" w:color="D9D9E3"/>
                                <w:left w:val="single" w:sz="2" w:space="0" w:color="D9D9E3"/>
                                <w:bottom w:val="single" w:sz="2" w:space="0" w:color="D9D9E3"/>
                                <w:right w:val="single" w:sz="2" w:space="0" w:color="D9D9E3"/>
                              </w:divBdr>
                              <w:divsChild>
                                <w:div w:id="961151387">
                                  <w:marLeft w:val="0"/>
                                  <w:marRight w:val="0"/>
                                  <w:marTop w:val="0"/>
                                  <w:marBottom w:val="0"/>
                                  <w:divBdr>
                                    <w:top w:val="single" w:sz="2" w:space="0" w:color="D9D9E3"/>
                                    <w:left w:val="single" w:sz="2" w:space="0" w:color="D9D9E3"/>
                                    <w:bottom w:val="single" w:sz="2" w:space="0" w:color="D9D9E3"/>
                                    <w:right w:val="single" w:sz="2" w:space="0" w:color="D9D9E3"/>
                                  </w:divBdr>
                                  <w:divsChild>
                                    <w:div w:id="2079013159">
                                      <w:marLeft w:val="0"/>
                                      <w:marRight w:val="0"/>
                                      <w:marTop w:val="0"/>
                                      <w:marBottom w:val="0"/>
                                      <w:divBdr>
                                        <w:top w:val="single" w:sz="2" w:space="0" w:color="D9D9E3"/>
                                        <w:left w:val="single" w:sz="2" w:space="0" w:color="D9D9E3"/>
                                        <w:bottom w:val="single" w:sz="2" w:space="0" w:color="D9D9E3"/>
                                        <w:right w:val="single" w:sz="2" w:space="0" w:color="D9D9E3"/>
                                      </w:divBdr>
                                      <w:divsChild>
                                        <w:div w:id="1205673936">
                                          <w:marLeft w:val="0"/>
                                          <w:marRight w:val="0"/>
                                          <w:marTop w:val="0"/>
                                          <w:marBottom w:val="0"/>
                                          <w:divBdr>
                                            <w:top w:val="single" w:sz="2" w:space="0" w:color="D9D9E3"/>
                                            <w:left w:val="single" w:sz="2" w:space="0" w:color="D9D9E3"/>
                                            <w:bottom w:val="single" w:sz="2" w:space="0" w:color="D9D9E3"/>
                                            <w:right w:val="single" w:sz="2" w:space="0" w:color="D9D9E3"/>
                                          </w:divBdr>
                                          <w:divsChild>
                                            <w:div w:id="859246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80651349">
          <w:marLeft w:val="0"/>
          <w:marRight w:val="0"/>
          <w:marTop w:val="0"/>
          <w:marBottom w:val="0"/>
          <w:divBdr>
            <w:top w:val="none" w:sz="0" w:space="0" w:color="auto"/>
            <w:left w:val="none" w:sz="0" w:space="0" w:color="auto"/>
            <w:bottom w:val="none" w:sz="0" w:space="0" w:color="auto"/>
            <w:right w:val="none" w:sz="0" w:space="0" w:color="auto"/>
          </w:divBdr>
        </w:div>
      </w:divsChild>
    </w:div>
    <w:div w:id="1721899079">
      <w:bodyDiv w:val="1"/>
      <w:marLeft w:val="0"/>
      <w:marRight w:val="0"/>
      <w:marTop w:val="0"/>
      <w:marBottom w:val="0"/>
      <w:divBdr>
        <w:top w:val="none" w:sz="0" w:space="0" w:color="auto"/>
        <w:left w:val="none" w:sz="0" w:space="0" w:color="auto"/>
        <w:bottom w:val="none" w:sz="0" w:space="0" w:color="auto"/>
        <w:right w:val="none" w:sz="0" w:space="0" w:color="auto"/>
      </w:divBdr>
    </w:div>
    <w:div w:id="1736969685">
      <w:bodyDiv w:val="1"/>
      <w:marLeft w:val="0"/>
      <w:marRight w:val="0"/>
      <w:marTop w:val="0"/>
      <w:marBottom w:val="0"/>
      <w:divBdr>
        <w:top w:val="none" w:sz="0" w:space="0" w:color="auto"/>
        <w:left w:val="none" w:sz="0" w:space="0" w:color="auto"/>
        <w:bottom w:val="none" w:sz="0" w:space="0" w:color="auto"/>
        <w:right w:val="none" w:sz="0" w:space="0" w:color="auto"/>
      </w:divBdr>
      <w:divsChild>
        <w:div w:id="1651788804">
          <w:marLeft w:val="0"/>
          <w:marRight w:val="0"/>
          <w:marTop w:val="0"/>
          <w:marBottom w:val="0"/>
          <w:divBdr>
            <w:top w:val="single" w:sz="2" w:space="0" w:color="D9D9E3"/>
            <w:left w:val="single" w:sz="2" w:space="0" w:color="D9D9E3"/>
            <w:bottom w:val="single" w:sz="2" w:space="0" w:color="D9D9E3"/>
            <w:right w:val="single" w:sz="2" w:space="0" w:color="D9D9E3"/>
          </w:divBdr>
          <w:divsChild>
            <w:div w:id="1002052833">
              <w:marLeft w:val="0"/>
              <w:marRight w:val="0"/>
              <w:marTop w:val="0"/>
              <w:marBottom w:val="0"/>
              <w:divBdr>
                <w:top w:val="single" w:sz="2" w:space="0" w:color="D9D9E3"/>
                <w:left w:val="single" w:sz="2" w:space="0" w:color="D9D9E3"/>
                <w:bottom w:val="single" w:sz="2" w:space="0" w:color="D9D9E3"/>
                <w:right w:val="single" w:sz="2" w:space="0" w:color="D9D9E3"/>
              </w:divBdr>
              <w:divsChild>
                <w:div w:id="1298801174">
                  <w:marLeft w:val="0"/>
                  <w:marRight w:val="0"/>
                  <w:marTop w:val="0"/>
                  <w:marBottom w:val="0"/>
                  <w:divBdr>
                    <w:top w:val="single" w:sz="2" w:space="0" w:color="D9D9E3"/>
                    <w:left w:val="single" w:sz="2" w:space="0" w:color="D9D9E3"/>
                    <w:bottom w:val="single" w:sz="2" w:space="0" w:color="D9D9E3"/>
                    <w:right w:val="single" w:sz="2" w:space="0" w:color="D9D9E3"/>
                  </w:divBdr>
                  <w:divsChild>
                    <w:div w:id="397553432">
                      <w:marLeft w:val="0"/>
                      <w:marRight w:val="0"/>
                      <w:marTop w:val="0"/>
                      <w:marBottom w:val="0"/>
                      <w:divBdr>
                        <w:top w:val="single" w:sz="2" w:space="0" w:color="D9D9E3"/>
                        <w:left w:val="single" w:sz="2" w:space="0" w:color="D9D9E3"/>
                        <w:bottom w:val="single" w:sz="2" w:space="0" w:color="D9D9E3"/>
                        <w:right w:val="single" w:sz="2" w:space="0" w:color="D9D9E3"/>
                      </w:divBdr>
                      <w:divsChild>
                        <w:div w:id="261451124">
                          <w:marLeft w:val="0"/>
                          <w:marRight w:val="0"/>
                          <w:marTop w:val="0"/>
                          <w:marBottom w:val="0"/>
                          <w:divBdr>
                            <w:top w:val="single" w:sz="2" w:space="0" w:color="auto"/>
                            <w:left w:val="single" w:sz="2" w:space="0" w:color="auto"/>
                            <w:bottom w:val="single" w:sz="6" w:space="0" w:color="auto"/>
                            <w:right w:val="single" w:sz="2" w:space="0" w:color="auto"/>
                          </w:divBdr>
                          <w:divsChild>
                            <w:div w:id="213886448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7506715">
                                  <w:marLeft w:val="0"/>
                                  <w:marRight w:val="0"/>
                                  <w:marTop w:val="0"/>
                                  <w:marBottom w:val="0"/>
                                  <w:divBdr>
                                    <w:top w:val="single" w:sz="2" w:space="0" w:color="D9D9E3"/>
                                    <w:left w:val="single" w:sz="2" w:space="0" w:color="D9D9E3"/>
                                    <w:bottom w:val="single" w:sz="2" w:space="0" w:color="D9D9E3"/>
                                    <w:right w:val="single" w:sz="2" w:space="0" w:color="D9D9E3"/>
                                  </w:divBdr>
                                  <w:divsChild>
                                    <w:div w:id="1759599756">
                                      <w:marLeft w:val="0"/>
                                      <w:marRight w:val="0"/>
                                      <w:marTop w:val="0"/>
                                      <w:marBottom w:val="0"/>
                                      <w:divBdr>
                                        <w:top w:val="single" w:sz="2" w:space="0" w:color="D9D9E3"/>
                                        <w:left w:val="single" w:sz="2" w:space="0" w:color="D9D9E3"/>
                                        <w:bottom w:val="single" w:sz="2" w:space="0" w:color="D9D9E3"/>
                                        <w:right w:val="single" w:sz="2" w:space="0" w:color="D9D9E3"/>
                                      </w:divBdr>
                                      <w:divsChild>
                                        <w:div w:id="1679772056">
                                          <w:marLeft w:val="0"/>
                                          <w:marRight w:val="0"/>
                                          <w:marTop w:val="0"/>
                                          <w:marBottom w:val="0"/>
                                          <w:divBdr>
                                            <w:top w:val="single" w:sz="2" w:space="0" w:color="D9D9E3"/>
                                            <w:left w:val="single" w:sz="2" w:space="0" w:color="D9D9E3"/>
                                            <w:bottom w:val="single" w:sz="2" w:space="0" w:color="D9D9E3"/>
                                            <w:right w:val="single" w:sz="2" w:space="0" w:color="D9D9E3"/>
                                          </w:divBdr>
                                          <w:divsChild>
                                            <w:div w:id="686564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58473282">
          <w:marLeft w:val="0"/>
          <w:marRight w:val="0"/>
          <w:marTop w:val="0"/>
          <w:marBottom w:val="0"/>
          <w:divBdr>
            <w:top w:val="none" w:sz="0" w:space="0" w:color="auto"/>
            <w:left w:val="none" w:sz="0" w:space="0" w:color="auto"/>
            <w:bottom w:val="none" w:sz="0" w:space="0" w:color="auto"/>
            <w:right w:val="none" w:sz="0" w:space="0" w:color="auto"/>
          </w:divBdr>
        </w:div>
      </w:divsChild>
    </w:div>
    <w:div w:id="1803157529">
      <w:bodyDiv w:val="1"/>
      <w:marLeft w:val="0"/>
      <w:marRight w:val="0"/>
      <w:marTop w:val="0"/>
      <w:marBottom w:val="0"/>
      <w:divBdr>
        <w:top w:val="none" w:sz="0" w:space="0" w:color="auto"/>
        <w:left w:val="none" w:sz="0" w:space="0" w:color="auto"/>
        <w:bottom w:val="none" w:sz="0" w:space="0" w:color="auto"/>
        <w:right w:val="none" w:sz="0" w:space="0" w:color="auto"/>
      </w:divBdr>
      <w:divsChild>
        <w:div w:id="246498730">
          <w:marLeft w:val="0"/>
          <w:marRight w:val="0"/>
          <w:marTop w:val="0"/>
          <w:marBottom w:val="0"/>
          <w:divBdr>
            <w:top w:val="single" w:sz="2" w:space="0" w:color="D9D9E3"/>
            <w:left w:val="single" w:sz="2" w:space="0" w:color="D9D9E3"/>
            <w:bottom w:val="single" w:sz="2" w:space="0" w:color="D9D9E3"/>
            <w:right w:val="single" w:sz="2" w:space="0" w:color="D9D9E3"/>
          </w:divBdr>
          <w:divsChild>
            <w:div w:id="1948737106">
              <w:marLeft w:val="0"/>
              <w:marRight w:val="0"/>
              <w:marTop w:val="0"/>
              <w:marBottom w:val="0"/>
              <w:divBdr>
                <w:top w:val="single" w:sz="2" w:space="0" w:color="D9D9E3"/>
                <w:left w:val="single" w:sz="2" w:space="0" w:color="D9D9E3"/>
                <w:bottom w:val="single" w:sz="2" w:space="0" w:color="D9D9E3"/>
                <w:right w:val="single" w:sz="2" w:space="0" w:color="D9D9E3"/>
              </w:divBdr>
              <w:divsChild>
                <w:div w:id="1764911962">
                  <w:marLeft w:val="0"/>
                  <w:marRight w:val="0"/>
                  <w:marTop w:val="0"/>
                  <w:marBottom w:val="0"/>
                  <w:divBdr>
                    <w:top w:val="single" w:sz="2" w:space="0" w:color="D9D9E3"/>
                    <w:left w:val="single" w:sz="2" w:space="0" w:color="D9D9E3"/>
                    <w:bottom w:val="single" w:sz="2" w:space="0" w:color="D9D9E3"/>
                    <w:right w:val="single" w:sz="2" w:space="0" w:color="D9D9E3"/>
                  </w:divBdr>
                  <w:divsChild>
                    <w:div w:id="781077625">
                      <w:marLeft w:val="0"/>
                      <w:marRight w:val="0"/>
                      <w:marTop w:val="0"/>
                      <w:marBottom w:val="0"/>
                      <w:divBdr>
                        <w:top w:val="single" w:sz="2" w:space="0" w:color="D9D9E3"/>
                        <w:left w:val="single" w:sz="2" w:space="0" w:color="D9D9E3"/>
                        <w:bottom w:val="single" w:sz="2" w:space="0" w:color="D9D9E3"/>
                        <w:right w:val="single" w:sz="2" w:space="0" w:color="D9D9E3"/>
                      </w:divBdr>
                      <w:divsChild>
                        <w:div w:id="531066499">
                          <w:marLeft w:val="0"/>
                          <w:marRight w:val="0"/>
                          <w:marTop w:val="0"/>
                          <w:marBottom w:val="0"/>
                          <w:divBdr>
                            <w:top w:val="single" w:sz="2" w:space="0" w:color="auto"/>
                            <w:left w:val="single" w:sz="2" w:space="0" w:color="auto"/>
                            <w:bottom w:val="single" w:sz="6" w:space="0" w:color="auto"/>
                            <w:right w:val="single" w:sz="2" w:space="0" w:color="auto"/>
                          </w:divBdr>
                          <w:divsChild>
                            <w:div w:id="1292177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513022">
                                  <w:marLeft w:val="0"/>
                                  <w:marRight w:val="0"/>
                                  <w:marTop w:val="0"/>
                                  <w:marBottom w:val="0"/>
                                  <w:divBdr>
                                    <w:top w:val="single" w:sz="2" w:space="0" w:color="D9D9E3"/>
                                    <w:left w:val="single" w:sz="2" w:space="0" w:color="D9D9E3"/>
                                    <w:bottom w:val="single" w:sz="2" w:space="0" w:color="D9D9E3"/>
                                    <w:right w:val="single" w:sz="2" w:space="0" w:color="D9D9E3"/>
                                  </w:divBdr>
                                  <w:divsChild>
                                    <w:div w:id="2023699930">
                                      <w:marLeft w:val="0"/>
                                      <w:marRight w:val="0"/>
                                      <w:marTop w:val="0"/>
                                      <w:marBottom w:val="0"/>
                                      <w:divBdr>
                                        <w:top w:val="single" w:sz="2" w:space="0" w:color="D9D9E3"/>
                                        <w:left w:val="single" w:sz="2" w:space="0" w:color="D9D9E3"/>
                                        <w:bottom w:val="single" w:sz="2" w:space="0" w:color="D9D9E3"/>
                                        <w:right w:val="single" w:sz="2" w:space="0" w:color="D9D9E3"/>
                                      </w:divBdr>
                                      <w:divsChild>
                                        <w:div w:id="1306623255">
                                          <w:marLeft w:val="0"/>
                                          <w:marRight w:val="0"/>
                                          <w:marTop w:val="0"/>
                                          <w:marBottom w:val="0"/>
                                          <w:divBdr>
                                            <w:top w:val="single" w:sz="2" w:space="0" w:color="D9D9E3"/>
                                            <w:left w:val="single" w:sz="2" w:space="0" w:color="D9D9E3"/>
                                            <w:bottom w:val="single" w:sz="2" w:space="0" w:color="D9D9E3"/>
                                            <w:right w:val="single" w:sz="2" w:space="0" w:color="D9D9E3"/>
                                          </w:divBdr>
                                          <w:divsChild>
                                            <w:div w:id="174687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27093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3390/ijerph1709321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hyperlink" Target="https://creativecommons.org/licenses/by-nc-nd/4.0/" TargetMode="External"/><Relationship Id="rId2" Type="http://schemas.openxmlformats.org/officeDocument/2006/relationships/hyperlink" Target="https://creativecommons.org/licenses/by-nc-nd/4.0/" TargetMode="External"/><Relationship Id="rId1" Type="http://schemas.openxmlformats.org/officeDocument/2006/relationships/image" Target="media/image2.png"/><Relationship Id="rId6" Type="http://schemas.openxmlformats.org/officeDocument/2006/relationships/hyperlink" Target="https://journals.mmupress.com/jiwe" TargetMode="External"/><Relationship Id="rId5" Type="http://schemas.openxmlformats.org/officeDocument/2006/relationships/hyperlink" Target="https://journals.mmupress.com/jiwe" TargetMode="External"/><Relationship Id="rId4" Type="http://schemas.openxmlformats.org/officeDocument/2006/relationships/hyperlink" Target="https://journals.mmupress.com/jiw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renukagrouplk-my.sharepoint.com/personal/chandanat_property_renukagroup_com/Documents/Chandana/01%20MarketingFeb2022/00%20Office%20building%20mkt/17%20Journal%20publication/01%20Pacific%20Rim%20Preperty%20Research/Paper%202/01%20R0%20-%20draft/00%20ju"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embeddings/oleObject1.bin"/></Relationships>
</file>

<file path=word/charts/_rels/chart3.xml.rels><?xml version="1.0" encoding="UTF-8" standalone="yes"?>
<Relationships xmlns="http://schemas.openxmlformats.org/package/2006/relationships"><Relationship Id="rId3" Type="http://schemas.openxmlformats.org/officeDocument/2006/relationships/oleObject" Target="../embeddings/oleObject2.bin"/><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8.5858705161854773E-2"/>
          <c:y val="0.13935185185185187"/>
          <c:w val="0.85858573928258963"/>
          <c:h val="0.59157006415864688"/>
        </c:manualLayout>
      </c:layout>
      <c:barChart>
        <c:barDir val="col"/>
        <c:grouping val="clustered"/>
        <c:varyColors val="0"/>
        <c:ser>
          <c:idx val="0"/>
          <c:order val="0"/>
          <c:spPr>
            <a:solidFill>
              <a:schemeClr val="dk1">
                <a:tint val="88500"/>
              </a:schemeClr>
            </a:solidFill>
            <a:ln>
              <a:noFill/>
            </a:ln>
            <a:effectLst/>
          </c:spPr>
          <c:invertIfNegative val="0"/>
          <c:dLbls>
            <c:delete val="1"/>
          </c:dLbls>
          <c:cat>
            <c:numRef>
              <c:f>'[00 just names of green articles.xlsx]List of articals year wise'!$K$204:$K$222</c:f>
              <c:numCache>
                <c:formatCode>General</c:formatCode>
                <c:ptCount val="19"/>
                <c:pt idx="0">
                  <c:v>2003</c:v>
                </c:pt>
                <c:pt idx="1">
                  <c:v>2004</c:v>
                </c:pt>
                <c:pt idx="2">
                  <c:v>2005</c:v>
                </c:pt>
                <c:pt idx="3">
                  <c:v>2006</c:v>
                </c:pt>
                <c:pt idx="4">
                  <c:v>2007</c:v>
                </c:pt>
                <c:pt idx="5">
                  <c:v>2008</c:v>
                </c:pt>
                <c:pt idx="6">
                  <c:v>2009</c:v>
                </c:pt>
                <c:pt idx="7">
                  <c:v>2010</c:v>
                </c:pt>
                <c:pt idx="8">
                  <c:v>2011</c:v>
                </c:pt>
                <c:pt idx="9">
                  <c:v>2012</c:v>
                </c:pt>
                <c:pt idx="10">
                  <c:v>2013</c:v>
                </c:pt>
                <c:pt idx="11">
                  <c:v>2014</c:v>
                </c:pt>
                <c:pt idx="12">
                  <c:v>2015</c:v>
                </c:pt>
                <c:pt idx="13">
                  <c:v>2016</c:v>
                </c:pt>
                <c:pt idx="14">
                  <c:v>2017</c:v>
                </c:pt>
                <c:pt idx="15">
                  <c:v>2018</c:v>
                </c:pt>
                <c:pt idx="16">
                  <c:v>2019</c:v>
                </c:pt>
                <c:pt idx="17">
                  <c:v>2020</c:v>
                </c:pt>
                <c:pt idx="18">
                  <c:v>2021</c:v>
                </c:pt>
              </c:numCache>
            </c:numRef>
          </c:cat>
          <c:val>
            <c:numRef>
              <c:f>'[00 just names of green articles.xlsx]List of articals year wise'!$L$204:$L$222</c:f>
              <c:numCache>
                <c:formatCode>General</c:formatCode>
                <c:ptCount val="19"/>
                <c:pt idx="0">
                  <c:v>1</c:v>
                </c:pt>
                <c:pt idx="1">
                  <c:v>0</c:v>
                </c:pt>
                <c:pt idx="2">
                  <c:v>0</c:v>
                </c:pt>
                <c:pt idx="3">
                  <c:v>0</c:v>
                </c:pt>
                <c:pt idx="4">
                  <c:v>0</c:v>
                </c:pt>
                <c:pt idx="5">
                  <c:v>1</c:v>
                </c:pt>
                <c:pt idx="6">
                  <c:v>2</c:v>
                </c:pt>
                <c:pt idx="7">
                  <c:v>3</c:v>
                </c:pt>
                <c:pt idx="8">
                  <c:v>3</c:v>
                </c:pt>
                <c:pt idx="9">
                  <c:v>4</c:v>
                </c:pt>
                <c:pt idx="10">
                  <c:v>3</c:v>
                </c:pt>
                <c:pt idx="11">
                  <c:v>4</c:v>
                </c:pt>
                <c:pt idx="12">
                  <c:v>5</c:v>
                </c:pt>
                <c:pt idx="13">
                  <c:v>2</c:v>
                </c:pt>
                <c:pt idx="14">
                  <c:v>2</c:v>
                </c:pt>
                <c:pt idx="15">
                  <c:v>7</c:v>
                </c:pt>
                <c:pt idx="16">
                  <c:v>6</c:v>
                </c:pt>
                <c:pt idx="17">
                  <c:v>5</c:v>
                </c:pt>
                <c:pt idx="18">
                  <c:v>1</c:v>
                </c:pt>
              </c:numCache>
            </c:numRef>
          </c:val>
          <c:extLst>
            <c:ext xmlns:c16="http://schemas.microsoft.com/office/drawing/2014/chart" uri="{C3380CC4-5D6E-409C-BE32-E72D297353CC}">
              <c16:uniqueId val="{00000000-1D64-465E-8D17-8E3B5EE515F8}"/>
            </c:ext>
          </c:extLst>
        </c:ser>
        <c:dLbls>
          <c:dLblPos val="ctr"/>
          <c:showLegendKey val="0"/>
          <c:showVal val="1"/>
          <c:showCatName val="0"/>
          <c:showSerName val="0"/>
          <c:showPercent val="0"/>
          <c:showBubbleSize val="0"/>
        </c:dLbls>
        <c:gapWidth val="150"/>
        <c:axId val="613544656"/>
        <c:axId val="613543344"/>
      </c:barChart>
      <c:catAx>
        <c:axId val="613544656"/>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AU">
                    <a:solidFill>
                      <a:sysClr val="windowText" lastClr="000000"/>
                    </a:solidFill>
                    <a:latin typeface="Times New Roman" panose="02020603050405020304" pitchFamily="18" charset="0"/>
                    <a:cs typeface="Times New Roman" panose="02020603050405020304" pitchFamily="18" charset="0"/>
                  </a:rPr>
                  <a:t>Year of publication</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3543344"/>
        <c:crosses val="autoZero"/>
        <c:auto val="1"/>
        <c:lblAlgn val="ctr"/>
        <c:lblOffset val="100"/>
        <c:noMultiLvlLbl val="0"/>
      </c:catAx>
      <c:valAx>
        <c:axId val="613543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AU">
                    <a:solidFill>
                      <a:sysClr val="windowText" lastClr="000000"/>
                    </a:solidFill>
                    <a:latin typeface="Times New Roman" panose="02020603050405020304" pitchFamily="18" charset="0"/>
                    <a:cs typeface="Times New Roman" panose="02020603050405020304" pitchFamily="18" charset="0"/>
                  </a:rPr>
                  <a:t>No of publications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35446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barChart>
        <c:barDir val="bar"/>
        <c:grouping val="clustered"/>
        <c:varyColors val="0"/>
        <c:ser>
          <c:idx val="0"/>
          <c:order val="0"/>
          <c:spPr>
            <a:solidFill>
              <a:schemeClr val="dk1">
                <a:tint val="88500"/>
              </a:schemeClr>
            </a:solidFill>
            <a:ln>
              <a:noFill/>
            </a:ln>
            <a:effectLst/>
          </c:spPr>
          <c:invertIfNegative val="0"/>
          <c:cat>
            <c:strRef>
              <c:f>'[00 just names of green articles.xlsx]List of articals location wise'!$C$214:$C$227</c:f>
              <c:strCache>
                <c:ptCount val="14"/>
                <c:pt idx="0">
                  <c:v>Australia</c:v>
                </c:pt>
                <c:pt idx="1">
                  <c:v>Brasil</c:v>
                </c:pt>
                <c:pt idx="2">
                  <c:v>Germany</c:v>
                </c:pt>
                <c:pt idx="3">
                  <c:v>Hong Kong</c:v>
                </c:pt>
                <c:pt idx="4">
                  <c:v>Italy</c:v>
                </c:pt>
                <c:pt idx="5">
                  <c:v>India</c:v>
                </c:pt>
                <c:pt idx="6">
                  <c:v>South Korea</c:v>
                </c:pt>
                <c:pt idx="7">
                  <c:v>Netherland</c:v>
                </c:pt>
                <c:pt idx="8">
                  <c:v>Poland</c:v>
                </c:pt>
                <c:pt idx="9">
                  <c:v>China</c:v>
                </c:pt>
                <c:pt idx="10">
                  <c:v>Canada</c:v>
                </c:pt>
                <c:pt idx="11">
                  <c:v>Malaysia</c:v>
                </c:pt>
                <c:pt idx="12">
                  <c:v>UK, London</c:v>
                </c:pt>
                <c:pt idx="13">
                  <c:v>USA</c:v>
                </c:pt>
              </c:strCache>
            </c:strRef>
          </c:cat>
          <c:val>
            <c:numRef>
              <c:f>'[00 just names of green articles.xlsx]List of articals location wise'!$D$214:$D$227</c:f>
              <c:numCache>
                <c:formatCode>General</c:formatCode>
                <c:ptCount val="14"/>
                <c:pt idx="0">
                  <c:v>1</c:v>
                </c:pt>
                <c:pt idx="1">
                  <c:v>1</c:v>
                </c:pt>
                <c:pt idx="2">
                  <c:v>1</c:v>
                </c:pt>
                <c:pt idx="3">
                  <c:v>1</c:v>
                </c:pt>
                <c:pt idx="4">
                  <c:v>1</c:v>
                </c:pt>
                <c:pt idx="5">
                  <c:v>1</c:v>
                </c:pt>
                <c:pt idx="6">
                  <c:v>1</c:v>
                </c:pt>
                <c:pt idx="7">
                  <c:v>1</c:v>
                </c:pt>
                <c:pt idx="8">
                  <c:v>2</c:v>
                </c:pt>
                <c:pt idx="9">
                  <c:v>2</c:v>
                </c:pt>
                <c:pt idx="10">
                  <c:v>4</c:v>
                </c:pt>
                <c:pt idx="11">
                  <c:v>5</c:v>
                </c:pt>
                <c:pt idx="12">
                  <c:v>5</c:v>
                </c:pt>
                <c:pt idx="13">
                  <c:v>21</c:v>
                </c:pt>
              </c:numCache>
            </c:numRef>
          </c:val>
          <c:extLst>
            <c:ext xmlns:c16="http://schemas.microsoft.com/office/drawing/2014/chart" uri="{C3380CC4-5D6E-409C-BE32-E72D297353CC}">
              <c16:uniqueId val="{00000000-8B7C-4ABB-A9F1-C05B2F659BE7}"/>
            </c:ext>
          </c:extLst>
        </c:ser>
        <c:dLbls>
          <c:showLegendKey val="0"/>
          <c:showVal val="0"/>
          <c:showCatName val="0"/>
          <c:showSerName val="0"/>
          <c:showPercent val="0"/>
          <c:showBubbleSize val="0"/>
        </c:dLbls>
        <c:gapWidth val="182"/>
        <c:axId val="645613456"/>
        <c:axId val="645608864"/>
      </c:barChart>
      <c:catAx>
        <c:axId val="645613456"/>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AU">
                    <a:solidFill>
                      <a:sysClr val="windowText" lastClr="000000"/>
                    </a:solidFill>
                    <a:latin typeface="Times New Roman" panose="02020603050405020304" pitchFamily="18" charset="0"/>
                    <a:cs typeface="Times New Roman" panose="02020603050405020304" pitchFamily="18" charset="0"/>
                  </a:rPr>
                  <a:t>Country</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5608864"/>
        <c:crosses val="autoZero"/>
        <c:auto val="1"/>
        <c:lblAlgn val="ctr"/>
        <c:lblOffset val="100"/>
        <c:noMultiLvlLbl val="0"/>
      </c:catAx>
      <c:valAx>
        <c:axId val="6456088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AU" sz="1000">
                    <a:solidFill>
                      <a:sysClr val="windowText" lastClr="000000"/>
                    </a:solidFill>
                    <a:latin typeface="Times New Roman" panose="02020603050405020304" pitchFamily="18" charset="0"/>
                    <a:cs typeface="Times New Roman" panose="02020603050405020304" pitchFamily="18" charset="0"/>
                  </a:rPr>
                  <a:t>Number of publications</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5613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bar"/>
        <c:grouping val="stack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bg1">
                        <a:alpha val="9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'[00 just names of green articles.xlsx]Summary for publication'!$B$285:$B$287</c:f>
              <c:strCache>
                <c:ptCount val="3"/>
                <c:pt idx="0">
                  <c:v>USA</c:v>
                </c:pt>
                <c:pt idx="1">
                  <c:v>Europe</c:v>
                </c:pt>
                <c:pt idx="2">
                  <c:v>Others</c:v>
                </c:pt>
              </c:strCache>
            </c:strRef>
          </c:cat>
          <c:val>
            <c:numRef>
              <c:f>'[00 just names of green articles.xlsx]Summary for publication'!$C$285:$C$287</c:f>
              <c:numCache>
                <c:formatCode>0%</c:formatCode>
                <c:ptCount val="3"/>
                <c:pt idx="0">
                  <c:v>0.85</c:v>
                </c:pt>
                <c:pt idx="1">
                  <c:v>0.81</c:v>
                </c:pt>
                <c:pt idx="2">
                  <c:v>0.75</c:v>
                </c:pt>
              </c:numCache>
            </c:numRef>
          </c:val>
          <c:extLst>
            <c:ext xmlns:c16="http://schemas.microsoft.com/office/drawing/2014/chart" uri="{C3380CC4-5D6E-409C-BE32-E72D297353CC}">
              <c16:uniqueId val="{00000000-D2E1-4E37-930C-474D7079BF01}"/>
            </c:ext>
          </c:extLst>
        </c:ser>
        <c:dLbls>
          <c:showLegendKey val="0"/>
          <c:showVal val="0"/>
          <c:showCatName val="0"/>
          <c:showSerName val="0"/>
          <c:showPercent val="0"/>
          <c:showBubbleSize val="0"/>
        </c:dLbls>
        <c:gapWidth val="150"/>
        <c:overlap val="100"/>
        <c:axId val="466048376"/>
        <c:axId val="466049456"/>
      </c:barChart>
      <c:catAx>
        <c:axId val="46604837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solidFill>
                      <a:sysClr val="windowText" lastClr="000000"/>
                    </a:solidFill>
                    <a:latin typeface="Times New Roman" panose="02020603050405020304" pitchFamily="18" charset="0"/>
                    <a:cs typeface="Times New Roman" panose="02020603050405020304" pitchFamily="18" charset="0"/>
                  </a:rPr>
                  <a:t>Region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66049456"/>
        <c:crosses val="autoZero"/>
        <c:auto val="1"/>
        <c:lblAlgn val="ctr"/>
        <c:lblOffset val="100"/>
        <c:noMultiLvlLbl val="0"/>
      </c:catAx>
      <c:valAx>
        <c:axId val="4660494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b="0" i="0" baseline="0">
                    <a:solidFill>
                      <a:sysClr val="windowText" lastClr="000000"/>
                    </a:solidFill>
                    <a:effectLst/>
                    <a:latin typeface="Times New Roman" panose="02020603050405020304" pitchFamily="18" charset="0"/>
                    <a:cs typeface="Times New Roman" panose="02020603050405020304" pitchFamily="18" charset="0"/>
                  </a:rPr>
                  <a:t>% of studies confirmed significant positive correlation</a:t>
                </a:r>
                <a:endParaRPr lang="en-US" sz="1000">
                  <a:solidFill>
                    <a:sysClr val="windowText" lastClr="000000"/>
                  </a:solidFill>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66048376"/>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27672-8EFC-44B6-992C-10650CF76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20</Pages>
  <Words>10090</Words>
  <Characters>57516</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SIVANANTHAN A L SELIYAN</cp:lastModifiedBy>
  <cp:revision>8</cp:revision>
  <cp:lastPrinted>2023-05-25T07:33:00Z</cp:lastPrinted>
  <dcterms:created xsi:type="dcterms:W3CDTF">2024-08-11T12:50:00Z</dcterms:created>
  <dcterms:modified xsi:type="dcterms:W3CDTF">2025-10-17T17:54:00Z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ef7cbb62274c5b79ac900652323dae1a5828f168d97b51cc019db0b12e5af59d</vt:lpwstr>
  </property>
</Properties>
</file>