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4F4D" w:rsidRDefault="00234F4D">
      <w:pPr>
        <w:rPr>
          <w:rtl/>
        </w:rPr>
      </w:pPr>
    </w:p>
    <w:p w:rsidR="00234F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08" inset="0,0,0,0">
              <w:txbxContent>
                <w:p w:rsidR="00F518BB" w:rsidRDefault="00F518BB">
                  <w:r>
                    <w:rPr>
                      <w:rtl/>
                    </w:rPr>
                    <w:t>56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" o:spid="_x0000_s1026" type="#_x0000_t202" style="position:absolute;left:0;text-align:left;margin-left:83.6pt;margin-top:739.7pt;width:422.15pt;height:77.4pt;z-index:4;mso-position-horizontal-relative:page;mso-position-vertical-relative:page" stroked="f">
            <v:textbox style="mso-next-textbox:#_x0000_s2909" inset="0,0,0,0">
              <w:txbxContent>
                <w:p w:rsidR="00F518BB" w:rsidRDefault="00F518BB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נתקבל בכנסת ביום ט"ו בשבט תשי"ד (19 בינואר 1954) ; הצעת החוק ודברי הסבר נתפרסמו</w:t>
                  </w:r>
                </w:p>
                <w:p w:rsidR="00F518BB" w:rsidRPr="00234F4D" w:rsidRDefault="00F518BB">
                  <w:pPr>
                    <w:pStyle w:val="OCRStyle1"/>
                    <w:ind w:left="6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186, תשי"ד, עט' .46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" o:spid="_x0000_s1027" type="#_x0000_t202" style="position:absolute;left:0;text-align:left;margin-left:82.6pt;margin-top:112.45pt;width:501.55pt;height:624.3pt;z-index:3;mso-position-horizontal-relative:page;mso-position-vertical-relative:page" stroked="f">
            <v:textbox style="mso-next-textbox:#_x0000_s291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2"/>
                    <w:gridCol w:w="1357"/>
                  </w:tblGrid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האוצר מורשה ללוות' בשם מדינת ישראל' סכום שלא יעלה על שלוש מאות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מיליון דולר (מעה או מטבע של ארצות הברית של אמריקה, או שוויו במטבע של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אחרות), ולהוציא ולמכור למטרה זו, מזמן לזמן, אגרות-חוב בארצות הברית של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ובארצות אחרות.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אגרות החוב שהוצאו לפי חוק זה (להלן - אגרות-חוב) ייקראו "אגרות מדינת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מילווה הפיתוח ((</w:t>
                        </w:r>
                        <w:r>
                          <w:t>State of Israel Bonds) Dovelopment Issue</w:t>
                        </w:r>
                        <w:r>
                          <w:rPr>
                            <w:rtl/>
                          </w:rPr>
                          <w:t>)  או בשינויי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זה ובסימוני סדרות, כפי שיקבע שר האוצר.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 וסימונז</w:t>
                        </w:r>
                      </w:p>
                    </w:tc>
                  </w:tr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אגרות החוב יהיו ניתנות להוצאה בסדרות שנתיות או בסדרות אחרות ושר האוצר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אגרות החוב ושל כל סדרה שלהן, את הסכומים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יוצעו, בכפוף להגבלה שבסעיף 1, את דרכי הוצאתן, את הכללים והתנאים שיחולו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עליהן. לרבות הגבלות על העברתן. אין חובה שהכללים והתנאים יהיו אחידים לכל הסדרות,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אפשר שיהיו שונים מסדרה לסדרה.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לשר האוצר</w:t>
                        </w:r>
                      </w:p>
                    </w:tc>
                  </w:tr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(א&gt; אגרות החוב יכולות להיות מוצאות על בסיס של נשיאת ריבית, על בסים של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בסיס של צירוף נשיאת ריבית עם גדילת הון, ומועד פדיונן יהיה בזמן או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בזמנים שיקבע שר האוצר, ובלבד ששום אגרת שהוצאה על פי חוק זה לא יהא מועד פדיונה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מחמש עשרה שנים מיום תאריך ההוצאה. שיעור הריבית שישאו האגרות שהוצאו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בסיס של נשיאת ריבית' שיעור גדילת ההון של האגרות שהוצאו על בסיס של גדילת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ושיעור הריבית והגדילה של האגרות שהוצאו על בסיס של צירוף נשיאת ריבית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גדילת הון יהיו כפי שיקבע שר האוצר, ובלבד ששום אגרת שהוצאה על פי חוק זה לא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תביא פרי השקעה העולה על ארבעה אחוזים לשנה, המצטברים לקרן כל הצי שנה, לאחר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בחשבון שיעור הריבית או הגדילה או כל נכיון או פרמיה שיחולו עליה. ערכן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אגרות החוב, המחיר או המחירים שבהם ניתן למכרן, וכן הכללים והתנאים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זה, שבהם ניתן לפדותן לפני מועד פדיונן ובבוא המועד, יהיו יפי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מזמן לזמן.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להתיר, ששטרי התחיבות של מדינת ישראל שזמן פרעונם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לאגרות, והוא רשאי לציין את שטרי ההתחיבות של מדינת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שיותר לקבלן כאמור ואת הכללים והתנאים לקבלתן.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ערכן הנקוב של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החוב,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סונן וטבען</w:t>
                        </w:r>
                      </w:p>
                    </w:tc>
                  </w:tr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אגרת-חוב תישא את חותם המדינה אי את דמותו.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אגרת-חוב תהא חתומה ביד ראש הממשלה וביד שר האוצר או בחותם חקוק,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 ; התלוש המצורף לאגרת-תלושים - דייו שיהא התום בחותם חקוק של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  <w:p w:rsidR="00F518BB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שאגרת-חוב תיחתם בידי אנשים נוספים שימנה לכך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אנרות-חוב</w:t>
                        </w:r>
                      </w:p>
                    </w:tc>
                  </w:tr>
                  <w:tr w:rsidR="00F518BB" w:rsidRPr="00234F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הקרן, הריבית, הקרן המוגדלת ומחיר הפדיון, המשתלמים לפי אגרות החוב, ישולמו -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להוראה שבסעיף 7 בדבר הפדיון במטבע ישראל לפי ברירת מחזיק האגרת -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518BB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</w:t>
                        </w:r>
                      </w:p>
                      <w:p w:rsidR="00F518BB" w:rsidRPr="00234F4D" w:rsidRDefault="00F518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במועד הפדיון</w:t>
                        </w:r>
                      </w:p>
                    </w:tc>
                  </w:tr>
                </w:tbl>
                <w:p w:rsidR="00F518BB" w:rsidRDefault="00F518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1" o:spid="_x0000_s1028" type="#_x0000_t202" style="position:absolute;left:0;text-align:left;margin-left:127.95pt;margin-top:85.3pt;width:353.65pt;height:20.2pt;z-index:2;mso-position-horizontal-relative:page;mso-position-vertical-relative:page" stroked="f">
            <v:textbox style="mso-next-textbox:#_x0000_s2911" inset="0,0,0,0">
              <w:txbxContent>
                <w:p w:rsidR="00F518BB" w:rsidRPr="00234F4D" w:rsidRDefault="00F518BB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אגרות מדינת ישראל (מילווה הפיתוח),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" o:spid="_x0000_s1029" type="#_x0000_t202" style="position:absolute;left:0;text-align:left;margin-left:520.75pt;margin-top:69.25pt;width:56.45pt;height:16.05pt;z-index:1;mso-position-horizontal-relative:page;mso-position-vertical-relative:page" stroked="f">
            <v:textbox style="mso-next-textbox:#_x0000_s2912" inset="0,0,0,0">
              <w:txbxContent>
                <w:p w:rsidR="00F518BB" w:rsidRDefault="00F518B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</w:p>
    <w:p w:rsidR="00F518BB" w:rsidRDefault="00F518BB">
      <w:pPr>
        <w:rPr>
          <w:rtl/>
        </w:rPr>
      </w:pPr>
      <w:r>
        <w:rPr>
          <w:rtl/>
        </w:rPr>
        <w:br w:type="page"/>
      </w:r>
    </w:p>
    <w:p w:rsidR="00F518BB" w:rsidRDefault="00000000">
      <w:pPr>
        <w:rPr>
          <w:rtl/>
        </w:rPr>
      </w:pPr>
      <w:r>
        <w:pict>
          <v:shape id="_x0000_s291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13" inset="0,0,0,0">
              <w:txbxContent>
                <w:p w:rsidR="00F518BB" w:rsidRDefault="00F518BB">
                  <w:r>
                    <w:rPr>
                      <w:rtl/>
                    </w:rPr>
                    <w:t>57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" o:spid="_x0000_s1031" type="#_x0000_t202" style="position:absolute;left:0;text-align:left;margin-left:359.05pt;margin-top:784.4pt;width:205.15pt;height:23.95pt;z-index:10;mso-position-horizontal-relative:page;mso-position-vertical-relative:page" stroked="f">
            <v:textbox style="mso-next-textbox:#_x0000_s2914" inset="0,0,0,0">
              <w:txbxContent>
                <w:p w:rsidR="00F518BB" w:rsidRDefault="00F518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15" o:spid="_x0000_s1032" type="#_x0000_t202" style="position:absolute;left:0;text-align:left;margin-left:167.15pt;margin-top:560.45pt;width:83.95pt;height:37.05pt;z-index:9;mso-position-horizontal-relative:page;mso-position-vertical-relative:page" stroked="f">
            <v:textbox style="mso-next-textbox:#_x0000_s2915" inset="0,0,0,0">
              <w:txbxContent>
                <w:p w:rsidR="00F518BB" w:rsidRDefault="00F518BB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518BB" w:rsidRDefault="00F518BB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" o:spid="_x0000_s1033" type="#_x0000_t202" style="position:absolute;left:0;text-align:left;margin-left:288.15pt;margin-top:564.4pt;width:143.95pt;height:50.1pt;z-index:8;mso-position-horizontal-relative:page;mso-position-vertical-relative:page" stroked="f">
            <v:textbox style="mso-next-textbox:#_x0000_s2916" inset="0,0,0,0">
              <w:txbxContent>
                <w:p w:rsidR="00F518BB" w:rsidRDefault="00F518BB">
                  <w:pPr>
                    <w:pStyle w:val="OCRStyle2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518BB" w:rsidRDefault="00F518BB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518BB" w:rsidRDefault="00F518BB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" o:spid="_x0000_s1034" type="#_x0000_t202" style="position:absolute;left:0;text-align:left;margin-left:433.1pt;margin-top:613.35pt;width:102.95pt;height:43.15pt;z-index:7;mso-position-horizontal-relative:page;mso-position-vertical-relative:page" stroked="f">
            <v:textbox style="mso-next-textbox:#_x0000_s2917" inset="0,0,0,0">
              <w:txbxContent>
                <w:p w:rsidR="00F518BB" w:rsidRDefault="00F518BB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 צב י</w:t>
                  </w:r>
                </w:p>
                <w:p w:rsidR="00F518BB" w:rsidRDefault="00F518BB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" o:spid="_x0000_s1035" type="#_x0000_t202" style="position:absolute;left:0;text-align:left;margin-left:85.2pt;margin-top:63.5pt;width:476pt;height:479.95pt;z-index:6;mso-position-horizontal-relative:page;mso-position-vertical-relative:page" stroked="f">
            <v:textbox style="mso-next-textbox:#_x0000_s29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7"/>
                    <w:gridCol w:w="7566"/>
                  </w:tblGrid>
                  <w:tr w:rsidR="00F518B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2" w:type="pct"/>
                      </w:tcPr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 מתוך הכנסותיה הכלליות של מדינת ישראל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במלוא מהימנותה ואחריותה.</w:t>
                        </w:r>
                      </w:p>
                    </w:tc>
                  </w:tr>
                  <w:tr w:rsidR="00F518BB" w:rsidRPr="00F518B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  <w:p w:rsidR="00F518BB" w:rsidRP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שר האוצר מוסמך בזה לקבוע כללים ותנאים לפיהם אפשר לפדות אגרת-חוב לפני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לרבות כללים ותנאים שבהם תפדה מדינת ישראל אגרת במטבע ישראל לפי</w:t>
                        </w:r>
                      </w:p>
                      <w:p w:rsidR="00F518BB" w:rsidRP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של מחזיק האגרת.</w:t>
                        </w:r>
                      </w:p>
                    </w:tc>
                  </w:tr>
                  <w:tr w:rsidR="00F518BB" w:rsidRPr="00F518B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F518BB" w:rsidRP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אגרות החוב פטורות ממס בולים.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אגרת-חוב שהבעלות-למעשה עליה היא בידי תושב-חוץ יהיו הקרן, הריבית,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המשתלמים לפיה, וכל הכנסה או השתכרות שהגיעו מכל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בה, פטורים מכל מס' בין לפי הערך ובין אחר, בין שתחולתו כללית ובין שהיא</w:t>
                        </w:r>
                      </w:p>
                      <w:p w:rsidR="00F518BB" w:rsidRP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המוטלים או העתידים להיות מוטלים בישראל.</w:t>
                        </w:r>
                      </w:p>
                    </w:tc>
                  </w:tr>
                  <w:tr w:rsidR="00F518BB" w:rsidRPr="00F518B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F518BB" w:rsidRP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רשאי למנות, בארצות הברית של אמריקה ובארצות אחרות, סוכני האוצר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זה' והוא רשאי להתקשר בחוזים בשם מדינת ישראל עם כל אדם לשם ביצוע</w:t>
                        </w:r>
                      </w:p>
                      <w:p w:rsidR="00F518BB" w:rsidRP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אגרות החוב.</w:t>
                        </w:r>
                      </w:p>
                    </w:tc>
                  </w:tr>
                  <w:tr w:rsidR="00F518BB" w:rsidRPr="00F518B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F518BB" w:rsidRP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F518BB" w:rsidRDefault="00F518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האוצר ממונה על ביצוע חוק זה והוא רשאי: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זה, ובכלל זה - כל התקשרות מן הסוג הנזכר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9;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בחוץ-לארץ על מנת לעסוק בשמו במכירת אגרות החוב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 ;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והעברתן.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מדינת</w:t>
                        </w:r>
                      </w:p>
                      <w:p w:rsid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F518BB" w:rsidRPr="00F518BB" w:rsidRDefault="00F518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F518BB" w:rsidRDefault="00F518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4F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47DF26-8E39-4C93-8D78-0772836B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4F4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18B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2008-04-06T18:39:00Z</dcterms:created>
  <dcterms:modified xsi:type="dcterms:W3CDTF">2008-04-06T18:39:00Z</dcterms:modified>
</cp:coreProperties>
</file>