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080D" w:rsidRDefault="00DF080D">
      <w:pPr>
        <w:rPr>
          <w:rtl/>
        </w:rPr>
      </w:pPr>
    </w:p>
    <w:p w:rsidR="00DF08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69" inset="0,0,0,0">
              <w:txbxContent>
                <w:p w:rsidR="00DF080D" w:rsidRDefault="00DF080D">
                  <w:r>
                    <w:rPr>
                      <w:rtl/>
                    </w:rPr>
                    <w:t>84                                           ספר החוקים 246                   כ"א באדר התשי"ח 13.03.1958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" o:spid="_x0000_s1026" type="#_x0000_t202" style="position:absolute;left:0;text-align:left;margin-left:73.6pt;margin-top:776.25pt;width:184.15pt;height:35.25pt;z-index:7;mso-position-horizontal-relative:page;mso-position-vertical-relative:page" stroked="f">
            <v:textbox style="mso-next-textbox:#_x0000_s2970" inset="0,0,0,0">
              <w:txbxContent>
                <w:p w:rsidR="00DF080D" w:rsidRDefault="00DF08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1" o:spid="_x0000_s1027" type="#_x0000_t202" style="position:absolute;left:0;text-align:left;margin-left:72.6pt;margin-top:728.15pt;width:401.55pt;height:36.25pt;z-index:6;mso-position-horizontal-relative:page;mso-position-vertical-relative:page" stroked="f">
            <v:textbox style="mso-next-textbox:#_x0000_s2971" inset="0,0,0,0">
              <w:txbxContent>
                <w:p w:rsidR="00DF080D" w:rsidRDefault="00DF080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י"א באדר תשי"ח (3 במרס 1958); הצעת החוק ודברי הסבר נתפרסמו בה"ח 337, תשי''ח,</w:t>
                  </w:r>
                </w:p>
                <w:p w:rsidR="00DF080D" w:rsidRDefault="00DF080D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160.</w:t>
                  </w:r>
                </w:p>
                <w:p w:rsidR="00DF080D" w:rsidRPr="00DF080D" w:rsidRDefault="00DF080D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93, תשי"ב,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2" o:spid="_x0000_s1028" type="#_x0000_t202" style="position:absolute;left:0;text-align:left;margin-left:80.15pt;margin-top:392.35pt;width:122.95pt;height:49.9pt;z-index:5;mso-position-horizontal-relative:page;mso-position-vertical-relative:page" stroked="f">
            <v:textbox style="mso-next-textbox:#_x0000_s2972" inset="0,0,0,0">
              <w:txbxContent>
                <w:p w:rsidR="00DF080D" w:rsidRDefault="00DF080D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DF080D" w:rsidRDefault="00DF080D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3" o:spid="_x0000_s1029" type="#_x0000_t202" style="position:absolute;left:0;text-align:left;margin-left:346.65pt;margin-top:434.9pt;width:113.65pt;height:42.55pt;z-index:4;mso-position-horizontal-relative:page;mso-position-vertical-relative:page" stroked="f">
            <v:textbox style="mso-next-textbox:#_x0000_s2973" inset="0,0,0,0">
              <w:txbxContent>
                <w:p w:rsidR="00DF080D" w:rsidRDefault="00DF080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DF080D" w:rsidRDefault="00DF080D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4" o:spid="_x0000_s1030" type="#_x0000_t202" style="position:absolute;left:0;text-align:left;margin-left:216.95pt;margin-top:396.9pt;width:104.55pt;height:37.05pt;z-index:3;mso-position-horizontal-relative:page;mso-position-vertical-relative:page" stroked="f">
            <v:textbox style="mso-next-textbox:#_x0000_s2974" inset="0,0,0,0">
              <w:txbxContent>
                <w:p w:rsidR="00DF080D" w:rsidRDefault="00DF080D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F080D" w:rsidRDefault="00DF080D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5" o:spid="_x0000_s1031" type="#_x0000_t202" style="position:absolute;left:0;text-align:left;margin-left:65.3pt;margin-top:121.25pt;width:490.45pt;height:262.75pt;z-index:2;mso-position-horizontal-relative:page;mso-position-vertical-relative:page" stroked="f">
            <v:textbox style="mso-next-textbox:#_x0000_s297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1"/>
                    <w:gridCol w:w="1495"/>
                    <w:gridCol w:w="1354"/>
                  </w:tblGrid>
                  <w:tr w:rsidR="00DF080D" w:rsidRPr="00DF080D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DF080D" w:rsidRP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10 לחוק האזרחות' תשי"ב-1952 1, יבוא סעיף זה: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F080D" w:rsidRPr="00DF080D" w:rsidRDefault="00DF08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DF080D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DF080D" w:rsidRDefault="00DF08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אזרח ישראלי בגיר שאינו תושב ישראל, רשאי להצהיר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שרצונו לוותר על אזרחותו.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 בניר המצהיר שרצונו לחדול מהיות תושב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רשאי, אם ראה שר הפנים סיבה מיוחדת המצדיקה זאת, להצהיר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שרצונו לוותר על אזרחותו.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ויתור על אזרחות טעון הסכמת שר הפנים.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הסכים שר הפנים לויתור על אזרחות' מתבטלת האזרחות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היום שקבע השר.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אזרה ישראלי קטין, אזרחותו מתבטלת אם הוריו ויתרו על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אזרחותם; אך אם ויתרו כאמור בסעיף קטן (ב), רשאי שר הפנים/ אם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סיבה מיוחדת המצדיקה זאת, שלא להסכים לויתור במידה שהוא נוגע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 אזרחותו של הקטץ.</w:t>
                        </w:r>
                      </w:p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תתבטל אזרחותו של קטין לפי סעיף זה כל עוד אחד</w:t>
                        </w:r>
                      </w:p>
                      <w:p w:rsidR="00DF080D" w:rsidRP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מהוריו נשאר אזרח ישראלי."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DF080D" w:rsidRPr="00DF080D" w:rsidRDefault="00DF08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''ויתור על אזרחות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F080D" w:rsidRDefault="00DF08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F080D" w:rsidRDefault="00DF08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6" o:spid="_x0000_s1032" type="#_x0000_t202" style="position:absolute;left:0;text-align:left;margin-left:157.75pt;margin-top:84.25pt;width:235.05pt;height:23.15pt;z-index:1;mso-position-horizontal-relative:page;mso-position-vertical-relative:page" stroked="f">
            <v:textbox style="mso-next-textbox:#_x0000_s2976" inset="0,0,0,0">
              <w:txbxContent>
                <w:p w:rsidR="00DF080D" w:rsidRPr="00DF080D" w:rsidRDefault="00DF080D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האזרחות (תיקון),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08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D89DE4-D0C5-425F-AF91-DCBCCC74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080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2008-04-06T19:14:00Z</dcterms:created>
  <dcterms:modified xsi:type="dcterms:W3CDTF">2008-04-06T19:14:00Z</dcterms:modified>
</cp:coreProperties>
</file>