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17FE" w:rsidRDefault="00A517FE">
      <w:pPr>
        <w:rPr>
          <w:rtl/>
        </w:rPr>
      </w:pPr>
    </w:p>
    <w:p w:rsidR="00A517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26" inset="0,0,0,0">
              <w:txbxContent>
                <w:p w:rsidR="00101363" w:rsidRDefault="00101363">
                  <w:r>
                    <w:rPr>
                      <w:rtl/>
                    </w:rPr>
                    <w:t>26                                           ספר החוקים 306                    י' בניסן התש"כ 07.04.1960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" o:spid="_x0000_s1026" type="#_x0000_t202" style="position:absolute;left:0;text-align:left;margin-left:100.4pt;margin-top:675.7pt;width:381.15pt;height:66.9pt;z-index:3;mso-position-horizontal-relative:page;mso-position-vertical-relative:page" stroked="f">
            <v:textbox style="mso-next-textbox:#_x0000_s3027" inset="0,0,0,0">
              <w:txbxContent>
                <w:p w:rsidR="00101363" w:rsidRDefault="0010136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בניסן תש"ך (4 באפריל 1900); הצעת החוק ודברי הסבר נתפרסמו בה"ח 412, תש"ך, עמ '30,</w:t>
                  </w:r>
                </w:p>
                <w:p w:rsidR="00101363" w:rsidRDefault="0010136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 קי'ת 677, תשי"ז, עמ' 907.</w:t>
                  </w:r>
                </w:p>
                <w:p w:rsidR="00101363" w:rsidRPr="00A517FE" w:rsidRDefault="00101363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8 ס"ח 111, תשי"ב, עמי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8" o:spid="_x0000_s1027" type="#_x0000_t202" style="position:absolute;left:0;text-align:left;margin-left:88.9pt;margin-top:106.45pt;width:465.5pt;height:569.05pt;z-index:2;mso-position-horizontal-relative:page;mso-position-vertical-relative:page" stroked="f">
            <v:textbox style="mso-next-textbox:#_x0000_s30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271"/>
                  </w:tblGrid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"מלון" - לרבות פנסיון, בית אירוח וכל מוסד כיוצא באלה;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מלון" - לרבות מי שבידיו הנהלת המלון;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"צו-אכסון" - צו לפי סעיף 3.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ראש הממשלה רשאי למנות פקידי אכסון לענין חוק זה.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על פי סעיף זה יכול להיות כללי או מסוייג.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מינוי על פי סעיף זה יפורסם ברשומות.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 אכסון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מלון שיש עליו אישור לפי צו ההגנה (זיהוי עסקים למכירת טובין ומתן שירותים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לתיירים), תשי"ז-1957 1, רשאי פקיד האכסון, בצו בחתימת לדו, לחייב את בעל המלון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לאכסן בו, במשך התקופה המפורשת בצו, תושב חוץ, או מפנה חדר מכוח חוק זה, ששמם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בצו; ניתן צו כאמור חייב בעל המלון לאכסן את האדם בתנאי הלינה, הכלכלה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 הנהוגים באותו מלון.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צו-אכסון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בצו-האכסון תפורש הזכות לערור עליו לפי הוראות חוק זה, המועד לערר ומען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זכות הערר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צו-אכסון לא יינתן, אלא אם נוכח פקיד האכסון, כי הדבר דרוש לאכסון תיירים,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אפשרויות האכסון במלונות' או לשם אכסון חלוף למי שמפנה חדר מכוח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מנורת צו אכסון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צו-אכסון יינתן, ככל האפשר, סמוך לשעה שבה נראה לפקיד האכסון שאין עוד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את מטרתו אלא באמצעותו.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למתן צו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אכסון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יינתן צו-אכסון על חדר התפוס בידי אדם השוהה בישראל על פי אשרה ורשיון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 מעבר או לישיבת ביקור, כמשמעותם בחוק הכניסה לישראל, תשי"ב-1952 2, אלא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תמה התקופה שבה הוא רשאי לתפוס את החדר על פי הסכם או על פי הזמנה שאושרה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המלון או מטעמו, והחדר דרוש למען אדם אחר השוהה כאמור והזמין את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החדר לתקופה המתחילה כתום תקופת אכסונו של האדם שקדם לו.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 התפוס בידי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.לא יינתן צו-אכסון על חדר לתקופה שלה הוזמן החדר על ידי תושב חוץ, על פי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שאושרה על ידי בעל המלון או מטעמו.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 שהוזמן על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תושג חוץ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לא יינתן צו-אכסון על חדר המשמש לתופס בו מקום מגורים יחיד והמוחזק על ידיו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רצופים לפחות או על פי חוזה שיש עליו ביום מתן הצו בולים מוטבעים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דייר קבע</w:t>
                        </w:r>
                      </w:p>
                    </w:tc>
                  </w:tr>
                  <w:tr w:rsidR="00101363" w:rsidRPr="00A517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ניתן צו-אכסון המחייב בעל מלון לאכסן אדם בחדר מסויים שבמלונו, ואותה שעה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תפוס החדר לתקופה מסויימת בידי אדם אחר על פי הסכם או על פי הזמנה שאושרה על ידי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המלון או מטעמו, חייב תופס החדר לפנותו בשעה הנקובה לכך בצו האכסון או שתים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שעות לאחר מסירת הצו, הכל לפי השעה המאוחרת יותר, ופקיד האכסון יתן לו,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דרישתו' אכסון חלוף סביר עד לגמר אותה תקופה או עד לגמר תקופת צו האכסון,</w:t>
                        </w:r>
                      </w:p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הקצר יותר; היה החדר תפוס שלא לפי הסכם או הזמנה כאמור, חייב התופס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לפנותו עם מסירת צו-האכסון.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01363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חדר</w:t>
                        </w:r>
                      </w:p>
                      <w:p w:rsidR="00101363" w:rsidRPr="00A517FE" w:rsidRDefault="00101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ואכסון חלוף</w:t>
                        </w:r>
                      </w:p>
                    </w:tc>
                  </w:tr>
                </w:tbl>
                <w:p w:rsidR="00101363" w:rsidRDefault="001013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9" o:spid="_x0000_s1028" type="#_x0000_t202" style="position:absolute;left:0;text-align:left;margin-left:188.3pt;margin-top:85.65pt;width:215.4pt;height:20.6pt;z-index:1;mso-position-horizontal-relative:page;mso-position-vertical-relative:page" stroked="f">
            <v:textbox style="mso-next-textbox:#_x0000_s3029" inset="0,0,0,0">
              <w:txbxContent>
                <w:p w:rsidR="00101363" w:rsidRPr="00A517FE" w:rsidRDefault="00101363">
                  <w:pPr>
                    <w:pStyle w:val="OCRStyle1"/>
                    <w:ind w:left="5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אכסון במלון, תש"ך-1960 *</w:t>
                  </w:r>
                </w:p>
              </w:txbxContent>
            </v:textbox>
            <w10:wrap anchorx="page" anchory="page"/>
          </v:shape>
        </w:pict>
      </w:r>
    </w:p>
    <w:p w:rsidR="00132CE9" w:rsidRDefault="00132CE9">
      <w:pPr>
        <w:rPr>
          <w:rtl/>
        </w:rPr>
      </w:pPr>
      <w:r>
        <w:rPr>
          <w:rtl/>
        </w:rPr>
        <w:br w:type="page"/>
      </w:r>
    </w:p>
    <w:p w:rsidR="00132CE9" w:rsidRDefault="00000000">
      <w:pPr>
        <w:rPr>
          <w:rtl/>
        </w:rPr>
      </w:pPr>
      <w:r>
        <w:pict>
          <v:shape id="_x0000_s303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0" inset="0,0,0,0">
              <w:txbxContent>
                <w:p w:rsidR="00101363" w:rsidRDefault="00101363">
                  <w:r>
                    <w:rPr>
                      <w:rtl/>
                    </w:rPr>
                    <w:t>27                                           ספר החוקים 306                    י' בניסן התש"כ 07.04.1960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" o:spid="_x0000_s1030" type="#_x0000_t202" style="position:absolute;left:0;text-align:left;margin-left:366.25pt;margin-top:693.35pt;width:193.85pt;height:51.5pt;z-index:6;mso-position-horizontal-relative:page;mso-position-vertical-relative:page" stroked="f">
            <v:textbox style="mso-next-textbox:#_x0000_s3031" inset="0,0,0,0">
              <w:txbxContent>
                <w:p w:rsidR="00101363" w:rsidRPr="00132CE9" w:rsidRDefault="00101363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3 חוקי א"י כרך א' פרק כ"א עמי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" o:spid="_x0000_s1031" type="#_x0000_t202" style="position:absolute;left:0;text-align:left;margin-left:93.8pt;margin-top:68.85pt;width:458.95pt;height:623.7pt;z-index:5;mso-position-horizontal-relative:page;mso-position-vertical-relative:page" stroked="f">
            <v:textbox style="mso-next-textbox:#_x0000_s30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45"/>
                  </w:tblGrid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מאחריות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שלל צו-אכסון מבעל המלון את האפשרות לקיים התחייבות קודמת בנוגע למלון/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ישא בעל המלון על כך באחריות אזרחית.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אכסון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המתאכסן על פי צו-אכסון חייב בתשלום דמי האכסון לבעל המלון; אולם הוצא צו-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האכסון על פי בקשת אדם אחר' רשאי פקיד האכסון להורות בכתב שאותו אדם יהא חייב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האכסון במקום המתאכסן.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צו-אכפון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פקיד האכסון רשאי להורות על אכיפתו של צו-אכסון באמצעות המשטרה.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צווים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צו-אכסון יימסר, ככל האפשר סמוך לנתינתו' לבעל המלון ולמתאכסן שהצו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 להם.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עלה בידי מוסר צו-אכסון למצוא במלון את בעל המלון או את תופס החדר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מותר להציג את הצו במקום הנראה לעין, על פני המלון או בתוכו' וכן בחדר הנדון,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 שהוצג כאמור רואים אותו כאילו נמסר שעה שהוצג.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מינה ראש הממשלה פקיד אכסון, ימנה שר המשפטים ועדות ערר של שלושה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זה; הוגשה לשר המשפטים על ידי מי שהוא' לדעת השר' ארגון יציג של בעלי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 רשימת מועמדים לחברות בועדה' ימנה השר מתוך רשימה זאת לפחות חבר אחד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המוכן לקבל את המינוי.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בועדת ערר יהיה שופט בית משפט השלום.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 של ועדת ערר יכול להיות כללי או לשטח מסויים.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כל מינוי של ועדת ערר ועל מענה תפורסם ברשומות.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הרואה עצמו נפגע על ידי צו-אכסון רשאי' תוך שבעה ימים מהיום בו הגיע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לידיעתו, לערור עליו לפני ועדת ערר.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לועדת הערר בכתב' והעתק ממנו יישלח על ידי ועדת הערר לפקיד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האכסון שנתן את הצו.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אינו מעכב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גיצוע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הגשת ערר על צו-אכסון אינה מעכבת את ביצוע הצו.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סמכותה של ועדת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ועדת הערר רשאית לאשר את צו האכסון, עם שינויים או בלי שינויים, או לבטלו.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מדרי דין בועדת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ועדת ערר מחליטה ברוב דעות.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נעדר חבר הועדה. מישיבת הועדה שהוזמן אליה כדין, רשאית הועדה להחליט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 גם בשנים, ובלבד שיש ביניהם היושב ראש? נחלקו בהרכב זה הדעות, יכריע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היושב-ראש.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ערר יהיו; כל הסמכויות שאפשר להעניקן] לועדת חקירה לפי סעיף 5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 3.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ערר קובעת בעצמה את סדרי דינה ועבודתה במידה שלא נקבעו בחוק זה.</w:t>
                        </w:r>
                      </w:p>
                    </w:tc>
                  </w:tr>
                  <w:tr w:rsidR="00101363" w:rsidRPr="00132CE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.העורר בפני ועדת ערר או פקיד האכסון רשאים, ברשות יושב ראש הועדה, לערער,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בנקודה משפטית' על החלטת הועדה בפני בית המשפט המחוזי שבאזור שיפוטו נמצא מען</w:t>
                        </w:r>
                      </w:p>
                      <w:p w:rsidR="00101363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הערר, והחלטתו תהא סופית? שר המשפטים יקבע בתקנות את המועד להגשת הערעור,</w:t>
                        </w:r>
                      </w:p>
                      <w:p w:rsidR="00101363" w:rsidRPr="00132CE9" w:rsidRDefault="001013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אופן הגשתו ואת סדרי הדיון בו.</w:t>
                        </w:r>
                      </w:p>
                    </w:tc>
                  </w:tr>
                </w:tbl>
                <w:p w:rsidR="00101363" w:rsidRDefault="001013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1363" w:rsidRDefault="00101363">
      <w:pPr>
        <w:rPr>
          <w:rtl/>
        </w:rPr>
      </w:pPr>
      <w:r>
        <w:rPr>
          <w:rtl/>
        </w:rPr>
        <w:br w:type="page"/>
      </w:r>
    </w:p>
    <w:p w:rsidR="00101363" w:rsidRDefault="00000000">
      <w:pPr>
        <w:rPr>
          <w:rtl/>
        </w:rPr>
      </w:pPr>
      <w:r>
        <w:pict>
          <v:shape id="_x0000_s303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33" inset="0,0,0,0">
              <w:txbxContent>
                <w:p w:rsidR="00101363" w:rsidRDefault="00101363">
                  <w:r>
                    <w:rPr>
                      <w:rtl/>
                    </w:rPr>
                    <w:t>28                                           ספר החוקים 306                    י' בניסן התש"כ 07.04.1960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" o:spid="_x0000_s1033" type="#_x0000_t202" style="position:absolute;left:0;text-align:left;margin-left:84.55pt;margin-top:701.65pt;width:161.55pt;height:40.6pt;z-index:11;mso-position-horizontal-relative:page;mso-position-vertical-relative:page" stroked="f">
            <v:textbox style="mso-next-textbox:#_x0000_s3034" inset="0,0,0,0">
              <w:txbxContent>
                <w:p w:rsidR="00101363" w:rsidRDefault="001013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35" o:spid="_x0000_s1034" type="#_x0000_t202" style="position:absolute;left:0;text-align:left;margin-left:93.65pt;margin-top:292.4pt;width:139.2pt;height:40.6pt;z-index:10;mso-position-horizontal-relative:page;mso-position-vertical-relative:page" stroked="f">
            <v:textbox style="mso-next-textbox:#_x0000_s3035" inset="0,0,0,0">
              <w:txbxContent>
                <w:p w:rsidR="00101363" w:rsidRDefault="00101363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01363" w:rsidRDefault="00101363">
                  <w:pPr>
                    <w:pStyle w:val="OCRStyle3"/>
                    <w:ind w:left="9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6" o:spid="_x0000_s1035" type="#_x0000_t202" style="position:absolute;left:0;text-align:left;margin-left:336.4pt;margin-top:323.85pt;width:145.75pt;height:37.2pt;z-index:9;mso-position-horizontal-relative:page;mso-position-vertical-relative:page" stroked="f">
            <v:textbox style="mso-next-textbox:#_x0000_s3036" inset="0,0,0,0">
              <w:txbxContent>
                <w:p w:rsidR="00101363" w:rsidRDefault="00101363">
                  <w:pPr>
                    <w:pStyle w:val="OCRStyle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01363" w:rsidRDefault="00101363">
                  <w:pPr>
                    <w:pStyle w:val="OCRStyle3"/>
                    <w:ind w:left="10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" o:spid="_x0000_s1036" type="#_x0000_t202" style="position:absolute;left:0;text-align:left;margin-left:85.35pt;margin-top:69.65pt;width:465.7pt;height:212.85pt;z-index:8;mso-position-horizontal-relative:page;mso-position-vertical-relative:page" stroked="f">
            <v:textbox style="mso-next-textbox:#_x0000_s30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390"/>
                  </w:tblGrid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.בעל מלון חייב ככל שיידרש לכך על ידי פקיד אכסון, למסור לו ולשליחיו פרטים</w:t>
                        </w:r>
                      </w:p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לאפשרויות האכסון במלונו ובנוגע לבני-האדם הגרים בו.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</w:t>
                        </w:r>
                      </w:p>
                    </w:tc>
                  </w:tr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.לפקיד האכסון ולשליחיו הזכות להיכנס בכל עת סבירה לכל מלון ולבדוק בו את</w:t>
                        </w:r>
                      </w:p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האורחים ותעודות אחרות העשויות להקל עליו את ביצוע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</w:tr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העובר על הוראה שבצו-אכסון, דינו - מאסר שלושה חדשים או קנס חמש</w:t>
                        </w:r>
                      </w:p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לירות.</w:t>
                        </w:r>
                      </w:p>
                      <w:p w:rsid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מלון שאינו ממלא את המוטל עליו על פי סעיף 21 ,דינו - מאסר שלושים</w:t>
                        </w:r>
                      </w:p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או קנס מאה וחמישים לירות.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סמכויות לפי חוק זה אינן גורעות מסמכויות לפי חיקוק אחר.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דין אחר</w:t>
                        </w:r>
                      </w:p>
                    </w:tc>
                  </w:tr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ראש הממשלה ממונה על ביצוע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101363" w:rsidRPr="0010136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תקופת תקפו של חוק זה היא עד יום ט"ו בטבת תשכ"ד (31 בדצמבר 1963).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01363" w:rsidRPr="00101363" w:rsidRDefault="001013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</w:t>
                        </w:r>
                      </w:p>
                    </w:tc>
                  </w:tr>
                </w:tbl>
                <w:p w:rsidR="00101363" w:rsidRDefault="001013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17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9868B1-F591-4178-9BC1-03701DD3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17F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32CE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013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2008-04-06T19:27:00Z</dcterms:created>
  <dcterms:modified xsi:type="dcterms:W3CDTF">2008-04-06T19:28:00Z</dcterms:modified>
</cp:coreProperties>
</file>