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27613" w:rsidRDefault="00027613">
      <w:pPr>
        <w:rPr>
          <w:rtl/>
        </w:rPr>
      </w:pPr>
    </w:p>
    <w:p w:rsidR="0002761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5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055" inset="0,0,0,0">
              <w:txbxContent>
                <w:p w:rsidR="00F11391" w:rsidRDefault="00F11391">
                  <w:r>
                    <w:rPr>
                      <w:rtl/>
                    </w:rPr>
                    <w:t>57                                           ספר החוקים 839                   כ"ג בטבת התשל"ז 13.01.1977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6" o:spid="_x0000_s1026" type="#_x0000_t202" style="position:absolute;left:0;text-align:left;margin-left:150.8pt;margin-top:657.6pt;width:391.05pt;height:80.4pt;z-index:3;mso-position-horizontal-relative:page;mso-position-vertical-relative:page" stroked="f">
            <v:textbox style="mso-next-textbox:#_x0000_s3056" inset="0,0,0,0">
              <w:txbxContent>
                <w:p w:rsidR="00F11391" w:rsidRDefault="00F11391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ביוט כ' בטבת תשל"ז (10 בינואר 1977); הוראות החוק הוצעו עם דברי הסבר בה"ח 1262,</w:t>
                  </w:r>
                </w:p>
                <w:p w:rsidR="00F11391" w:rsidRDefault="00F11391">
                  <w:pPr>
                    <w:pStyle w:val="OCRStyle1"/>
                    <w:ind w:left="52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תשל"ז, עמ' 14, ובה''ח 1266 ,תשל"ז, עמ' 30.</w:t>
                  </w:r>
                </w:p>
                <w:p w:rsidR="00F11391" w:rsidRPr="00027613" w:rsidRDefault="00F11391">
                  <w:pPr>
                    <w:pStyle w:val="OCRStyle1"/>
                    <w:ind w:left="41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תשט"ו, עמ' 48; תשכ"ו, עמ' 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7" o:spid="_x0000_s1027" type="#_x0000_t202" style="position:absolute;left:0;text-align:left;margin-left:95.8pt;margin-top:536.85pt;width:443.5pt;height:108.5pt;z-index:2;mso-position-horizontal-relative:page;mso-position-vertical-relative:page" stroked="f">
            <v:textbox style="mso-next-textbox:#_x0000_s3057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6"/>
                    <w:gridCol w:w="5616"/>
                    <w:gridCol w:w="1313"/>
                  </w:tblGrid>
                  <w:tr w:rsidR="00F11391" w:rsidRPr="00027613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F11391" w:rsidRPr="00027613" w:rsidRDefault="00F1139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296" w:type="pct"/>
                        <w:gridSpan w:val="2"/>
                      </w:tcPr>
                      <w:p w:rsidR="00F11391" w:rsidRDefault="00F1139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1 לחוק איגודי ערים, תשט"ו-1955  1 (להלן - החוק), בהגדרת "איגוד ערים",</w:t>
                        </w:r>
                      </w:p>
                      <w:p w:rsidR="00F11391" w:rsidRPr="00027613" w:rsidRDefault="00F113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"איגוד רשויות מקומיות סמוכות זו לזו" יבוא "אף אם אינן גובלות זו בזו".</w:t>
                        </w:r>
                      </w:p>
                    </w:tc>
                  </w:tr>
                  <w:tr w:rsidR="00F11391" w:rsidRPr="00027613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F11391" w:rsidRPr="00027613" w:rsidRDefault="00F1139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16ב</w:t>
                        </w:r>
                      </w:p>
                    </w:tc>
                    <w:tc>
                      <w:tcPr>
                        <w:tcW w:w="4296" w:type="pct"/>
                        <w:gridSpan w:val="2"/>
                      </w:tcPr>
                      <w:p w:rsidR="00F11391" w:rsidRPr="00027613" w:rsidRDefault="00F113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16א לחוק העיקרי יבוא:</w:t>
                        </w:r>
                      </w:p>
                    </w:tc>
                  </w:tr>
                  <w:tr w:rsidR="00F11391" w:rsidRPr="00027613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F11391" w:rsidRDefault="00F1139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2" w:type="pct"/>
                      </w:tcPr>
                      <w:p w:rsidR="00F11391" w:rsidRDefault="00F113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 ב. (א) שר הפנים רשאי לקבוע בצו הוראות לענין סעיף 15 (5)</w:t>
                        </w:r>
                      </w:p>
                      <w:p w:rsidR="00F11391" w:rsidRDefault="00F113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(7) ולענין סעיף 16 שיחולו על כל איגוד ערים שיוקם לאחר התקנתן</w:t>
                        </w:r>
                      </w:p>
                      <w:p w:rsidR="00F11391" w:rsidRDefault="00F113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אין הוראה אחרת בצו המקים.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F11391" w:rsidRPr="00027613" w:rsidRDefault="00F1139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.הוראות אחידות</w:t>
                        </w:r>
                      </w:p>
                    </w:tc>
                  </w:tr>
                </w:tbl>
                <w:p w:rsidR="00F11391" w:rsidRDefault="00F1139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58" o:spid="_x0000_s1028" type="#_x0000_t202" style="position:absolute;left:0;text-align:left;margin-left:209.05pt;margin-top:497.45pt;width:280.15pt;height:33.65pt;z-index:1;mso-position-horizontal-relative:page;mso-position-vertical-relative:page" stroked="f">
            <v:textbox style="mso-next-textbox:#_x0000_s3058" inset="0,0,0,0">
              <w:txbxContent>
                <w:p w:rsidR="00F11391" w:rsidRPr="00027613" w:rsidRDefault="00F11391">
                  <w:pPr>
                    <w:pStyle w:val="OCRStyle1"/>
                    <w:ind w:left="19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איגודי ערים (תיקון מס' 2), תשל"ז-1977 * .</w:t>
                  </w:r>
                </w:p>
              </w:txbxContent>
            </v:textbox>
            <w10:wrap anchorx="page" anchory="page"/>
          </v:shape>
        </w:pict>
      </w:r>
    </w:p>
    <w:p w:rsidR="00F400F7" w:rsidRDefault="00F400F7">
      <w:pPr>
        <w:rPr>
          <w:rtl/>
        </w:rPr>
      </w:pPr>
      <w:r>
        <w:rPr>
          <w:rtl/>
        </w:rPr>
        <w:br w:type="page"/>
      </w:r>
    </w:p>
    <w:p w:rsidR="00F400F7" w:rsidRDefault="00000000">
      <w:pPr>
        <w:rPr>
          <w:rtl/>
        </w:rPr>
      </w:pPr>
      <w:r>
        <w:pict>
          <v:shape id="_x0000_s3059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059" inset="0,0,0,0">
              <w:txbxContent>
                <w:p w:rsidR="00F11391" w:rsidRDefault="00F11391">
                  <w:r>
                    <w:rPr>
                      <w:rtl/>
                    </w:rPr>
                    <w:t>58                                           ספר החוקים 839                   כ"ג בטבת התשל"ז 13.01.1977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0" o:spid="_x0000_s1030" type="#_x0000_t202" style="position:absolute;left:0;text-align:left;margin-left:96.8pt;margin-top:697.15pt;width:170.1pt;height:45.15pt;z-index:8;mso-position-horizontal-relative:page;mso-position-vertical-relative:page" stroked="f">
            <v:textbox style="mso-next-textbox:#_x0000_s3060" inset="0,0,0,0">
              <w:txbxContent>
                <w:p w:rsidR="00F11391" w:rsidRDefault="00F1139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061" o:spid="_x0000_s1031" type="#_x0000_t202" style="position:absolute;left:0;text-align:left;margin-left:108.3pt;margin-top:196pt;width:151.25pt;height:45.95pt;z-index:7;mso-position-horizontal-relative:page;mso-position-vertical-relative:page" stroked="f">
            <v:textbox style="mso-next-textbox:#_x0000_s3061" inset="0,0,0,0">
              <w:txbxContent>
                <w:p w:rsidR="00F11391" w:rsidRDefault="00F11391">
                  <w:pPr>
                    <w:pStyle w:val="OCRStyle2"/>
                    <w:ind w:left="93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F11391" w:rsidRDefault="00F11391">
                  <w:pPr>
                    <w:pStyle w:val="OCRStyle2"/>
                    <w:ind w:left="547"/>
                  </w:pPr>
                  <w:r>
                    <w:rPr>
                      <w:rtl/>
                    </w:rPr>
                    <w:t>ראש הממשלה ושר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2" o:spid="_x0000_s1032" type="#_x0000_t202" style="position:absolute;left:0;text-align:left;margin-left:391.85pt;margin-top:219.75pt;width:102.55pt;height:37.8pt;z-index:6;mso-position-horizontal-relative:page;mso-position-vertical-relative:page" stroked="f">
            <v:textbox style="mso-next-textbox:#_x0000_s3062" inset="0,0,0,0">
              <w:txbxContent>
                <w:p w:rsidR="00F11391" w:rsidRDefault="00F11391">
                  <w:pPr>
                    <w:pStyle w:val="OCRStyle2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F11391" w:rsidRDefault="00F11391">
                  <w:pPr>
                    <w:pStyle w:val="OCRStyle2"/>
                    <w:ind w:left="43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3" o:spid="_x0000_s1033" type="#_x0000_t202" style="position:absolute;left:0;text-align:left;margin-left:95.25pt;margin-top:70.3pt;width:336.8pt;height:109.3pt;z-index:5;mso-position-horizontal-relative:page;mso-position-vertical-relative:page" stroked="f">
            <v:textbox style="mso-next-textbox:#_x0000_s3063" inset="0,0,0,0">
              <w:txbxContent>
                <w:p w:rsidR="00F11391" w:rsidRDefault="00F11391">
                  <w:pPr>
                    <w:pStyle w:val="OCRStyle2"/>
                    <w:ind w:left="886"/>
                    <w:rPr>
                      <w:rtl/>
                    </w:rPr>
                  </w:pPr>
                  <w:r>
                    <w:rPr>
                      <w:rtl/>
                    </w:rPr>
                    <w:t>(ב) שר הפנים רשאי להחיל את ההוראות שנקבעו בצו לפי סעיף</w:t>
                  </w:r>
                </w:p>
                <w:p w:rsidR="00F11391" w:rsidRDefault="00F11391">
                  <w:pPr>
                    <w:pStyle w:val="OCRStyle2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קטן (א) אף על איגוד ערים שהיה קיים ביום התקנתן, ובלבד שניתנה</w:t>
                  </w:r>
                </w:p>
                <w:p w:rsidR="00F11391" w:rsidRDefault="00F11391">
                  <w:pPr>
                    <w:pStyle w:val="OCRStyle2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הודעה על כך שלושים יום מראש לרשויות המקומיות שבתחום האיגוד</w:t>
                  </w:r>
                </w:p>
                <w:p w:rsidR="00F11391" w:rsidRDefault="00F11391">
                  <w:pPr>
                    <w:pStyle w:val="OCRStyle2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והן לא הביעו התנגדות להחלה האמורה: הביעה רשות מקומית את התנג-</w:t>
                  </w:r>
                </w:p>
                <w:p w:rsidR="00F11391" w:rsidRDefault="00F11391">
                  <w:pPr>
                    <w:pStyle w:val="OCRStyle2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דותה, לא יחולו הוראות אלה אלא אם ניתנה לרשות המקומית המתנגדת</w:t>
                  </w:r>
                </w:p>
                <w:p w:rsidR="00F11391" w:rsidRDefault="00F11391">
                  <w:pPr>
                    <w:pStyle w:val="OCRStyle2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הזדמנות להגיש לשר הפנים את נימוקיה בדרך ובמועד שייקבעו ושר</w:t>
                  </w:r>
                </w:p>
                <w:p w:rsidR="00F11391" w:rsidRDefault="00F11391">
                  <w:pPr>
                    <w:pStyle w:val="OCRStyle2"/>
                    <w:ind w:left="454"/>
                  </w:pPr>
                  <w:r>
                    <w:rPr>
                      <w:rtl/>
                    </w:rPr>
                    <w:t>הפנים דחה את ההתנגדות,"</w:t>
                  </w:r>
                </w:p>
              </w:txbxContent>
            </v:textbox>
            <w10:wrap anchorx="page" anchory="page"/>
          </v:shape>
        </w:pict>
      </w:r>
    </w:p>
    <w:p w:rsidR="00F11391" w:rsidRDefault="00F11391">
      <w:pPr>
        <w:rPr>
          <w:rtl/>
        </w:rPr>
      </w:pPr>
      <w:r>
        <w:rPr>
          <w:rtl/>
        </w:rPr>
        <w:br w:type="page"/>
      </w:r>
    </w:p>
    <w:p w:rsidR="00F11391" w:rsidRDefault="00000000">
      <w:pPr>
        <w:rPr>
          <w:rtl/>
        </w:rPr>
      </w:pPr>
      <w:r>
        <w:pict>
          <v:shape id="_x0000_s3064" o:spid="_x0000_s1034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3064" inset="0,0,0,0">
              <w:txbxContent>
                <w:p w:rsidR="00F11391" w:rsidRDefault="00F11391">
                  <w:r>
                    <w:rPr>
                      <w:rtl/>
                    </w:rPr>
                    <w:t>59                                           ספר החוקים 839                   כ"ג בטבת התשל"ז 13.01.1977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5" o:spid="_x0000_s1035" type="#_x0000_t202" style="position:absolute;left:0;text-align:left;margin-left:100.2pt;margin-top:701.35pt;width:160.2pt;height:39.4pt;z-index:13;mso-position-horizontal-relative:page;mso-position-vertical-relative:page" stroked="f">
            <v:textbox style="mso-next-textbox:#_x0000_s3065" inset="0,0,0,0">
              <w:txbxContent>
                <w:p w:rsidR="00F11391" w:rsidRDefault="00F1139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066" o:spid="_x0000_s1036" type="#_x0000_t202" style="position:absolute;left:0;text-align:left;margin-left:102.55pt;margin-top:192.7pt;width:142.95pt;height:36.25pt;z-index:12;mso-position-horizontal-relative:page;mso-position-vertical-relative:page" stroked="f">
            <v:textbox style="mso-next-textbox:#_x0000_s3066" inset="0,0,0,0">
              <w:txbxContent>
                <w:p w:rsidR="00F11391" w:rsidRDefault="00F11391">
                  <w:pPr>
                    <w:pStyle w:val="OCRStyle3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F11391" w:rsidRDefault="00F11391">
                  <w:pPr>
                    <w:pStyle w:val="OCRStyle3"/>
                    <w:ind w:left="295"/>
                  </w:pPr>
                  <w:r>
                    <w:rPr>
                      <w:rtl/>
                    </w:rPr>
                    <w:t>ראש הממשלה ושר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7" o:spid="_x0000_s1037" type="#_x0000_t202" style="position:absolute;left:0;text-align:left;margin-left:375.4pt;margin-top:219pt;width:112.45pt;height:45.15pt;z-index:11;mso-position-horizontal-relative:page;mso-position-vertical-relative:page" stroked="f">
            <v:textbox style="mso-next-textbox:#_x0000_s3067" inset="0,0,0,0">
              <w:txbxContent>
                <w:p w:rsidR="00F11391" w:rsidRDefault="00F11391">
                  <w:pPr>
                    <w:pStyle w:val="OCRStyle3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F11391" w:rsidRDefault="00F11391">
                  <w:pPr>
                    <w:pStyle w:val="OCRStyle3"/>
                    <w:ind w:left="31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8" o:spid="_x0000_s1038" type="#_x0000_t202" style="position:absolute;left:0;text-align:left;margin-left:94.45pt;margin-top:69.55pt;width:341.75pt;height:110.1pt;z-index:10;mso-position-horizontal-relative:page;mso-position-vertical-relative:page" stroked="f">
            <v:textbox style="mso-next-textbox:#_x0000_s3068" inset="0,0,0,0">
              <w:txbxContent>
                <w:p w:rsidR="00F11391" w:rsidRDefault="00F11391">
                  <w:pPr>
                    <w:pStyle w:val="OCRStyle3"/>
                    <w:ind w:left="968"/>
                    <w:rPr>
                      <w:rtl/>
                    </w:rPr>
                  </w:pPr>
                  <w:r>
                    <w:rPr>
                      <w:rtl/>
                    </w:rPr>
                    <w:t>(ב) שר הפנים רשאי להחיל את ההוראות שנקבעו בצו לפי סעיף</w:t>
                  </w:r>
                </w:p>
                <w:p w:rsidR="00F11391" w:rsidRDefault="00F11391">
                  <w:pPr>
                    <w:pStyle w:val="OCRStyle3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קטן (א) אף על איגוד ערים שהיה קיים ביום התקנתן, ובלבד שניתנה</w:t>
                  </w:r>
                </w:p>
                <w:p w:rsidR="00F11391" w:rsidRDefault="00F11391">
                  <w:pPr>
                    <w:pStyle w:val="OCRStyle3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הודעה על בך שלושים יום מראש לרשויות המקומיות שבתחום האיגוד</w:t>
                  </w:r>
                </w:p>
                <w:p w:rsidR="00F11391" w:rsidRDefault="00F11391">
                  <w:pPr>
                    <w:pStyle w:val="OCRStyle3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והן לא הביעו התנגדות להחלה האמורה; הביעה רשות מקומית את התנג-</w:t>
                  </w:r>
                </w:p>
                <w:p w:rsidR="00F11391" w:rsidRDefault="00F11391">
                  <w:pPr>
                    <w:pStyle w:val="OCRStyle3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דותה, לא יחולו הוראות אלה אלא אם ניתנה לרשות המקומית המתנגדת</w:t>
                  </w:r>
                </w:p>
                <w:p w:rsidR="00F11391" w:rsidRDefault="00F11391">
                  <w:pPr>
                    <w:pStyle w:val="OCRStyle3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הזדמנות להגיש לשר הפנים את נימוקיה בדרך ובמועד שייקבעו ושר</w:t>
                  </w:r>
                </w:p>
                <w:p w:rsidR="00F11391" w:rsidRDefault="00F11391">
                  <w:pPr>
                    <w:pStyle w:val="OCRStyle3"/>
                    <w:ind w:left="529"/>
                  </w:pPr>
                  <w:r>
                    <w:rPr>
                      <w:rtl/>
                    </w:rPr>
                    <w:t>הפנים דחה את ההתנגדות."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2761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761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3E9BDC1-6BBB-4406-9F63-DC7F607E9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27613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400F7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F1139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2008-04-06T22:56:00Z</dcterms:created>
  <dcterms:modified xsi:type="dcterms:W3CDTF">2008-04-06T22:56:00Z</dcterms:modified>
</cp:coreProperties>
</file>